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6582A">
      <w:pPr>
        <w:pStyle w:val="31"/>
        <w:bidi w:val="0"/>
      </w:pPr>
      <w:bookmarkStart w:id="0" w:name="_Toc11233"/>
      <w:r>
        <w:t>运维工具管理制度</w:t>
      </w:r>
      <w:bookmarkEnd w:id="0"/>
    </w:p>
    <w:p w14:paraId="71268A02">
      <w:pPr>
        <w:pStyle w:val="32"/>
        <w:bidi w:val="0"/>
      </w:pPr>
      <w:bookmarkStart w:id="1" w:name="_Toc8281"/>
      <w:r>
        <w:t>甘肃国邦信息科技有限公司</w:t>
      </w:r>
      <w:bookmarkEnd w:id="1"/>
    </w:p>
    <w:p w14:paraId="5B39CF75">
      <w:pPr>
        <w:bidi w:val="0"/>
      </w:pPr>
    </w:p>
    <w:p w14:paraId="47691CE0">
      <w:pPr>
        <w:pStyle w:val="32"/>
        <w:bidi w:val="0"/>
        <w:rPr>
          <w:rFonts w:hint="eastAsia" w:ascii="宋体" w:hAnsi="宋体" w:eastAsia="宋体" w:cs="宋体"/>
          <w:sz w:val="36"/>
          <w:szCs w:val="36"/>
          <w:lang w:val="en-US" w:eastAsia="zh-CN"/>
        </w:rPr>
        <w:sectPr>
          <w:pgSz w:w="11906" w:h="16839"/>
          <w:pgMar w:top="1431" w:right="1785" w:bottom="0" w:left="1785" w:header="0" w:footer="0" w:gutter="0"/>
          <w:cols w:space="720" w:num="1"/>
        </w:sectPr>
      </w:pPr>
      <w:bookmarkStart w:id="2" w:name="_Toc16793"/>
      <w:r>
        <w:rPr>
          <w:rFonts w:hint="eastAsia" w:ascii="宋体" w:hAnsi="宋体" w:eastAsia="宋体" w:cs="宋体"/>
          <w:sz w:val="36"/>
          <w:szCs w:val="36"/>
          <w:lang w:val="en-US" w:eastAsia="zh-CN"/>
        </w:rPr>
        <w:t>2025年1月4日</w:t>
      </w:r>
      <w:bookmarkEnd w:id="2"/>
    </w:p>
    <w:p w14:paraId="323C9A08">
      <w:pPr>
        <w:spacing w:before="91" w:line="220" w:lineRule="auto"/>
        <w:ind w:left="3620"/>
        <w:outlineLvl w:val="1"/>
        <w:rPr>
          <w:rFonts w:ascii="宋体" w:hAnsi="宋体" w:eastAsia="宋体" w:cs="宋体"/>
          <w:sz w:val="28"/>
          <w:szCs w:val="28"/>
        </w:rPr>
      </w:pPr>
      <w:bookmarkStart w:id="3" w:name="_Toc19915"/>
      <w:r>
        <w:rPr>
          <w:rFonts w:ascii="宋体" w:hAnsi="宋体" w:eastAsia="宋体" w:cs="宋体"/>
          <w:spacing w:val="-3"/>
          <w:sz w:val="28"/>
          <w:szCs w:val="28"/>
        </w:rPr>
        <w:t>文档信息</w:t>
      </w:r>
      <w:bookmarkEnd w:id="3"/>
    </w:p>
    <w:p w14:paraId="6625B5C1">
      <w:pPr>
        <w:spacing w:line="131" w:lineRule="exact"/>
      </w:pPr>
    </w:p>
    <w:tbl>
      <w:tblPr>
        <w:tblStyle w:val="24"/>
        <w:tblW w:w="9071"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64297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2FB5A943">
            <w:pPr>
              <w:spacing w:before="185" w:line="220" w:lineRule="auto"/>
              <w:ind w:left="207"/>
              <w:rPr>
                <w:rFonts w:ascii="宋体" w:hAnsi="宋体" w:eastAsia="宋体" w:cs="宋体"/>
                <w:sz w:val="24"/>
                <w:szCs w:val="24"/>
              </w:rPr>
            </w:pPr>
            <w:r>
              <w:rPr>
                <w:rFonts w:ascii="宋体" w:hAnsi="宋体" w:eastAsia="宋体" w:cs="宋体"/>
                <w:spacing w:val="-2"/>
                <w:sz w:val="24"/>
                <w:szCs w:val="24"/>
              </w:rPr>
              <w:t>文档名称编号</w:t>
            </w:r>
          </w:p>
        </w:tc>
        <w:tc>
          <w:tcPr>
            <w:tcW w:w="7225" w:type="dxa"/>
            <w:gridSpan w:val="4"/>
          </w:tcPr>
          <w:p w14:paraId="265A3F62">
            <w:pPr>
              <w:spacing w:before="185" w:line="218" w:lineRule="auto"/>
              <w:ind w:left="109"/>
              <w:rPr>
                <w:rFonts w:ascii="宋体" w:hAnsi="宋体" w:eastAsia="宋体" w:cs="宋体"/>
                <w:sz w:val="24"/>
                <w:szCs w:val="24"/>
              </w:rPr>
            </w:pPr>
            <w:r>
              <w:rPr>
                <w:rFonts w:ascii="宋体" w:hAnsi="宋体" w:eastAsia="宋体" w:cs="宋体"/>
                <w:spacing w:val="-1"/>
                <w:sz w:val="24"/>
                <w:szCs w:val="24"/>
              </w:rPr>
              <w:t>运维工具管理制度（GSGB-ITSS-YWGJGL）</w:t>
            </w:r>
          </w:p>
        </w:tc>
      </w:tr>
      <w:tr w14:paraId="3C466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434F28FE">
            <w:pPr>
              <w:spacing w:before="182" w:line="220" w:lineRule="auto"/>
              <w:ind w:left="447"/>
              <w:rPr>
                <w:rFonts w:ascii="宋体" w:hAnsi="宋体" w:eastAsia="宋体" w:cs="宋体"/>
                <w:sz w:val="24"/>
                <w:szCs w:val="24"/>
              </w:rPr>
            </w:pPr>
            <w:r>
              <w:rPr>
                <w:rFonts w:ascii="宋体" w:hAnsi="宋体" w:eastAsia="宋体" w:cs="宋体"/>
                <w:spacing w:val="-3"/>
                <w:sz w:val="24"/>
                <w:szCs w:val="24"/>
              </w:rPr>
              <w:t>编制单位</w:t>
            </w:r>
          </w:p>
        </w:tc>
        <w:tc>
          <w:tcPr>
            <w:tcW w:w="7225" w:type="dxa"/>
            <w:gridSpan w:val="4"/>
          </w:tcPr>
          <w:p w14:paraId="160522BA">
            <w:pPr>
              <w:spacing w:before="182" w:line="219" w:lineRule="auto"/>
              <w:ind w:left="109"/>
              <w:rPr>
                <w:rFonts w:ascii="宋体" w:hAnsi="宋体" w:eastAsia="宋体" w:cs="宋体"/>
                <w:sz w:val="24"/>
                <w:szCs w:val="24"/>
              </w:rPr>
            </w:pPr>
            <w:r>
              <w:rPr>
                <w:rFonts w:ascii="宋体" w:hAnsi="宋体" w:eastAsia="宋体" w:cs="宋体"/>
                <w:spacing w:val="-1"/>
                <w:sz w:val="24"/>
                <w:szCs w:val="24"/>
              </w:rPr>
              <w:t>甘肃国邦信息科技有限公司</w:t>
            </w:r>
          </w:p>
        </w:tc>
      </w:tr>
      <w:tr w14:paraId="5A1AD2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74CAADBA">
            <w:pPr>
              <w:spacing w:before="183" w:line="219" w:lineRule="auto"/>
              <w:ind w:left="447"/>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5500D1F3">
            <w:pPr>
              <w:spacing w:before="183" w:line="219" w:lineRule="auto"/>
              <w:ind w:left="229"/>
              <w:rPr>
                <w:rFonts w:ascii="宋体" w:hAnsi="宋体" w:eastAsia="宋体" w:cs="宋体"/>
                <w:sz w:val="24"/>
                <w:szCs w:val="24"/>
              </w:rPr>
            </w:pPr>
            <w:r>
              <w:rPr>
                <w:rFonts w:ascii="宋体" w:hAnsi="宋体" w:eastAsia="宋体" w:cs="宋体"/>
                <w:spacing w:val="-2"/>
                <w:sz w:val="24"/>
                <w:szCs w:val="24"/>
              </w:rPr>
              <w:t>版本日期</w:t>
            </w:r>
          </w:p>
        </w:tc>
        <w:tc>
          <w:tcPr>
            <w:tcW w:w="2302" w:type="dxa"/>
          </w:tcPr>
          <w:p w14:paraId="21D13041">
            <w:pPr>
              <w:spacing w:before="183" w:line="219" w:lineRule="auto"/>
              <w:ind w:left="676"/>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0B9D58CF">
            <w:pPr>
              <w:spacing w:before="184" w:line="220" w:lineRule="auto"/>
              <w:ind w:left="546"/>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5A745AB8">
            <w:pPr>
              <w:spacing w:before="184" w:line="220" w:lineRule="auto"/>
              <w:ind w:left="755"/>
              <w:rPr>
                <w:rFonts w:ascii="宋体" w:hAnsi="宋体" w:eastAsia="宋体" w:cs="宋体"/>
                <w:sz w:val="24"/>
                <w:szCs w:val="24"/>
              </w:rPr>
            </w:pPr>
            <w:r>
              <w:rPr>
                <w:rFonts w:ascii="宋体" w:hAnsi="宋体" w:eastAsia="宋体" w:cs="宋体"/>
                <w:spacing w:val="-6"/>
                <w:sz w:val="24"/>
                <w:szCs w:val="24"/>
              </w:rPr>
              <w:t>审核</w:t>
            </w:r>
          </w:p>
        </w:tc>
      </w:tr>
      <w:tr w14:paraId="024814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4291E689">
            <w:pPr>
              <w:spacing w:before="162" w:line="239" w:lineRule="auto"/>
              <w:ind w:left="709"/>
              <w:rPr>
                <w:rFonts w:ascii="宋体" w:hAnsi="宋体" w:eastAsia="宋体" w:cs="宋体"/>
                <w:sz w:val="21"/>
                <w:szCs w:val="21"/>
              </w:rPr>
            </w:pPr>
            <w:r>
              <w:rPr>
                <w:rFonts w:ascii="宋体" w:hAnsi="宋体" w:eastAsia="宋体" w:cs="宋体"/>
                <w:spacing w:val="-1"/>
                <w:sz w:val="21"/>
                <w:szCs w:val="21"/>
              </w:rPr>
              <w:t>V1.0</w:t>
            </w:r>
          </w:p>
        </w:tc>
        <w:tc>
          <w:tcPr>
            <w:tcW w:w="1413" w:type="dxa"/>
          </w:tcPr>
          <w:p w14:paraId="534B8E91">
            <w:pPr>
              <w:spacing w:before="162"/>
              <w:ind w:left="290"/>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3232BB84">
            <w:pPr>
              <w:spacing w:before="132" w:line="219" w:lineRule="auto"/>
              <w:ind w:left="738"/>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3EAD182F">
            <w:pPr>
              <w:spacing w:before="133" w:line="220" w:lineRule="auto"/>
              <w:ind w:left="48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胡葛鹏宇</w:t>
            </w:r>
          </w:p>
        </w:tc>
        <w:tc>
          <w:tcPr>
            <w:tcW w:w="1953" w:type="dxa"/>
          </w:tcPr>
          <w:p w14:paraId="218A9368">
            <w:pPr>
              <w:spacing w:before="132" w:line="220" w:lineRule="auto"/>
              <w:ind w:left="672"/>
              <w:rPr>
                <w:rFonts w:ascii="宋体" w:hAnsi="宋体" w:eastAsia="宋体" w:cs="宋体"/>
                <w:sz w:val="21"/>
                <w:szCs w:val="21"/>
              </w:rPr>
            </w:pPr>
            <w:r>
              <w:rPr>
                <w:rFonts w:ascii="宋体" w:hAnsi="宋体" w:eastAsia="宋体" w:cs="宋体"/>
                <w:spacing w:val="-3"/>
                <w:sz w:val="21"/>
                <w:szCs w:val="21"/>
              </w:rPr>
              <w:t>黄益溪</w:t>
            </w:r>
          </w:p>
        </w:tc>
      </w:tr>
      <w:tr w14:paraId="0228A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1B8BB6BA">
            <w:pPr>
              <w:pStyle w:val="25"/>
            </w:pPr>
          </w:p>
        </w:tc>
        <w:tc>
          <w:tcPr>
            <w:tcW w:w="1413" w:type="dxa"/>
          </w:tcPr>
          <w:p w14:paraId="16DEB013">
            <w:pPr>
              <w:pStyle w:val="25"/>
            </w:pPr>
          </w:p>
        </w:tc>
        <w:tc>
          <w:tcPr>
            <w:tcW w:w="2302" w:type="dxa"/>
          </w:tcPr>
          <w:p w14:paraId="169DCF7F">
            <w:pPr>
              <w:pStyle w:val="25"/>
            </w:pPr>
          </w:p>
        </w:tc>
        <w:tc>
          <w:tcPr>
            <w:tcW w:w="1557" w:type="dxa"/>
          </w:tcPr>
          <w:p w14:paraId="498561EE">
            <w:pPr>
              <w:pStyle w:val="25"/>
            </w:pPr>
          </w:p>
        </w:tc>
        <w:tc>
          <w:tcPr>
            <w:tcW w:w="1953" w:type="dxa"/>
          </w:tcPr>
          <w:p w14:paraId="4C064502">
            <w:pPr>
              <w:pStyle w:val="25"/>
            </w:pPr>
          </w:p>
        </w:tc>
      </w:tr>
      <w:tr w14:paraId="189C2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195584A5">
            <w:pPr>
              <w:pStyle w:val="25"/>
            </w:pPr>
          </w:p>
        </w:tc>
        <w:tc>
          <w:tcPr>
            <w:tcW w:w="1413" w:type="dxa"/>
          </w:tcPr>
          <w:p w14:paraId="5DFB02F4">
            <w:pPr>
              <w:pStyle w:val="25"/>
            </w:pPr>
          </w:p>
        </w:tc>
        <w:tc>
          <w:tcPr>
            <w:tcW w:w="2302" w:type="dxa"/>
          </w:tcPr>
          <w:p w14:paraId="5309A939">
            <w:pPr>
              <w:pStyle w:val="25"/>
            </w:pPr>
          </w:p>
        </w:tc>
        <w:tc>
          <w:tcPr>
            <w:tcW w:w="1557" w:type="dxa"/>
          </w:tcPr>
          <w:p w14:paraId="2D51979B">
            <w:pPr>
              <w:pStyle w:val="25"/>
            </w:pPr>
          </w:p>
        </w:tc>
        <w:tc>
          <w:tcPr>
            <w:tcW w:w="1953" w:type="dxa"/>
          </w:tcPr>
          <w:p w14:paraId="24FC2028">
            <w:pPr>
              <w:pStyle w:val="25"/>
            </w:pPr>
          </w:p>
        </w:tc>
      </w:tr>
      <w:tr w14:paraId="7E9AA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2F37429">
            <w:pPr>
              <w:pStyle w:val="25"/>
            </w:pPr>
          </w:p>
        </w:tc>
        <w:tc>
          <w:tcPr>
            <w:tcW w:w="1413" w:type="dxa"/>
          </w:tcPr>
          <w:p w14:paraId="1C8B4EE2">
            <w:pPr>
              <w:pStyle w:val="25"/>
            </w:pPr>
          </w:p>
        </w:tc>
        <w:tc>
          <w:tcPr>
            <w:tcW w:w="2302" w:type="dxa"/>
          </w:tcPr>
          <w:p w14:paraId="1DAE4D9C">
            <w:pPr>
              <w:pStyle w:val="25"/>
            </w:pPr>
          </w:p>
        </w:tc>
        <w:tc>
          <w:tcPr>
            <w:tcW w:w="1557" w:type="dxa"/>
          </w:tcPr>
          <w:p w14:paraId="5B157B1D">
            <w:pPr>
              <w:pStyle w:val="25"/>
            </w:pPr>
          </w:p>
        </w:tc>
        <w:tc>
          <w:tcPr>
            <w:tcW w:w="1953" w:type="dxa"/>
          </w:tcPr>
          <w:p w14:paraId="31DBE9F0">
            <w:pPr>
              <w:pStyle w:val="25"/>
            </w:pPr>
          </w:p>
        </w:tc>
      </w:tr>
      <w:tr w14:paraId="0794E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7384CAE6">
            <w:pPr>
              <w:pStyle w:val="25"/>
            </w:pPr>
          </w:p>
        </w:tc>
        <w:tc>
          <w:tcPr>
            <w:tcW w:w="1413" w:type="dxa"/>
          </w:tcPr>
          <w:p w14:paraId="7F33378F">
            <w:pPr>
              <w:pStyle w:val="25"/>
            </w:pPr>
          </w:p>
        </w:tc>
        <w:tc>
          <w:tcPr>
            <w:tcW w:w="2302" w:type="dxa"/>
          </w:tcPr>
          <w:p w14:paraId="246C38F7">
            <w:pPr>
              <w:pStyle w:val="25"/>
            </w:pPr>
          </w:p>
        </w:tc>
        <w:tc>
          <w:tcPr>
            <w:tcW w:w="1557" w:type="dxa"/>
          </w:tcPr>
          <w:p w14:paraId="22CCA16B">
            <w:pPr>
              <w:pStyle w:val="25"/>
            </w:pPr>
          </w:p>
        </w:tc>
        <w:tc>
          <w:tcPr>
            <w:tcW w:w="1953" w:type="dxa"/>
          </w:tcPr>
          <w:p w14:paraId="671B3388">
            <w:pPr>
              <w:pStyle w:val="25"/>
            </w:pPr>
          </w:p>
        </w:tc>
      </w:tr>
      <w:tr w14:paraId="73924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320FC78E">
            <w:pPr>
              <w:pStyle w:val="25"/>
            </w:pPr>
          </w:p>
        </w:tc>
        <w:tc>
          <w:tcPr>
            <w:tcW w:w="1413" w:type="dxa"/>
          </w:tcPr>
          <w:p w14:paraId="311D9E47">
            <w:pPr>
              <w:pStyle w:val="25"/>
            </w:pPr>
          </w:p>
        </w:tc>
        <w:tc>
          <w:tcPr>
            <w:tcW w:w="2302" w:type="dxa"/>
          </w:tcPr>
          <w:p w14:paraId="56F3969E">
            <w:pPr>
              <w:pStyle w:val="25"/>
            </w:pPr>
          </w:p>
        </w:tc>
        <w:tc>
          <w:tcPr>
            <w:tcW w:w="1557" w:type="dxa"/>
          </w:tcPr>
          <w:p w14:paraId="28E0BC10">
            <w:pPr>
              <w:pStyle w:val="25"/>
            </w:pPr>
          </w:p>
        </w:tc>
        <w:tc>
          <w:tcPr>
            <w:tcW w:w="1953" w:type="dxa"/>
          </w:tcPr>
          <w:p w14:paraId="391615B3">
            <w:pPr>
              <w:pStyle w:val="25"/>
            </w:pPr>
          </w:p>
        </w:tc>
      </w:tr>
    </w:tbl>
    <w:p w14:paraId="5D023EF2">
      <w:pPr>
        <w:pStyle w:val="12"/>
      </w:pPr>
    </w:p>
    <w:p w14:paraId="5062660C">
      <w:pPr>
        <w:sectPr>
          <w:pgSz w:w="11906" w:h="16839"/>
          <w:pgMar w:top="1431" w:right="1015" w:bottom="0" w:left="1785" w:header="0" w:footer="0" w:gutter="0"/>
          <w:cols w:space="720" w:num="1"/>
        </w:sectPr>
      </w:pPr>
    </w:p>
    <w:sdt>
      <w:sdtPr>
        <w:rPr>
          <w:rFonts w:ascii="宋体" w:hAnsi="宋体" w:eastAsia="宋体" w:cs="Arial"/>
          <w:snapToGrid w:val="0"/>
          <w:color w:val="000000"/>
          <w:kern w:val="0"/>
          <w:sz w:val="21"/>
          <w:szCs w:val="21"/>
          <w:lang w:val="en-US" w:eastAsia="en-US" w:bidi="ar-SA"/>
        </w:rPr>
        <w:id w:val="147467216"/>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6C00E2C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8F329DB">
          <w:pPr>
            <w:pStyle w:val="16"/>
            <w:tabs>
              <w:tab w:val="right" w:leader="dot" w:pos="8497"/>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_Toc11233 </w:instrText>
          </w:r>
          <w:r>
            <w:rPr>
              <w:rFonts w:hint="eastAsia" w:ascii="Microsoft JhengHei" w:hAnsi="Microsoft JhengHei" w:eastAsia="Microsoft JhengHei" w:cs="Microsoft JhengHei"/>
              <w:szCs w:val="24"/>
            </w:rPr>
            <w:fldChar w:fldCharType="separate"/>
          </w:r>
          <w:r>
            <w:t>运维工具管理制度</w:t>
          </w:r>
          <w:r>
            <w:tab/>
          </w:r>
          <w:r>
            <w:fldChar w:fldCharType="begin"/>
          </w:r>
          <w:r>
            <w:instrText xml:space="preserve"> PAGEREF _Toc11233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7E4C4FDC">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_Toc8281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_Toc8281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7B934C4A">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_Toc16793 </w:instrText>
          </w:r>
          <w:r>
            <w:rPr>
              <w:rFonts w:hint="eastAsia" w:ascii="Microsoft JhengHei" w:hAnsi="Microsoft JhengHei" w:eastAsia="Microsoft JhengHei" w:cs="Microsoft JhengHei"/>
              <w:szCs w:val="24"/>
            </w:rPr>
            <w:fldChar w:fldCharType="separate"/>
          </w:r>
          <w:r>
            <w:rPr>
              <w:rFonts w:hint="eastAsia" w:ascii="宋体" w:hAnsi="宋体" w:eastAsia="宋体" w:cs="宋体"/>
              <w:szCs w:val="36"/>
              <w:lang w:val="en-US" w:eastAsia="zh-CN"/>
            </w:rPr>
            <w:t>2025年1月4日</w:t>
          </w:r>
          <w:r>
            <w:tab/>
          </w:r>
          <w:r>
            <w:fldChar w:fldCharType="begin"/>
          </w:r>
          <w:r>
            <w:instrText xml:space="preserve"> PAGEREF _Toc16793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7D327AE1">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_Toc19915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_Toc19915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648D3324">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_Toc21906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_Toc21906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5BCC51D2">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_Toc1177 </w:instrText>
          </w:r>
          <w:r>
            <w:rPr>
              <w:rFonts w:hint="eastAsia" w:ascii="Microsoft JhengHei" w:hAnsi="Microsoft JhengHei" w:eastAsia="Microsoft JhengHei" w:cs="Microsoft JhengHei"/>
              <w:szCs w:val="24"/>
            </w:rPr>
            <w:fldChar w:fldCharType="separate"/>
          </w:r>
          <w:r>
            <w:rPr>
              <w:rFonts w:hint="default"/>
            </w:rPr>
            <w:t xml:space="preserve">2. </w:t>
          </w:r>
          <w:r>
            <w:t>适用范围</w:t>
          </w:r>
          <w:r>
            <w:tab/>
          </w:r>
          <w:r>
            <w:fldChar w:fldCharType="begin"/>
          </w:r>
          <w:r>
            <w:instrText xml:space="preserve"> PAGEREF _Toc1177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8C718FC">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_Toc543 </w:instrText>
          </w:r>
          <w:r>
            <w:rPr>
              <w:rFonts w:hint="eastAsia" w:ascii="Microsoft JhengHei" w:hAnsi="Microsoft JhengHei" w:eastAsia="Microsoft JhengHei" w:cs="Microsoft JhengHei"/>
              <w:szCs w:val="24"/>
            </w:rPr>
            <w:fldChar w:fldCharType="separate"/>
          </w:r>
          <w:r>
            <w:rPr>
              <w:rFonts w:hint="default"/>
            </w:rPr>
            <w:t xml:space="preserve">3. </w:t>
          </w:r>
          <w:r>
            <w:t>引用文件</w:t>
          </w:r>
          <w:r>
            <w:tab/>
          </w:r>
          <w:r>
            <w:fldChar w:fldCharType="begin"/>
          </w:r>
          <w:r>
            <w:instrText xml:space="preserve"> PAGEREF _Toc543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4DAA531">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_Toc4262 </w:instrText>
          </w:r>
          <w:r>
            <w:rPr>
              <w:rFonts w:hint="eastAsia" w:ascii="Microsoft JhengHei" w:hAnsi="Microsoft JhengHei" w:eastAsia="Microsoft JhengHei" w:cs="Microsoft JhengHei"/>
              <w:szCs w:val="24"/>
            </w:rPr>
            <w:fldChar w:fldCharType="separate"/>
          </w:r>
          <w:r>
            <w:rPr>
              <w:rFonts w:hint="default"/>
            </w:rPr>
            <w:t xml:space="preserve">4. </w:t>
          </w:r>
          <w:r>
            <w:t>角色与职责</w:t>
          </w:r>
          <w:r>
            <w:tab/>
          </w:r>
          <w:r>
            <w:fldChar w:fldCharType="begin"/>
          </w:r>
          <w:r>
            <w:instrText xml:space="preserve"> PAGEREF _Toc4262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198DBC83">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_Toc6902 </w:instrText>
          </w:r>
          <w:r>
            <w:rPr>
              <w:rFonts w:hint="eastAsia" w:ascii="Microsoft JhengHei" w:hAnsi="Microsoft JhengHei" w:eastAsia="Microsoft JhengHei" w:cs="Microsoft JhengHei"/>
              <w:szCs w:val="24"/>
            </w:rPr>
            <w:fldChar w:fldCharType="separate"/>
          </w:r>
          <w:r>
            <w:rPr>
              <w:rFonts w:hint="default"/>
            </w:rPr>
            <w:t xml:space="preserve">5. </w:t>
          </w:r>
          <w:r>
            <w:t>运维工具管理</w:t>
          </w:r>
          <w:r>
            <w:tab/>
          </w:r>
          <w:r>
            <w:fldChar w:fldCharType="begin"/>
          </w:r>
          <w:r>
            <w:instrText xml:space="preserve"> PAGEREF _Toc6902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0B6A97D">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_Toc14537 </w:instrText>
          </w:r>
          <w:r>
            <w:rPr>
              <w:rFonts w:hint="eastAsia" w:ascii="Microsoft JhengHei" w:hAnsi="Microsoft JhengHei" w:eastAsia="Microsoft JhengHei" w:cs="Microsoft JhengHei"/>
              <w:szCs w:val="24"/>
            </w:rPr>
            <w:fldChar w:fldCharType="separate"/>
          </w:r>
          <w:r>
            <w:rPr>
              <w:rFonts w:hint="default"/>
            </w:rPr>
            <w:t xml:space="preserve">5.1. </w:t>
          </w:r>
          <w:r>
            <w:t>公司级管理</w:t>
          </w:r>
          <w:r>
            <w:tab/>
          </w:r>
          <w:r>
            <w:fldChar w:fldCharType="begin"/>
          </w:r>
          <w:r>
            <w:instrText xml:space="preserve"> PAGEREF _Toc14537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75F9FC7">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_Toc19900 </w:instrText>
          </w:r>
          <w:r>
            <w:rPr>
              <w:rFonts w:hint="eastAsia" w:ascii="Microsoft JhengHei" w:hAnsi="Microsoft JhengHei" w:eastAsia="Microsoft JhengHei" w:cs="Microsoft JhengHei"/>
              <w:szCs w:val="24"/>
            </w:rPr>
            <w:fldChar w:fldCharType="separate"/>
          </w:r>
          <w:r>
            <w:rPr>
              <w:rFonts w:hint="default"/>
            </w:rPr>
            <w:t xml:space="preserve">5.2. </w:t>
          </w:r>
          <w:r>
            <w:t>项目级管理</w:t>
          </w:r>
          <w:r>
            <w:tab/>
          </w:r>
          <w:r>
            <w:fldChar w:fldCharType="begin"/>
          </w:r>
          <w:r>
            <w:instrText xml:space="preserve"> PAGEREF _Toc19900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6F38BA23">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_Toc5519 </w:instrText>
          </w:r>
          <w:r>
            <w:rPr>
              <w:rFonts w:hint="eastAsia" w:ascii="Microsoft JhengHei" w:hAnsi="Microsoft JhengHei" w:eastAsia="Microsoft JhengHei" w:cs="Microsoft JhengHei"/>
              <w:szCs w:val="24"/>
            </w:rPr>
            <w:fldChar w:fldCharType="separate"/>
          </w:r>
          <w:r>
            <w:rPr>
              <w:rFonts w:hint="default"/>
            </w:rPr>
            <w:t xml:space="preserve">6. </w:t>
          </w:r>
          <w:r>
            <w:rPr>
              <w:rFonts w:hint="eastAsia"/>
              <w:lang w:val="en-US" w:eastAsia="zh-CN"/>
            </w:rPr>
            <w:t>运维工具分类</w:t>
          </w:r>
          <w:r>
            <w:tab/>
          </w:r>
          <w:r>
            <w:fldChar w:fldCharType="begin"/>
          </w:r>
          <w:r>
            <w:instrText xml:space="preserve"> PAGEREF _Toc5519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615DCF23">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_Toc29760 </w:instrText>
          </w:r>
          <w:r>
            <w:rPr>
              <w:rFonts w:hint="eastAsia" w:ascii="Microsoft JhengHei" w:hAnsi="Microsoft JhengHei" w:eastAsia="Microsoft JhengHei" w:cs="Microsoft JhengHei"/>
              <w:szCs w:val="24"/>
            </w:rPr>
            <w:fldChar w:fldCharType="separate"/>
          </w:r>
          <w:r>
            <w:rPr>
              <w:rFonts w:hint="default"/>
              <w:lang w:val="en-US" w:eastAsia="zh-CN"/>
            </w:rPr>
            <w:t xml:space="preserve">6.1. </w:t>
          </w:r>
          <w:r>
            <w:rPr>
              <w:rFonts w:hint="eastAsia"/>
              <w:lang w:val="en-US" w:eastAsia="zh-CN"/>
            </w:rPr>
            <w:t>过程管理工具</w:t>
          </w:r>
          <w:r>
            <w:tab/>
          </w:r>
          <w:r>
            <w:fldChar w:fldCharType="begin"/>
          </w:r>
          <w:r>
            <w:instrText xml:space="preserve"> PAGEREF _Toc29760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53F216A0">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_Toc5920 </w:instrText>
          </w:r>
          <w:r>
            <w:rPr>
              <w:rFonts w:hint="eastAsia" w:ascii="Microsoft JhengHei" w:hAnsi="Microsoft JhengHei" w:eastAsia="Microsoft JhengHei" w:cs="Microsoft JhengHei"/>
              <w:szCs w:val="24"/>
            </w:rPr>
            <w:fldChar w:fldCharType="separate"/>
          </w:r>
          <w:r>
            <w:rPr>
              <w:rFonts w:hint="default"/>
              <w:lang w:val="en-US" w:eastAsia="zh-CN"/>
            </w:rPr>
            <w:t xml:space="preserve">6.2. </w:t>
          </w:r>
          <w:r>
            <w:rPr>
              <w:rFonts w:hint="eastAsia"/>
              <w:lang w:val="en-US" w:eastAsia="zh-CN"/>
            </w:rPr>
            <w:t>监控工具</w:t>
          </w:r>
          <w:r>
            <w:tab/>
          </w:r>
          <w:r>
            <w:fldChar w:fldCharType="begin"/>
          </w:r>
          <w:r>
            <w:instrText xml:space="preserve"> PAGEREF _Toc5920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4594FFB9">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_Toc3414 </w:instrText>
          </w:r>
          <w:r>
            <w:rPr>
              <w:rFonts w:hint="eastAsia" w:ascii="Microsoft JhengHei" w:hAnsi="Microsoft JhengHei" w:eastAsia="Microsoft JhengHei" w:cs="Microsoft JhengHei"/>
              <w:szCs w:val="24"/>
            </w:rPr>
            <w:fldChar w:fldCharType="separate"/>
          </w:r>
          <w:r>
            <w:rPr>
              <w:rFonts w:hint="default"/>
              <w:lang w:val="en-US" w:eastAsia="zh-CN"/>
            </w:rPr>
            <w:t xml:space="preserve">6.3. </w:t>
          </w:r>
          <w:r>
            <w:rPr>
              <w:rFonts w:hint="eastAsia"/>
              <w:lang w:val="en-US" w:eastAsia="zh-CN"/>
            </w:rPr>
            <w:t>专用工具</w:t>
          </w:r>
          <w:r>
            <w:tab/>
          </w:r>
          <w:r>
            <w:fldChar w:fldCharType="begin"/>
          </w:r>
          <w:r>
            <w:instrText xml:space="preserve"> PAGEREF _Toc3414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015ACB53">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_Toc31522 </w:instrText>
          </w:r>
          <w:r>
            <w:rPr>
              <w:rFonts w:hint="eastAsia" w:ascii="Microsoft JhengHei" w:hAnsi="Microsoft JhengHei" w:eastAsia="Microsoft JhengHei" w:cs="Microsoft JhengHei"/>
              <w:szCs w:val="24"/>
            </w:rPr>
            <w:fldChar w:fldCharType="separate"/>
          </w:r>
          <w:r>
            <w:rPr>
              <w:rFonts w:hint="default"/>
            </w:rPr>
            <w:t xml:space="preserve">7. </w:t>
          </w:r>
          <w:r>
            <w:t>运维工具权限和密码管理</w:t>
          </w:r>
          <w:r>
            <w:tab/>
          </w:r>
          <w:r>
            <w:fldChar w:fldCharType="begin"/>
          </w:r>
          <w:r>
            <w:instrText xml:space="preserve"> PAGEREF _Toc31522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392E14B5">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_Toc14758 </w:instrText>
          </w:r>
          <w:r>
            <w:rPr>
              <w:rFonts w:hint="eastAsia" w:ascii="Microsoft JhengHei" w:hAnsi="Microsoft JhengHei" w:eastAsia="Microsoft JhengHei" w:cs="Microsoft JhengHei"/>
              <w:szCs w:val="24"/>
            </w:rPr>
            <w:fldChar w:fldCharType="separate"/>
          </w:r>
          <w:r>
            <w:rPr>
              <w:rFonts w:hint="default"/>
            </w:rPr>
            <w:t xml:space="preserve">8. </w:t>
          </w:r>
          <w:r>
            <w:t>运维工具日常管理</w:t>
          </w:r>
          <w:r>
            <w:tab/>
          </w:r>
          <w:r>
            <w:fldChar w:fldCharType="begin"/>
          </w:r>
          <w:r>
            <w:instrText xml:space="preserve"> PAGEREF _Toc14758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398B3A67">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_Toc15052 </w:instrText>
          </w:r>
          <w:r>
            <w:rPr>
              <w:rFonts w:hint="eastAsia" w:ascii="Microsoft JhengHei" w:hAnsi="Microsoft JhengHei" w:eastAsia="Microsoft JhengHei" w:cs="Microsoft JhengHei"/>
              <w:szCs w:val="24"/>
            </w:rPr>
            <w:fldChar w:fldCharType="separate"/>
          </w:r>
          <w:r>
            <w:rPr>
              <w:rFonts w:hint="default"/>
            </w:rPr>
            <w:t xml:space="preserve">9. </w:t>
          </w:r>
          <w:r>
            <w:rPr>
              <w:rFonts w:hint="eastAsia"/>
              <w:lang w:val="en-US" w:eastAsia="zh-CN"/>
            </w:rPr>
            <w:t>考核指标</w:t>
          </w:r>
          <w:r>
            <w:tab/>
          </w:r>
          <w:r>
            <w:fldChar w:fldCharType="begin"/>
          </w:r>
          <w:r>
            <w:instrText xml:space="preserve"> PAGEREF _Toc15052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18290FDF">
          <w:pPr>
            <w:spacing w:line="220" w:lineRule="auto"/>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4BF65D61">
      <w:pPr>
        <w:spacing w:line="220" w:lineRule="auto"/>
        <w:rPr>
          <w:rFonts w:hint="eastAsia" w:ascii="Microsoft JhengHei" w:hAnsi="Microsoft JhengHei" w:eastAsia="Microsoft JhengHei" w:cs="Microsoft JhengHei"/>
          <w:snapToGrid w:val="0"/>
          <w:color w:val="000000"/>
          <w:kern w:val="0"/>
          <w:sz w:val="24"/>
          <w:szCs w:val="24"/>
          <w:lang w:val="en-US" w:eastAsia="en-US" w:bidi="ar-SA"/>
        </w:rPr>
        <w:sectPr>
          <w:pgSz w:w="11906" w:h="16839"/>
          <w:pgMar w:top="1431" w:right="1700" w:bottom="0" w:left="1709" w:header="0" w:footer="0" w:gutter="0"/>
          <w:cols w:space="720" w:num="1"/>
        </w:sectPr>
      </w:pPr>
    </w:p>
    <w:p w14:paraId="5BBD1C14">
      <w:pPr>
        <w:pStyle w:val="26"/>
        <w:bidi w:val="0"/>
      </w:pPr>
      <w:bookmarkStart w:id="4" w:name="_Toc21906"/>
      <w:r>
        <w:t>目的</w:t>
      </w:r>
      <w:bookmarkEnd w:id="4"/>
    </w:p>
    <w:p w14:paraId="311A8768">
      <w:pPr>
        <w:spacing w:before="169" w:line="362" w:lineRule="auto"/>
        <w:ind w:left="23" w:right="40" w:firstLine="482"/>
        <w:jc w:val="both"/>
        <w:rPr>
          <w:rFonts w:ascii="宋体" w:hAnsi="宋体" w:eastAsia="宋体" w:cs="宋体"/>
          <w:sz w:val="24"/>
          <w:szCs w:val="24"/>
        </w:rPr>
      </w:pPr>
      <w:r>
        <w:rPr>
          <w:rFonts w:ascii="宋体" w:hAnsi="宋体" w:eastAsia="宋体" w:cs="宋体"/>
          <w:spacing w:val="-1"/>
          <w:sz w:val="24"/>
          <w:szCs w:val="24"/>
        </w:rPr>
        <w:t>为保证</w:t>
      </w:r>
      <w:r>
        <w:rPr>
          <w:rFonts w:ascii="宋体" w:hAnsi="宋体" w:eastAsia="宋体" w:cs="宋体"/>
          <w:spacing w:val="-37"/>
          <w:sz w:val="24"/>
          <w:szCs w:val="24"/>
        </w:rPr>
        <w:t xml:space="preserve"> </w:t>
      </w:r>
      <w:r>
        <w:rPr>
          <w:rFonts w:ascii="宋体" w:hAnsi="宋体" w:eastAsia="宋体" w:cs="宋体"/>
          <w:spacing w:val="-1"/>
          <w:sz w:val="24"/>
          <w:szCs w:val="24"/>
        </w:rPr>
        <w:t>IT</w:t>
      </w:r>
      <w:r>
        <w:rPr>
          <w:rFonts w:ascii="宋体" w:hAnsi="宋体" w:eastAsia="宋体" w:cs="宋体"/>
          <w:spacing w:val="-51"/>
          <w:sz w:val="24"/>
          <w:szCs w:val="24"/>
        </w:rPr>
        <w:t xml:space="preserve"> </w:t>
      </w:r>
      <w:r>
        <w:rPr>
          <w:rFonts w:ascii="宋体" w:hAnsi="宋体" w:eastAsia="宋体" w:cs="宋体"/>
          <w:spacing w:val="-1"/>
          <w:sz w:val="24"/>
          <w:szCs w:val="24"/>
        </w:rPr>
        <w:t>运维系统安全稳定的运行，满足需</w:t>
      </w:r>
      <w:r>
        <w:rPr>
          <w:rFonts w:ascii="宋体" w:hAnsi="宋体" w:eastAsia="宋体" w:cs="宋体"/>
          <w:spacing w:val="-2"/>
          <w:sz w:val="24"/>
          <w:szCs w:val="24"/>
        </w:rPr>
        <w:t>方运行维护服务需求，明确岗</w:t>
      </w:r>
      <w:r>
        <w:rPr>
          <w:rFonts w:ascii="宋体" w:hAnsi="宋体" w:eastAsia="宋体" w:cs="宋体"/>
          <w:sz w:val="24"/>
          <w:szCs w:val="24"/>
        </w:rPr>
        <w:t>位职责、规范系统操作、提高系统可靠性和维护管理</w:t>
      </w:r>
      <w:r>
        <w:rPr>
          <w:rFonts w:ascii="宋体" w:hAnsi="宋体" w:eastAsia="宋体" w:cs="宋体"/>
          <w:spacing w:val="-1"/>
          <w:sz w:val="24"/>
          <w:szCs w:val="24"/>
        </w:rPr>
        <w:t>水平，特制定运维工具管</w:t>
      </w:r>
      <w:r>
        <w:rPr>
          <w:rFonts w:ascii="宋体" w:hAnsi="宋体" w:eastAsia="宋体" w:cs="宋体"/>
          <w:spacing w:val="-9"/>
          <w:sz w:val="24"/>
          <w:szCs w:val="24"/>
        </w:rPr>
        <w:t>理制度。</w:t>
      </w:r>
    </w:p>
    <w:p w14:paraId="529D5A10">
      <w:pPr>
        <w:pStyle w:val="26"/>
        <w:bidi w:val="0"/>
      </w:pPr>
      <w:bookmarkStart w:id="5" w:name="_Toc1177"/>
      <w:r>
        <w:t>适用范围</w:t>
      </w:r>
      <w:bookmarkEnd w:id="5"/>
    </w:p>
    <w:p w14:paraId="236F298D">
      <w:pPr>
        <w:spacing w:before="176" w:line="362" w:lineRule="auto"/>
        <w:ind w:left="26" w:right="160" w:firstLine="477"/>
        <w:rPr>
          <w:rFonts w:ascii="宋体" w:hAnsi="宋体" w:eastAsia="宋体" w:cs="宋体"/>
          <w:sz w:val="24"/>
          <w:szCs w:val="24"/>
        </w:rPr>
      </w:pPr>
      <w:r>
        <w:rPr>
          <w:rFonts w:ascii="宋体" w:hAnsi="宋体" w:eastAsia="宋体" w:cs="宋体"/>
          <w:sz w:val="24"/>
          <w:szCs w:val="24"/>
        </w:rPr>
        <w:t>运行维护服务过程中使用的运行维护工具，主要</w:t>
      </w:r>
      <w:r>
        <w:rPr>
          <w:rFonts w:ascii="宋体" w:hAnsi="宋体" w:eastAsia="宋体" w:cs="宋体"/>
          <w:spacing w:val="-1"/>
          <w:sz w:val="24"/>
          <w:szCs w:val="24"/>
        </w:rPr>
        <w:t>包括运维过程工具、监控</w:t>
      </w:r>
      <w:r>
        <w:rPr>
          <w:rFonts w:ascii="宋体" w:hAnsi="宋体" w:eastAsia="宋体" w:cs="宋体"/>
          <w:spacing w:val="-6"/>
          <w:sz w:val="24"/>
          <w:szCs w:val="24"/>
        </w:rPr>
        <w:t>工具及其他工具。</w:t>
      </w:r>
    </w:p>
    <w:p w14:paraId="3E710815">
      <w:pPr>
        <w:pStyle w:val="26"/>
        <w:bidi w:val="0"/>
      </w:pPr>
      <w:bookmarkStart w:id="6" w:name="_Toc543"/>
      <w:r>
        <w:t>引用文件</w:t>
      </w:r>
      <w:bookmarkEnd w:id="6"/>
    </w:p>
    <w:p w14:paraId="39FCB846">
      <w:pPr>
        <w:spacing w:before="176" w:line="220" w:lineRule="auto"/>
        <w:ind w:left="521"/>
        <w:rPr>
          <w:rFonts w:ascii="宋体" w:hAnsi="宋体" w:eastAsia="宋体" w:cs="宋体"/>
          <w:sz w:val="24"/>
          <w:szCs w:val="24"/>
        </w:rPr>
      </w:pPr>
      <w:r>
        <w:rPr>
          <w:rFonts w:ascii="宋体" w:hAnsi="宋体" w:eastAsia="宋体" w:cs="宋体"/>
          <w:spacing w:val="-1"/>
          <w:sz w:val="24"/>
          <w:szCs w:val="24"/>
        </w:rPr>
        <w:t xml:space="preserve">1. </w:t>
      </w:r>
      <w:r>
        <w:rPr>
          <w:rFonts w:hint="eastAsia" w:ascii="宋体" w:hAnsi="宋体" w:eastAsia="宋体" w:cs="宋体"/>
          <w:spacing w:val="-1"/>
          <w:sz w:val="24"/>
          <w:szCs w:val="24"/>
        </w:rPr>
        <w:t>T/CESA 1299—2023</w:t>
      </w:r>
      <w:r>
        <w:rPr>
          <w:rFonts w:ascii="宋体" w:hAnsi="宋体" w:eastAsia="宋体" w:cs="宋体"/>
          <w:spacing w:val="-1"/>
          <w:sz w:val="24"/>
          <w:szCs w:val="24"/>
        </w:rPr>
        <w:t xml:space="preserve"> 《信息技术服务 运行维护服务能力成熟度模型》</w:t>
      </w:r>
    </w:p>
    <w:p w14:paraId="1A2C51E2">
      <w:pPr>
        <w:spacing w:before="182" w:line="220" w:lineRule="auto"/>
        <w:ind w:left="506"/>
        <w:rPr>
          <w:rFonts w:ascii="宋体" w:hAnsi="宋体" w:eastAsia="宋体" w:cs="宋体"/>
          <w:sz w:val="24"/>
          <w:szCs w:val="24"/>
        </w:rPr>
      </w:pPr>
      <w:r>
        <w:rPr>
          <w:rFonts w:ascii="宋体" w:hAnsi="宋体" w:eastAsia="宋体" w:cs="宋体"/>
          <w:spacing w:val="-1"/>
          <w:sz w:val="24"/>
          <w:szCs w:val="24"/>
        </w:rPr>
        <w:t>2. GB/T 28827.1-2022 《信息技术服务</w:t>
      </w:r>
      <w:r>
        <w:rPr>
          <w:rFonts w:ascii="宋体" w:hAnsi="宋体" w:eastAsia="宋体" w:cs="宋体"/>
          <w:spacing w:val="-2"/>
          <w:sz w:val="24"/>
          <w:szCs w:val="24"/>
        </w:rPr>
        <w:t xml:space="preserve"> 运行维护 第</w:t>
      </w:r>
      <w:r>
        <w:rPr>
          <w:rFonts w:ascii="宋体" w:hAnsi="宋体" w:eastAsia="宋体" w:cs="宋体"/>
          <w:spacing w:val="-33"/>
          <w:sz w:val="24"/>
          <w:szCs w:val="24"/>
        </w:rPr>
        <w:t xml:space="preserve"> </w:t>
      </w:r>
      <w:r>
        <w:rPr>
          <w:rFonts w:ascii="宋体" w:hAnsi="宋体" w:eastAsia="宋体" w:cs="宋体"/>
          <w:spacing w:val="-2"/>
          <w:sz w:val="24"/>
          <w:szCs w:val="24"/>
        </w:rPr>
        <w:t>1</w:t>
      </w:r>
      <w:r>
        <w:rPr>
          <w:rFonts w:ascii="宋体" w:hAnsi="宋体" w:eastAsia="宋体" w:cs="宋体"/>
          <w:spacing w:val="-47"/>
          <w:sz w:val="24"/>
          <w:szCs w:val="24"/>
        </w:rPr>
        <w:t xml:space="preserve"> </w:t>
      </w:r>
      <w:r>
        <w:rPr>
          <w:rFonts w:ascii="宋体" w:hAnsi="宋体" w:eastAsia="宋体" w:cs="宋体"/>
          <w:spacing w:val="-2"/>
          <w:sz w:val="24"/>
          <w:szCs w:val="24"/>
        </w:rPr>
        <w:t>部分：通用要求》</w:t>
      </w:r>
    </w:p>
    <w:p w14:paraId="71DA9DFD">
      <w:pPr>
        <w:spacing w:before="182" w:line="220" w:lineRule="auto"/>
        <w:ind w:left="508"/>
        <w:rPr>
          <w:rFonts w:ascii="宋体" w:hAnsi="宋体" w:eastAsia="宋体" w:cs="宋体"/>
          <w:sz w:val="24"/>
          <w:szCs w:val="24"/>
        </w:rPr>
      </w:pPr>
      <w:r>
        <w:rPr>
          <w:rFonts w:ascii="宋体" w:hAnsi="宋体" w:eastAsia="宋体" w:cs="宋体"/>
          <w:spacing w:val="-1"/>
          <w:sz w:val="24"/>
          <w:szCs w:val="24"/>
        </w:rPr>
        <w:t>3. GB/T 28827.2-2012 《信息技术服务 运行维护 第</w:t>
      </w:r>
      <w:r>
        <w:rPr>
          <w:rFonts w:ascii="宋体" w:hAnsi="宋体" w:eastAsia="宋体" w:cs="宋体"/>
          <w:spacing w:val="-48"/>
          <w:sz w:val="24"/>
          <w:szCs w:val="24"/>
        </w:rPr>
        <w:t xml:space="preserve"> </w:t>
      </w:r>
      <w:r>
        <w:rPr>
          <w:rFonts w:ascii="宋体" w:hAnsi="宋体" w:eastAsia="宋体" w:cs="宋体"/>
          <w:spacing w:val="-1"/>
          <w:sz w:val="24"/>
          <w:szCs w:val="24"/>
        </w:rPr>
        <w:t>2</w:t>
      </w:r>
      <w:r>
        <w:rPr>
          <w:rFonts w:ascii="宋体" w:hAnsi="宋体" w:eastAsia="宋体" w:cs="宋体"/>
          <w:spacing w:val="-47"/>
          <w:sz w:val="24"/>
          <w:szCs w:val="24"/>
        </w:rPr>
        <w:t xml:space="preserve"> </w:t>
      </w:r>
      <w:r>
        <w:rPr>
          <w:rFonts w:ascii="宋体" w:hAnsi="宋体" w:eastAsia="宋体" w:cs="宋体"/>
          <w:spacing w:val="-1"/>
          <w:sz w:val="24"/>
          <w:szCs w:val="24"/>
        </w:rPr>
        <w:t>部分：交付</w:t>
      </w:r>
      <w:r>
        <w:rPr>
          <w:rFonts w:ascii="宋体" w:hAnsi="宋体" w:eastAsia="宋体" w:cs="宋体"/>
          <w:spacing w:val="-2"/>
          <w:sz w:val="24"/>
          <w:szCs w:val="24"/>
        </w:rPr>
        <w:t>规范》</w:t>
      </w:r>
    </w:p>
    <w:p w14:paraId="0222BDE7">
      <w:pPr>
        <w:spacing w:before="183" w:line="292" w:lineRule="auto"/>
        <w:ind w:left="29" w:right="14" w:firstLine="473"/>
        <w:rPr>
          <w:rFonts w:ascii="宋体" w:hAnsi="宋体" w:eastAsia="宋体" w:cs="宋体"/>
          <w:sz w:val="24"/>
          <w:szCs w:val="24"/>
        </w:rPr>
      </w:pPr>
      <w:r>
        <w:rPr>
          <w:rFonts w:ascii="宋体" w:hAnsi="宋体" w:eastAsia="宋体" w:cs="宋体"/>
          <w:spacing w:val="-1"/>
          <w:sz w:val="24"/>
          <w:szCs w:val="24"/>
        </w:rPr>
        <w:t>4. GB/T 28827.3-2012 《信息技术服务 运行维护</w:t>
      </w:r>
      <w:r>
        <w:rPr>
          <w:rFonts w:ascii="宋体" w:hAnsi="宋体" w:eastAsia="宋体" w:cs="宋体"/>
          <w:spacing w:val="33"/>
          <w:sz w:val="24"/>
          <w:szCs w:val="24"/>
        </w:rPr>
        <w:t xml:space="preserve"> </w:t>
      </w:r>
      <w:r>
        <w:rPr>
          <w:rFonts w:ascii="宋体" w:hAnsi="宋体" w:eastAsia="宋体" w:cs="宋体"/>
          <w:spacing w:val="-1"/>
          <w:sz w:val="24"/>
          <w:szCs w:val="24"/>
        </w:rPr>
        <w:t>第</w:t>
      </w:r>
      <w:r>
        <w:rPr>
          <w:rFonts w:ascii="宋体" w:hAnsi="宋体" w:eastAsia="宋体" w:cs="宋体"/>
          <w:spacing w:val="-46"/>
          <w:sz w:val="24"/>
          <w:szCs w:val="24"/>
        </w:rPr>
        <w:t xml:space="preserve"> </w:t>
      </w:r>
      <w:r>
        <w:rPr>
          <w:rFonts w:ascii="宋体" w:hAnsi="宋体" w:eastAsia="宋体" w:cs="宋体"/>
          <w:spacing w:val="-1"/>
          <w:sz w:val="24"/>
          <w:szCs w:val="24"/>
        </w:rPr>
        <w:t>3</w:t>
      </w:r>
      <w:r>
        <w:rPr>
          <w:rFonts w:ascii="宋体" w:hAnsi="宋体" w:eastAsia="宋体" w:cs="宋体"/>
          <w:spacing w:val="-48"/>
          <w:sz w:val="24"/>
          <w:szCs w:val="24"/>
        </w:rPr>
        <w:t xml:space="preserve"> </w:t>
      </w:r>
      <w:r>
        <w:rPr>
          <w:rFonts w:ascii="宋体" w:hAnsi="宋体" w:eastAsia="宋体" w:cs="宋体"/>
          <w:spacing w:val="-1"/>
          <w:sz w:val="24"/>
          <w:szCs w:val="24"/>
        </w:rPr>
        <w:t>部分：应急响应规</w:t>
      </w:r>
      <w:r>
        <w:rPr>
          <w:rFonts w:ascii="宋体" w:hAnsi="宋体" w:eastAsia="宋体" w:cs="宋体"/>
          <w:spacing w:val="-8"/>
          <w:sz w:val="24"/>
          <w:szCs w:val="24"/>
        </w:rPr>
        <w:t>范》</w:t>
      </w:r>
    </w:p>
    <w:p w14:paraId="771C128C">
      <w:pPr>
        <w:spacing w:before="176" w:line="220" w:lineRule="auto"/>
        <w:ind w:left="508"/>
        <w:rPr>
          <w:rFonts w:ascii="宋体" w:hAnsi="宋体" w:eastAsia="宋体" w:cs="宋体"/>
          <w:sz w:val="24"/>
          <w:szCs w:val="24"/>
        </w:rPr>
      </w:pPr>
      <w:r>
        <w:rPr>
          <w:rFonts w:ascii="宋体" w:hAnsi="宋体" w:eastAsia="宋体" w:cs="宋体"/>
          <w:spacing w:val="-1"/>
          <w:sz w:val="24"/>
          <w:szCs w:val="24"/>
        </w:rPr>
        <w:t>5. GB/T 29264-2012 《信息技术服务 分类与代码》</w:t>
      </w:r>
    </w:p>
    <w:p w14:paraId="6FCA2CF0">
      <w:pPr>
        <w:spacing w:before="182" w:line="220" w:lineRule="auto"/>
        <w:ind w:left="505"/>
        <w:rPr>
          <w:rFonts w:ascii="宋体" w:hAnsi="宋体" w:eastAsia="宋体" w:cs="宋体"/>
          <w:sz w:val="24"/>
          <w:szCs w:val="24"/>
        </w:rPr>
      </w:pPr>
      <w:r>
        <w:rPr>
          <w:rFonts w:ascii="宋体" w:hAnsi="宋体" w:eastAsia="宋体" w:cs="宋体"/>
          <w:spacing w:val="-3"/>
          <w:sz w:val="24"/>
          <w:szCs w:val="24"/>
        </w:rPr>
        <w:t>6.</w:t>
      </w:r>
      <w:r>
        <w:rPr>
          <w:rFonts w:ascii="宋体" w:hAnsi="宋体" w:eastAsia="宋体" w:cs="宋体"/>
          <w:spacing w:val="38"/>
          <w:sz w:val="24"/>
          <w:szCs w:val="24"/>
        </w:rPr>
        <w:t xml:space="preserve"> </w:t>
      </w:r>
      <w:r>
        <w:rPr>
          <w:rFonts w:ascii="宋体" w:hAnsi="宋体" w:eastAsia="宋体" w:cs="宋体"/>
          <w:spacing w:val="-3"/>
          <w:sz w:val="24"/>
          <w:szCs w:val="24"/>
        </w:rPr>
        <w:t>国家有关法律、法规及行业标准</w:t>
      </w:r>
    </w:p>
    <w:p w14:paraId="4C9A81AC">
      <w:pPr>
        <w:pStyle w:val="26"/>
        <w:bidi w:val="0"/>
      </w:pPr>
      <w:bookmarkStart w:id="7" w:name="_Toc4262"/>
      <w:r>
        <w:t>角色与职责</w:t>
      </w:r>
      <w:bookmarkEnd w:id="7"/>
    </w:p>
    <w:p w14:paraId="75B2AE6A">
      <w:pPr>
        <w:spacing w:line="62" w:lineRule="exact"/>
      </w:pPr>
    </w:p>
    <w:tbl>
      <w:tblPr>
        <w:tblStyle w:val="24"/>
        <w:tblW w:w="9049"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7"/>
        <w:gridCol w:w="1977"/>
        <w:gridCol w:w="2265"/>
        <w:gridCol w:w="3810"/>
      </w:tblGrid>
      <w:tr w14:paraId="5BC42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2974" w:type="dxa"/>
            <w:gridSpan w:val="2"/>
          </w:tcPr>
          <w:p w14:paraId="40E2AE9B">
            <w:pPr>
              <w:spacing w:before="189" w:line="219" w:lineRule="auto"/>
              <w:ind w:left="1254"/>
              <w:rPr>
                <w:rFonts w:ascii="宋体" w:hAnsi="宋体" w:eastAsia="宋体" w:cs="宋体"/>
                <w:sz w:val="24"/>
                <w:szCs w:val="24"/>
              </w:rPr>
            </w:pPr>
            <w:r>
              <w:rPr>
                <w:rFonts w:ascii="宋体" w:hAnsi="宋体" w:eastAsia="宋体" w:cs="宋体"/>
                <w:b/>
                <w:bCs/>
                <w:spacing w:val="-6"/>
                <w:sz w:val="24"/>
                <w:szCs w:val="24"/>
              </w:rPr>
              <w:t>角色</w:t>
            </w:r>
          </w:p>
        </w:tc>
        <w:tc>
          <w:tcPr>
            <w:tcW w:w="2265" w:type="dxa"/>
          </w:tcPr>
          <w:p w14:paraId="190EF2F9">
            <w:pPr>
              <w:spacing w:before="189" w:line="220" w:lineRule="auto"/>
              <w:ind w:left="895"/>
              <w:rPr>
                <w:rFonts w:ascii="宋体" w:hAnsi="宋体" w:eastAsia="宋体" w:cs="宋体"/>
                <w:sz w:val="24"/>
                <w:szCs w:val="24"/>
              </w:rPr>
            </w:pPr>
            <w:r>
              <w:rPr>
                <w:rFonts w:ascii="宋体" w:hAnsi="宋体" w:eastAsia="宋体" w:cs="宋体"/>
                <w:b/>
                <w:bCs/>
                <w:spacing w:val="-5"/>
                <w:sz w:val="24"/>
                <w:szCs w:val="24"/>
              </w:rPr>
              <w:t>权限</w:t>
            </w:r>
          </w:p>
        </w:tc>
        <w:tc>
          <w:tcPr>
            <w:tcW w:w="3810" w:type="dxa"/>
          </w:tcPr>
          <w:p w14:paraId="20248ECE">
            <w:pPr>
              <w:spacing w:before="190" w:line="221" w:lineRule="auto"/>
              <w:ind w:left="1671"/>
              <w:rPr>
                <w:rFonts w:ascii="宋体" w:hAnsi="宋体" w:eastAsia="宋体" w:cs="宋体"/>
                <w:sz w:val="24"/>
                <w:szCs w:val="24"/>
              </w:rPr>
            </w:pPr>
            <w:r>
              <w:rPr>
                <w:rFonts w:ascii="宋体" w:hAnsi="宋体" w:eastAsia="宋体" w:cs="宋体"/>
                <w:b/>
                <w:bCs/>
                <w:spacing w:val="-6"/>
                <w:sz w:val="24"/>
                <w:szCs w:val="24"/>
              </w:rPr>
              <w:t>职责</w:t>
            </w:r>
          </w:p>
        </w:tc>
      </w:tr>
      <w:tr w14:paraId="73199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trPr>
        <w:tc>
          <w:tcPr>
            <w:tcW w:w="997" w:type="dxa"/>
            <w:vMerge w:val="restart"/>
            <w:tcBorders>
              <w:bottom w:val="nil"/>
            </w:tcBorders>
          </w:tcPr>
          <w:p w14:paraId="71C34D4F">
            <w:pPr>
              <w:pStyle w:val="25"/>
              <w:spacing w:line="273" w:lineRule="auto"/>
            </w:pPr>
          </w:p>
          <w:p w14:paraId="5C113FEF">
            <w:pPr>
              <w:pStyle w:val="25"/>
              <w:spacing w:line="273" w:lineRule="auto"/>
            </w:pPr>
          </w:p>
          <w:p w14:paraId="540B002A">
            <w:pPr>
              <w:pStyle w:val="25"/>
              <w:spacing w:line="273" w:lineRule="auto"/>
            </w:pPr>
          </w:p>
          <w:p w14:paraId="704FE8A8">
            <w:pPr>
              <w:pStyle w:val="25"/>
              <w:spacing w:line="273" w:lineRule="auto"/>
            </w:pPr>
          </w:p>
          <w:p w14:paraId="5F47EA76">
            <w:pPr>
              <w:pStyle w:val="25"/>
              <w:spacing w:line="273" w:lineRule="auto"/>
            </w:pPr>
          </w:p>
          <w:p w14:paraId="6DC55EF1">
            <w:pPr>
              <w:spacing w:before="78" w:line="222" w:lineRule="auto"/>
              <w:ind w:left="148"/>
              <w:rPr>
                <w:rFonts w:ascii="宋体" w:hAnsi="宋体" w:eastAsia="宋体" w:cs="宋体"/>
                <w:sz w:val="24"/>
                <w:szCs w:val="24"/>
              </w:rPr>
            </w:pPr>
            <w:r>
              <w:rPr>
                <w:rFonts w:ascii="宋体" w:hAnsi="宋体" w:eastAsia="宋体" w:cs="宋体"/>
                <w:b/>
                <w:bCs/>
                <w:spacing w:val="-7"/>
                <w:sz w:val="24"/>
                <w:szCs w:val="24"/>
              </w:rPr>
              <w:t>公司级</w:t>
            </w:r>
          </w:p>
        </w:tc>
        <w:tc>
          <w:tcPr>
            <w:tcW w:w="1977" w:type="dxa"/>
          </w:tcPr>
          <w:p w14:paraId="2FAABE3E">
            <w:pPr>
              <w:pStyle w:val="25"/>
              <w:spacing w:line="249" w:lineRule="auto"/>
            </w:pPr>
          </w:p>
          <w:p w14:paraId="5329867A">
            <w:pPr>
              <w:pStyle w:val="25"/>
              <w:spacing w:line="249" w:lineRule="auto"/>
            </w:pPr>
          </w:p>
          <w:p w14:paraId="4AFEC78A">
            <w:pPr>
              <w:spacing w:before="78" w:line="220" w:lineRule="auto"/>
              <w:ind w:left="269"/>
              <w:rPr>
                <w:rFonts w:ascii="宋体" w:hAnsi="宋体" w:eastAsia="宋体" w:cs="宋体"/>
                <w:sz w:val="24"/>
                <w:szCs w:val="24"/>
              </w:rPr>
            </w:pPr>
            <w:r>
              <w:rPr>
                <w:rFonts w:ascii="宋体" w:hAnsi="宋体" w:eastAsia="宋体" w:cs="宋体"/>
                <w:spacing w:val="-2"/>
                <w:sz w:val="24"/>
                <w:szCs w:val="24"/>
              </w:rPr>
              <w:t>研发部经理</w:t>
            </w:r>
          </w:p>
        </w:tc>
        <w:tc>
          <w:tcPr>
            <w:tcW w:w="2265" w:type="dxa"/>
          </w:tcPr>
          <w:p w14:paraId="77DE1728">
            <w:pPr>
              <w:pStyle w:val="25"/>
              <w:spacing w:line="249" w:lineRule="auto"/>
            </w:pPr>
          </w:p>
          <w:p w14:paraId="2C6491C5">
            <w:pPr>
              <w:pStyle w:val="25"/>
              <w:spacing w:line="249" w:lineRule="auto"/>
            </w:pPr>
          </w:p>
          <w:p w14:paraId="796C6FE5">
            <w:pPr>
              <w:spacing w:before="78" w:line="220" w:lineRule="auto"/>
              <w:ind w:left="542"/>
              <w:rPr>
                <w:rFonts w:ascii="宋体" w:hAnsi="宋体" w:eastAsia="宋体" w:cs="宋体"/>
                <w:sz w:val="24"/>
                <w:szCs w:val="24"/>
              </w:rPr>
            </w:pPr>
            <w:r>
              <w:rPr>
                <w:rFonts w:ascii="宋体" w:hAnsi="宋体" w:eastAsia="宋体" w:cs="宋体"/>
                <w:spacing w:val="-3"/>
                <w:sz w:val="24"/>
                <w:szCs w:val="24"/>
              </w:rPr>
              <w:t>管理员权限</w:t>
            </w:r>
          </w:p>
        </w:tc>
        <w:tc>
          <w:tcPr>
            <w:tcW w:w="3810" w:type="dxa"/>
          </w:tcPr>
          <w:p w14:paraId="25979955">
            <w:pPr>
              <w:spacing w:before="111" w:line="220" w:lineRule="auto"/>
              <w:ind w:left="236"/>
              <w:rPr>
                <w:rFonts w:ascii="宋体" w:hAnsi="宋体" w:eastAsia="宋体" w:cs="宋体"/>
                <w:sz w:val="24"/>
                <w:szCs w:val="24"/>
              </w:rPr>
            </w:pPr>
            <w:r>
              <w:rPr>
                <w:rFonts w:ascii="宋体" w:hAnsi="宋体" w:eastAsia="宋体" w:cs="宋体"/>
                <w:spacing w:val="-2"/>
                <w:sz w:val="24"/>
                <w:szCs w:val="24"/>
              </w:rPr>
              <w:t>管理运维系统开发，控制运维管</w:t>
            </w:r>
          </w:p>
          <w:p w14:paraId="0CBA2AA5">
            <w:pPr>
              <w:spacing w:before="182" w:line="220" w:lineRule="auto"/>
              <w:ind w:left="233"/>
              <w:rPr>
                <w:rFonts w:ascii="宋体" w:hAnsi="宋体" w:eastAsia="宋体" w:cs="宋体"/>
                <w:sz w:val="24"/>
                <w:szCs w:val="24"/>
              </w:rPr>
            </w:pPr>
            <w:r>
              <w:rPr>
                <w:rFonts w:ascii="宋体" w:hAnsi="宋体" w:eastAsia="宋体" w:cs="宋体"/>
                <w:spacing w:val="-1"/>
                <w:sz w:val="24"/>
                <w:szCs w:val="24"/>
              </w:rPr>
              <w:t>理系统开发方向和功能需管理和</w:t>
            </w:r>
          </w:p>
          <w:p w14:paraId="0D377C8A">
            <w:pPr>
              <w:spacing w:before="182" w:line="218" w:lineRule="auto"/>
              <w:ind w:left="1669"/>
              <w:rPr>
                <w:rFonts w:ascii="宋体" w:hAnsi="宋体" w:eastAsia="宋体" w:cs="宋体"/>
                <w:sz w:val="24"/>
                <w:szCs w:val="24"/>
              </w:rPr>
            </w:pPr>
            <w:r>
              <w:rPr>
                <w:rFonts w:ascii="宋体" w:hAnsi="宋体" w:eastAsia="宋体" w:cs="宋体"/>
                <w:spacing w:val="-3"/>
                <w:sz w:val="24"/>
                <w:szCs w:val="24"/>
              </w:rPr>
              <w:t>评估</w:t>
            </w:r>
          </w:p>
        </w:tc>
      </w:tr>
      <w:tr w14:paraId="2A7F4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997" w:type="dxa"/>
            <w:vMerge w:val="continue"/>
            <w:tcBorders>
              <w:top w:val="nil"/>
              <w:bottom w:val="nil"/>
            </w:tcBorders>
          </w:tcPr>
          <w:p w14:paraId="781DCCFA">
            <w:pPr>
              <w:pStyle w:val="25"/>
            </w:pPr>
          </w:p>
        </w:tc>
        <w:tc>
          <w:tcPr>
            <w:tcW w:w="1977" w:type="dxa"/>
          </w:tcPr>
          <w:p w14:paraId="365C319B">
            <w:pPr>
              <w:pStyle w:val="25"/>
              <w:spacing w:line="268" w:lineRule="auto"/>
            </w:pPr>
          </w:p>
          <w:p w14:paraId="6E6DC808">
            <w:pPr>
              <w:spacing w:before="78" w:line="220" w:lineRule="auto"/>
              <w:ind w:left="392"/>
              <w:rPr>
                <w:rFonts w:ascii="宋体" w:hAnsi="宋体" w:eastAsia="宋体" w:cs="宋体"/>
                <w:sz w:val="24"/>
                <w:szCs w:val="24"/>
              </w:rPr>
            </w:pPr>
            <w:r>
              <w:rPr>
                <w:rFonts w:ascii="宋体" w:hAnsi="宋体" w:eastAsia="宋体" w:cs="宋体"/>
                <w:spacing w:val="-2"/>
                <w:sz w:val="24"/>
                <w:szCs w:val="24"/>
              </w:rPr>
              <w:t>软件工程师</w:t>
            </w:r>
          </w:p>
        </w:tc>
        <w:tc>
          <w:tcPr>
            <w:tcW w:w="2265" w:type="dxa"/>
          </w:tcPr>
          <w:p w14:paraId="302A6192">
            <w:pPr>
              <w:pStyle w:val="25"/>
              <w:spacing w:line="268" w:lineRule="auto"/>
            </w:pPr>
          </w:p>
          <w:p w14:paraId="7C0A5DEB">
            <w:pPr>
              <w:spacing w:before="78" w:line="220" w:lineRule="auto"/>
              <w:ind w:left="542"/>
              <w:rPr>
                <w:rFonts w:ascii="宋体" w:hAnsi="宋体" w:eastAsia="宋体" w:cs="宋体"/>
                <w:sz w:val="24"/>
                <w:szCs w:val="24"/>
              </w:rPr>
            </w:pPr>
            <w:r>
              <w:rPr>
                <w:rFonts w:ascii="宋体" w:hAnsi="宋体" w:eastAsia="宋体" w:cs="宋体"/>
                <w:spacing w:val="-3"/>
                <w:sz w:val="24"/>
                <w:szCs w:val="24"/>
              </w:rPr>
              <w:t>管理员权限</w:t>
            </w:r>
          </w:p>
        </w:tc>
        <w:tc>
          <w:tcPr>
            <w:tcW w:w="3810" w:type="dxa"/>
          </w:tcPr>
          <w:p w14:paraId="3F8F49B7">
            <w:pPr>
              <w:spacing w:before="115" w:line="311" w:lineRule="auto"/>
              <w:ind w:left="116" w:right="335" w:hanging="3"/>
              <w:rPr>
                <w:rFonts w:ascii="宋体" w:hAnsi="宋体" w:eastAsia="宋体" w:cs="宋体"/>
                <w:sz w:val="24"/>
                <w:szCs w:val="24"/>
              </w:rPr>
            </w:pPr>
            <w:r>
              <w:rPr>
                <w:rFonts w:ascii="宋体" w:hAnsi="宋体" w:eastAsia="宋体" w:cs="宋体"/>
                <w:spacing w:val="-1"/>
                <w:sz w:val="24"/>
                <w:szCs w:val="24"/>
              </w:rPr>
              <w:t>运维管理系统开发方向和功能开</w:t>
            </w:r>
            <w:r>
              <w:rPr>
                <w:rFonts w:ascii="宋体" w:hAnsi="宋体" w:eastAsia="宋体" w:cs="宋体"/>
                <w:sz w:val="24"/>
                <w:szCs w:val="24"/>
              </w:rPr>
              <w:t>发</w:t>
            </w:r>
          </w:p>
        </w:tc>
      </w:tr>
      <w:tr w14:paraId="09D59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7" w:hRule="atLeast"/>
        </w:trPr>
        <w:tc>
          <w:tcPr>
            <w:tcW w:w="997" w:type="dxa"/>
            <w:vMerge w:val="continue"/>
            <w:tcBorders>
              <w:top w:val="nil"/>
            </w:tcBorders>
          </w:tcPr>
          <w:p w14:paraId="7A5D5DC0">
            <w:pPr>
              <w:pStyle w:val="25"/>
            </w:pPr>
          </w:p>
        </w:tc>
        <w:tc>
          <w:tcPr>
            <w:tcW w:w="1977" w:type="dxa"/>
          </w:tcPr>
          <w:p w14:paraId="39F5D663">
            <w:pPr>
              <w:spacing w:before="276" w:line="220" w:lineRule="auto"/>
              <w:ind w:left="152"/>
              <w:rPr>
                <w:rFonts w:ascii="宋体" w:hAnsi="宋体" w:eastAsia="宋体" w:cs="宋体"/>
                <w:sz w:val="24"/>
                <w:szCs w:val="24"/>
              </w:rPr>
            </w:pPr>
            <w:r>
              <w:rPr>
                <w:rFonts w:ascii="宋体" w:hAnsi="宋体" w:eastAsia="宋体" w:cs="宋体"/>
                <w:spacing w:val="-2"/>
                <w:sz w:val="24"/>
                <w:szCs w:val="24"/>
              </w:rPr>
              <w:t>软件测试工程师</w:t>
            </w:r>
          </w:p>
        </w:tc>
        <w:tc>
          <w:tcPr>
            <w:tcW w:w="2265" w:type="dxa"/>
          </w:tcPr>
          <w:p w14:paraId="2BE3E3FB">
            <w:pPr>
              <w:spacing w:before="276" w:line="220" w:lineRule="auto"/>
              <w:ind w:left="657"/>
              <w:rPr>
                <w:rFonts w:ascii="宋体" w:hAnsi="宋体" w:eastAsia="宋体" w:cs="宋体"/>
                <w:sz w:val="24"/>
                <w:szCs w:val="24"/>
              </w:rPr>
            </w:pPr>
            <w:r>
              <w:rPr>
                <w:rFonts w:ascii="宋体" w:hAnsi="宋体" w:eastAsia="宋体" w:cs="宋体"/>
                <w:spacing w:val="-2"/>
                <w:sz w:val="24"/>
                <w:szCs w:val="24"/>
              </w:rPr>
              <w:t>测试权限</w:t>
            </w:r>
          </w:p>
        </w:tc>
        <w:tc>
          <w:tcPr>
            <w:tcW w:w="3810" w:type="dxa"/>
          </w:tcPr>
          <w:p w14:paraId="707E1C53">
            <w:pPr>
              <w:spacing w:before="276" w:line="220" w:lineRule="auto"/>
              <w:ind w:left="112"/>
              <w:rPr>
                <w:rFonts w:ascii="宋体" w:hAnsi="宋体" w:eastAsia="宋体" w:cs="宋体"/>
                <w:sz w:val="24"/>
                <w:szCs w:val="24"/>
              </w:rPr>
            </w:pPr>
            <w:r>
              <w:rPr>
                <w:rFonts w:ascii="宋体" w:hAnsi="宋体" w:eastAsia="宋体" w:cs="宋体"/>
                <w:spacing w:val="-1"/>
                <w:sz w:val="24"/>
                <w:szCs w:val="24"/>
              </w:rPr>
              <w:t>对开发完的软件和功能进行测试</w:t>
            </w:r>
          </w:p>
        </w:tc>
      </w:tr>
      <w:tr w14:paraId="4BE2A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997" w:type="dxa"/>
            <w:vMerge w:val="restart"/>
            <w:tcBorders>
              <w:bottom w:val="nil"/>
            </w:tcBorders>
          </w:tcPr>
          <w:p w14:paraId="644831FE">
            <w:pPr>
              <w:pStyle w:val="25"/>
              <w:spacing w:line="282" w:lineRule="auto"/>
            </w:pPr>
          </w:p>
          <w:p w14:paraId="60E34836">
            <w:pPr>
              <w:pStyle w:val="25"/>
              <w:spacing w:line="283" w:lineRule="auto"/>
            </w:pPr>
          </w:p>
          <w:p w14:paraId="50C214CF">
            <w:pPr>
              <w:spacing w:before="78" w:line="220" w:lineRule="auto"/>
              <w:ind w:left="116"/>
              <w:rPr>
                <w:rFonts w:ascii="宋体" w:hAnsi="宋体" w:eastAsia="宋体" w:cs="宋体"/>
                <w:sz w:val="24"/>
                <w:szCs w:val="24"/>
              </w:rPr>
            </w:pPr>
            <w:r>
              <w:rPr>
                <w:rFonts w:ascii="宋体" w:hAnsi="宋体" w:eastAsia="宋体" w:cs="宋体"/>
                <w:b/>
                <w:bCs/>
                <w:spacing w:val="-6"/>
                <w:sz w:val="24"/>
                <w:szCs w:val="24"/>
              </w:rPr>
              <w:t>项目级</w:t>
            </w:r>
          </w:p>
        </w:tc>
        <w:tc>
          <w:tcPr>
            <w:tcW w:w="1977" w:type="dxa"/>
          </w:tcPr>
          <w:p w14:paraId="00273654">
            <w:pPr>
              <w:pStyle w:val="25"/>
              <w:spacing w:line="272" w:lineRule="auto"/>
            </w:pPr>
          </w:p>
          <w:p w14:paraId="6AC24E31">
            <w:pPr>
              <w:spacing w:before="78" w:line="220" w:lineRule="auto"/>
              <w:ind w:left="149"/>
              <w:rPr>
                <w:rFonts w:hint="default" w:ascii="宋体" w:hAnsi="宋体" w:eastAsia="宋体" w:cs="宋体"/>
                <w:sz w:val="24"/>
                <w:szCs w:val="24"/>
                <w:lang w:val="en-US" w:eastAsia="zh-CN"/>
              </w:rPr>
            </w:pPr>
            <w:r>
              <w:rPr>
                <w:rFonts w:hint="eastAsia" w:ascii="宋体" w:hAnsi="宋体" w:cs="宋体"/>
                <w:spacing w:val="-2"/>
                <w:sz w:val="24"/>
                <w:szCs w:val="24"/>
                <w:lang w:val="en-US" w:eastAsia="zh-CN"/>
              </w:rPr>
              <w:t>运维实施工程师</w:t>
            </w:r>
          </w:p>
        </w:tc>
        <w:tc>
          <w:tcPr>
            <w:tcW w:w="2265" w:type="dxa"/>
          </w:tcPr>
          <w:p w14:paraId="22E39E0D">
            <w:pPr>
              <w:pStyle w:val="25"/>
              <w:spacing w:line="272" w:lineRule="auto"/>
            </w:pPr>
          </w:p>
          <w:p w14:paraId="5BCACB31">
            <w:pPr>
              <w:spacing w:before="78" w:line="220" w:lineRule="auto"/>
              <w:ind w:left="542"/>
              <w:rPr>
                <w:rFonts w:ascii="宋体" w:hAnsi="宋体" w:eastAsia="宋体" w:cs="宋体"/>
                <w:sz w:val="24"/>
                <w:szCs w:val="24"/>
              </w:rPr>
            </w:pPr>
            <w:r>
              <w:rPr>
                <w:rFonts w:ascii="宋体" w:hAnsi="宋体" w:eastAsia="宋体" w:cs="宋体"/>
                <w:spacing w:val="-3"/>
                <w:sz w:val="24"/>
                <w:szCs w:val="24"/>
              </w:rPr>
              <w:t>管理员权限</w:t>
            </w:r>
          </w:p>
        </w:tc>
        <w:tc>
          <w:tcPr>
            <w:tcW w:w="3810" w:type="dxa"/>
          </w:tcPr>
          <w:p w14:paraId="6E2F536B">
            <w:pPr>
              <w:spacing w:before="118" w:line="310" w:lineRule="auto"/>
              <w:ind w:left="111" w:right="335" w:firstLine="2"/>
              <w:rPr>
                <w:rFonts w:ascii="宋体" w:hAnsi="宋体" w:eastAsia="宋体" w:cs="宋体"/>
                <w:sz w:val="24"/>
                <w:szCs w:val="24"/>
              </w:rPr>
            </w:pPr>
            <w:r>
              <w:rPr>
                <w:rFonts w:ascii="宋体" w:hAnsi="宋体" w:eastAsia="宋体" w:cs="宋体"/>
                <w:spacing w:val="-1"/>
                <w:sz w:val="24"/>
                <w:szCs w:val="24"/>
              </w:rPr>
              <w:t>使用和管理工具使用，并提出改</w:t>
            </w:r>
            <w:r>
              <w:rPr>
                <w:rFonts w:ascii="宋体" w:hAnsi="宋体" w:eastAsia="宋体" w:cs="宋体"/>
                <w:spacing w:val="-2"/>
                <w:sz w:val="24"/>
                <w:szCs w:val="24"/>
              </w:rPr>
              <w:t>进需求</w:t>
            </w:r>
          </w:p>
        </w:tc>
      </w:tr>
      <w:tr w14:paraId="2E867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1" w:hRule="atLeast"/>
        </w:trPr>
        <w:tc>
          <w:tcPr>
            <w:tcW w:w="997" w:type="dxa"/>
            <w:vMerge w:val="continue"/>
            <w:tcBorders>
              <w:top w:val="nil"/>
            </w:tcBorders>
          </w:tcPr>
          <w:p w14:paraId="1DC6852E">
            <w:pPr>
              <w:pStyle w:val="25"/>
            </w:pPr>
          </w:p>
        </w:tc>
        <w:tc>
          <w:tcPr>
            <w:tcW w:w="1977" w:type="dxa"/>
          </w:tcPr>
          <w:p w14:paraId="35FA3A6A">
            <w:pPr>
              <w:spacing w:before="175" w:line="220" w:lineRule="auto"/>
              <w:ind w:left="273"/>
              <w:rPr>
                <w:rFonts w:ascii="宋体" w:hAnsi="宋体" w:eastAsia="宋体" w:cs="宋体"/>
                <w:sz w:val="24"/>
                <w:szCs w:val="24"/>
              </w:rPr>
            </w:pPr>
            <w:r>
              <w:rPr>
                <w:rFonts w:ascii="宋体" w:hAnsi="宋体" w:eastAsia="宋体" w:cs="宋体"/>
                <w:spacing w:val="-2"/>
                <w:sz w:val="24"/>
                <w:szCs w:val="24"/>
              </w:rPr>
              <w:t>项目相关人员</w:t>
            </w:r>
          </w:p>
        </w:tc>
        <w:tc>
          <w:tcPr>
            <w:tcW w:w="2265" w:type="dxa"/>
          </w:tcPr>
          <w:p w14:paraId="0B62D2E7">
            <w:pPr>
              <w:spacing w:before="174" w:line="220" w:lineRule="auto"/>
              <w:ind w:left="180"/>
              <w:rPr>
                <w:rFonts w:ascii="宋体" w:hAnsi="宋体" w:eastAsia="宋体" w:cs="宋体"/>
                <w:sz w:val="24"/>
                <w:szCs w:val="24"/>
              </w:rPr>
            </w:pPr>
            <w:r>
              <w:rPr>
                <w:rFonts w:ascii="宋体" w:hAnsi="宋体" w:eastAsia="宋体" w:cs="宋体"/>
                <w:spacing w:val="-2"/>
                <w:sz w:val="24"/>
                <w:szCs w:val="24"/>
              </w:rPr>
              <w:t>项目相关工作使用</w:t>
            </w:r>
          </w:p>
        </w:tc>
        <w:tc>
          <w:tcPr>
            <w:tcW w:w="3810" w:type="dxa"/>
          </w:tcPr>
          <w:p w14:paraId="3F9E7BCD">
            <w:pPr>
              <w:spacing w:before="174" w:line="220" w:lineRule="auto"/>
              <w:ind w:left="118"/>
              <w:rPr>
                <w:rFonts w:ascii="宋体" w:hAnsi="宋体" w:eastAsia="宋体" w:cs="宋体"/>
                <w:sz w:val="24"/>
                <w:szCs w:val="24"/>
              </w:rPr>
            </w:pPr>
            <w:r>
              <w:rPr>
                <w:rFonts w:ascii="宋体" w:hAnsi="宋体" w:eastAsia="宋体" w:cs="宋体"/>
                <w:spacing w:val="-1"/>
                <w:sz w:val="24"/>
                <w:szCs w:val="24"/>
              </w:rPr>
              <w:t>与工作岗位的相关系统使用权限</w:t>
            </w:r>
          </w:p>
        </w:tc>
      </w:tr>
    </w:tbl>
    <w:p w14:paraId="18AE86D4">
      <w:pPr>
        <w:pStyle w:val="26"/>
        <w:bidi w:val="0"/>
      </w:pPr>
      <w:bookmarkStart w:id="8" w:name="_Toc6902"/>
      <w:r>
        <w:t>运维工具管理</w:t>
      </w:r>
      <w:bookmarkEnd w:id="8"/>
    </w:p>
    <w:p w14:paraId="1D6F18B4">
      <w:pPr>
        <w:pStyle w:val="28"/>
        <w:bidi w:val="0"/>
      </w:pPr>
      <w:bookmarkStart w:id="9" w:name="bookmark11"/>
      <w:bookmarkEnd w:id="9"/>
      <w:bookmarkStart w:id="10" w:name="_Toc14537"/>
      <w:r>
        <w:t>公司级管理</w:t>
      </w:r>
      <w:bookmarkEnd w:id="10"/>
    </w:p>
    <w:p w14:paraId="47064532">
      <w:pPr>
        <w:spacing w:before="205" w:line="360" w:lineRule="auto"/>
        <w:ind w:left="27" w:right="900" w:firstLine="476"/>
        <w:rPr>
          <w:rFonts w:ascii="宋体" w:hAnsi="宋体" w:eastAsia="宋体" w:cs="宋体"/>
          <w:sz w:val="24"/>
          <w:szCs w:val="24"/>
        </w:rPr>
      </w:pPr>
      <w:r>
        <w:rPr>
          <w:rFonts w:ascii="宋体" w:hAnsi="宋体" w:eastAsia="宋体" w:cs="宋体"/>
          <w:sz w:val="24"/>
          <w:szCs w:val="24"/>
        </w:rPr>
        <w:t>运维工具在公司级的管理是总体协调开发部门和</w:t>
      </w:r>
      <w:r>
        <w:rPr>
          <w:rFonts w:ascii="宋体" w:hAnsi="宋体" w:eastAsia="宋体" w:cs="宋体"/>
          <w:spacing w:val="-1"/>
          <w:sz w:val="24"/>
          <w:szCs w:val="24"/>
        </w:rPr>
        <w:t>项目的应用，统一管理运</w:t>
      </w:r>
      <w:r>
        <w:rPr>
          <w:rFonts w:ascii="宋体" w:hAnsi="宋体" w:eastAsia="宋体" w:cs="宋体"/>
          <w:spacing w:val="-3"/>
          <w:sz w:val="24"/>
          <w:szCs w:val="24"/>
        </w:rPr>
        <w:t>维工具的部署功能升级和需求等。</w:t>
      </w:r>
    </w:p>
    <w:p w14:paraId="3C9449A6">
      <w:pPr>
        <w:spacing w:before="1" w:line="361" w:lineRule="auto"/>
        <w:ind w:left="24" w:right="900" w:firstLine="484"/>
        <w:jc w:val="both"/>
        <w:rPr>
          <w:rFonts w:ascii="宋体" w:hAnsi="宋体" w:eastAsia="宋体" w:cs="宋体"/>
          <w:sz w:val="24"/>
          <w:szCs w:val="24"/>
        </w:rPr>
      </w:pPr>
      <w:r>
        <w:rPr>
          <w:rFonts w:ascii="宋体" w:hAnsi="宋体" w:eastAsia="宋体" w:cs="宋体"/>
          <w:spacing w:val="-1"/>
          <w:sz w:val="24"/>
          <w:szCs w:val="24"/>
        </w:rPr>
        <w:t>管理流程首先由运维部经理根据项目需求提出申请，由研发部经理</w:t>
      </w:r>
      <w:r>
        <w:rPr>
          <w:rFonts w:ascii="宋体" w:hAnsi="宋体" w:eastAsia="宋体" w:cs="宋体"/>
          <w:sz w:val="24"/>
          <w:szCs w:val="24"/>
        </w:rPr>
        <w:t>审核需求，通过后由软件工程师进行开发，开发完</w:t>
      </w:r>
      <w:r>
        <w:rPr>
          <w:rFonts w:ascii="宋体" w:hAnsi="宋体" w:eastAsia="宋体" w:cs="宋体"/>
          <w:spacing w:val="-1"/>
          <w:sz w:val="24"/>
          <w:szCs w:val="24"/>
        </w:rPr>
        <w:t>成后由软件测试工程师进行测试，测试通过即完成。</w:t>
      </w:r>
    </w:p>
    <w:p w14:paraId="3D7193E0">
      <w:pPr>
        <w:spacing w:line="91" w:lineRule="auto"/>
        <w:rPr>
          <w:rFonts w:ascii="Arial"/>
          <w:sz w:val="2"/>
        </w:rPr>
      </w:pPr>
      <w:r>
        <w:pict>
          <v:shape id="_x0000_s1025" o:spid="_x0000_s1025" style="position:absolute;left:0pt;margin-left:423.6pt;margin-top:320.15pt;height:15.05pt;width:1pt;mso-position-horizontal-relative:page;mso-position-vertical-relative:page;z-index:-251656192;mso-width-relative:page;mso-height-relative:page;" filled="f" stroked="t" coordsize="20,301" o:allowincell="f" path="m10,0l10,300e">
            <v:fill on="f" focussize="0,0"/>
            <v:stroke joinstyle="miter"/>
            <v:imagedata o:title=""/>
            <o:lock v:ext="edit"/>
          </v:shape>
        </w:pict>
      </w:r>
      <w:r>
        <w:pict>
          <v:shape id="_x0000_s1026" o:spid="_x0000_s1026" style="position:absolute;left:0pt;margin-left:424.1pt;margin-top:324.65pt;height:6.05pt;width:6pt;mso-position-horizontal-relative:page;mso-position-vertical-relative:page;z-index:-251655168;mso-width-relative:page;mso-height-relative:page;" fillcolor="#000000" filled="t" stroked="f" coordsize="120,121" o:allowincell="f" path="m120,120l0,60,120,0,120,120xe">
            <v:path/>
            <v:fill on="t" focussize="0,0"/>
            <v:stroke on="f"/>
            <v:imagedata o:title=""/>
            <o:lock v:ext="edit"/>
          </v:shape>
        </w:pict>
      </w:r>
      <w:r>
        <w:pict>
          <v:shape id="_x0000_s1027" o:spid="_x0000_s1027" style="position:absolute;left:0pt;margin-left:273.05pt;margin-top:196.3pt;height:6.1pt;width:6pt;mso-position-horizontal-relative:page;mso-position-vertical-relative:page;z-index:-251657216;mso-width-relative:page;mso-height-relative:page;" fillcolor="#000000" filled="t" stroked="f" coordsize="120,121" o:allowincell="f" path="m119,0l62,121,0,2,119,0xe">
            <v:path/>
            <v:fill on="t" focussize="0,0"/>
            <v:stroke on="f"/>
            <v:imagedata o:title=""/>
            <o:lock v:ext="edit"/>
          </v:shape>
        </w:pict>
      </w:r>
    </w:p>
    <w:p w14:paraId="0620C5BB">
      <w:pPr>
        <w:pStyle w:val="12"/>
        <w:spacing w:line="359" w:lineRule="auto"/>
      </w:pPr>
      <w:r>
        <w:drawing>
          <wp:inline distT="0" distB="0" distL="114300" distR="114300">
            <wp:extent cx="5593715" cy="5285105"/>
            <wp:effectExtent l="0" t="0" r="1460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593715" cy="5285105"/>
                    </a:xfrm>
                    <a:prstGeom prst="rect">
                      <a:avLst/>
                    </a:prstGeom>
                    <a:noFill/>
                    <a:ln>
                      <a:noFill/>
                    </a:ln>
                  </pic:spPr>
                </pic:pic>
              </a:graphicData>
            </a:graphic>
          </wp:inline>
        </w:drawing>
      </w:r>
    </w:p>
    <w:p w14:paraId="2E1FA9C3">
      <w:pPr>
        <w:pStyle w:val="28"/>
        <w:bidi w:val="0"/>
      </w:pPr>
      <w:bookmarkStart w:id="11" w:name="bookmark1"/>
      <w:bookmarkEnd w:id="11"/>
      <w:bookmarkStart w:id="12" w:name="_Toc19900"/>
      <w:r>
        <w:t>项目级管理</w:t>
      </w:r>
      <w:bookmarkEnd w:id="12"/>
    </w:p>
    <w:p w14:paraId="71176154">
      <w:pPr>
        <w:spacing w:before="127" w:line="361" w:lineRule="auto"/>
        <w:ind w:left="25" w:right="428" w:firstLine="477"/>
        <w:rPr>
          <w:rFonts w:ascii="宋体" w:hAnsi="宋体" w:eastAsia="宋体" w:cs="宋体"/>
          <w:sz w:val="24"/>
          <w:szCs w:val="24"/>
        </w:rPr>
      </w:pPr>
      <w:r>
        <w:rPr>
          <w:rFonts w:ascii="宋体" w:hAnsi="宋体" w:eastAsia="宋体" w:cs="宋体"/>
          <w:sz w:val="24"/>
          <w:szCs w:val="24"/>
        </w:rPr>
        <w:t>在项目中规范系统的使用管理，控制人员的相应权</w:t>
      </w:r>
      <w:r>
        <w:rPr>
          <w:rFonts w:ascii="宋体" w:hAnsi="宋体" w:eastAsia="宋体" w:cs="宋体"/>
          <w:spacing w:val="-1"/>
          <w:sz w:val="24"/>
          <w:szCs w:val="24"/>
        </w:rPr>
        <w:t>限。项目相关人员在使用系统时要提交申请，经各级领导审批后，由运维</w:t>
      </w:r>
      <w:r>
        <w:rPr>
          <w:rFonts w:ascii="宋体" w:hAnsi="宋体" w:eastAsia="宋体" w:cs="宋体"/>
          <w:spacing w:val="-2"/>
          <w:sz w:val="24"/>
          <w:szCs w:val="24"/>
        </w:rPr>
        <w:t>工具管理员确认后修改权限。</w:t>
      </w:r>
    </w:p>
    <w:p w14:paraId="4F611C91">
      <w:pPr>
        <w:spacing w:line="91" w:lineRule="auto"/>
        <w:rPr>
          <w:rFonts w:ascii="Arial"/>
          <w:sz w:val="2"/>
        </w:rPr>
      </w:pPr>
    </w:p>
    <w:p w14:paraId="7B00E27E">
      <w:pPr>
        <w:pStyle w:val="12"/>
        <w:spacing w:line="276" w:lineRule="auto"/>
        <w:ind w:left="0" w:leftChars="0" w:right="0" w:rightChars="0" w:firstLine="0" w:firstLineChars="0"/>
        <w:jc w:val="center"/>
      </w:pPr>
      <w:r>
        <w:drawing>
          <wp:inline distT="0" distB="0" distL="114300" distR="114300">
            <wp:extent cx="4160520" cy="3127375"/>
            <wp:effectExtent l="0" t="0" r="0"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4160520" cy="3127375"/>
                    </a:xfrm>
                    <a:prstGeom prst="rect">
                      <a:avLst/>
                    </a:prstGeom>
                    <a:noFill/>
                    <a:ln>
                      <a:noFill/>
                    </a:ln>
                  </pic:spPr>
                </pic:pic>
              </a:graphicData>
            </a:graphic>
          </wp:inline>
        </w:drawing>
      </w:r>
    </w:p>
    <w:p w14:paraId="7D5DB65A">
      <w:pPr>
        <w:pStyle w:val="26"/>
        <w:bidi w:val="0"/>
      </w:pPr>
      <w:bookmarkStart w:id="13" w:name="_Toc5519"/>
      <w:r>
        <w:rPr>
          <w:rFonts w:hint="eastAsia"/>
          <w:lang w:val="en-US" w:eastAsia="zh-CN"/>
        </w:rPr>
        <w:t>运维工具分类</w:t>
      </w:r>
      <w:bookmarkEnd w:id="13"/>
    </w:p>
    <w:p w14:paraId="146920ED">
      <w:pPr>
        <w:pStyle w:val="28"/>
        <w:bidi w:val="0"/>
        <w:rPr>
          <w:rFonts w:hint="default"/>
          <w:lang w:val="en-US" w:eastAsia="zh-CN"/>
        </w:rPr>
      </w:pPr>
      <w:bookmarkStart w:id="14" w:name="_Toc29760"/>
      <w:r>
        <w:rPr>
          <w:rFonts w:hint="eastAsia"/>
          <w:lang w:val="en-US" w:eastAsia="zh-CN"/>
        </w:rPr>
        <w:t>过程管理工具</w:t>
      </w:r>
      <w:bookmarkEnd w:id="14"/>
    </w:p>
    <w:p w14:paraId="409BFFF0">
      <w:pPr>
        <w:pStyle w:val="27"/>
        <w:rPr>
          <w:rFonts w:hint="eastAsia"/>
        </w:rPr>
      </w:pPr>
      <w:r>
        <w:rPr>
          <w:rFonts w:hint="eastAsia"/>
        </w:rPr>
        <w:t>过程管理工具是IT服务的“流程中枢”，主要用于实现IT服务管理流程（如事件、问题、变更、配置管理）的规范化、自动化和跟踪。它以服务台和工单系统为核心，确保各项工作按标准流程执行、有效协同并形成闭环，是支撑ITSS体系落地和持续改进的关键平台。</w:t>
      </w:r>
    </w:p>
    <w:p w14:paraId="53F5EA6F">
      <w:pPr>
        <w:pStyle w:val="28"/>
        <w:bidi w:val="0"/>
        <w:rPr>
          <w:rFonts w:hint="default"/>
          <w:lang w:val="en-US" w:eastAsia="zh-CN"/>
        </w:rPr>
      </w:pPr>
      <w:bookmarkStart w:id="15" w:name="_Toc5920"/>
      <w:r>
        <w:rPr>
          <w:rFonts w:hint="eastAsia"/>
          <w:lang w:val="en-US" w:eastAsia="zh-CN"/>
        </w:rPr>
        <w:t>监控工具</w:t>
      </w:r>
      <w:bookmarkEnd w:id="15"/>
    </w:p>
    <w:p w14:paraId="27546D9B">
      <w:pPr>
        <w:pStyle w:val="27"/>
        <w:rPr>
          <w:rFonts w:hint="eastAsia"/>
        </w:rPr>
      </w:pPr>
      <w:r>
        <w:rPr>
          <w:rFonts w:hint="eastAsia"/>
        </w:rPr>
        <w:t>监控工具是IT服务的“感知系统”，负责对网络、服务器、数据库、应用等各类IT资源进行7x24小时的实时状态监测和性能数据采集。它的核心用途是主动发现异常、预测潜在风险并及时发出告警，为运维团队提供全面的可视性，是保障系统稳定性和业务可用性的第一道防线。</w:t>
      </w:r>
    </w:p>
    <w:p w14:paraId="71C56A50">
      <w:pPr>
        <w:pStyle w:val="28"/>
        <w:bidi w:val="0"/>
        <w:rPr>
          <w:rFonts w:hint="eastAsia"/>
          <w:lang w:val="en-US" w:eastAsia="zh-CN"/>
        </w:rPr>
      </w:pPr>
      <w:bookmarkStart w:id="16" w:name="_Toc3414"/>
      <w:r>
        <w:rPr>
          <w:rFonts w:hint="eastAsia"/>
          <w:lang w:val="en-US" w:eastAsia="zh-CN"/>
        </w:rPr>
        <w:t>专用工具</w:t>
      </w:r>
      <w:bookmarkEnd w:id="16"/>
    </w:p>
    <w:p w14:paraId="0E2CB6E6">
      <w:pPr>
        <w:pStyle w:val="27"/>
      </w:pPr>
      <w:r>
        <w:rPr>
          <w:rFonts w:hint="eastAsia"/>
        </w:rPr>
        <w:t>专用工具是IT服务的“专业工具箱”，针对特定的、深度的运维场景提供专项能力。这类工具专注于某一领域，例如自动化脚本执行、安全漏洞扫描、数据备份恢复、数据库性能调优等，用于解决通用平台工具无法处理的复杂技术问题，是实现高效、精准运维操作的重要补充。</w:t>
      </w:r>
    </w:p>
    <w:p w14:paraId="5908A8D5">
      <w:pPr>
        <w:pStyle w:val="26"/>
        <w:bidi w:val="0"/>
      </w:pPr>
      <w:bookmarkStart w:id="17" w:name="_Toc31522"/>
      <w:r>
        <w:t>运维工具权限和密码管理</w:t>
      </w:r>
      <w:bookmarkEnd w:id="17"/>
    </w:p>
    <w:p w14:paraId="0EF8C482">
      <w:pPr>
        <w:pStyle w:val="39"/>
        <w:numPr>
          <w:ilvl w:val="0"/>
          <w:numId w:val="2"/>
        </w:numPr>
        <w:bidi w:val="0"/>
        <w:ind w:left="425" w:leftChars="0" w:hanging="425" w:firstLineChars="0"/>
      </w:pPr>
      <w:r>
        <w:t>各类运维工具的使用权限，通过审批流程后，分配不同的使用权限。</w:t>
      </w:r>
    </w:p>
    <w:p w14:paraId="32C6280F">
      <w:pPr>
        <w:pStyle w:val="39"/>
        <w:numPr>
          <w:ilvl w:val="0"/>
          <w:numId w:val="2"/>
        </w:numPr>
        <w:bidi w:val="0"/>
        <w:ind w:left="425" w:leftChars="0" w:hanging="425" w:firstLineChars="0"/>
      </w:pPr>
      <w:r>
        <w:t>给予运维工具使用权限的人员，只能在给定的权限内使用运维工具来进行运行维护服务，如需越权完成的工作，运维人员要跟部门负责人说明情况，在部门负责人同意的情况下，方可使用越权进行维护工作。</w:t>
      </w:r>
    </w:p>
    <w:p w14:paraId="37516712">
      <w:pPr>
        <w:pStyle w:val="39"/>
        <w:numPr>
          <w:ilvl w:val="0"/>
          <w:numId w:val="2"/>
        </w:numPr>
        <w:bidi w:val="0"/>
        <w:ind w:left="425" w:leftChars="0" w:hanging="425" w:firstLineChars="0"/>
      </w:pPr>
      <w:r>
        <w:t>对于每一个运维工具密码仅部门负责人、运维人员知晓。不得将密码泄漏与其他人员，尤其是外部人员（包括公司或部门内部非设备责任人等人员）。如有此情况发生，要严格追究相关人员的责任。</w:t>
      </w:r>
    </w:p>
    <w:p w14:paraId="670A2E46">
      <w:pPr>
        <w:pStyle w:val="26"/>
        <w:bidi w:val="0"/>
      </w:pPr>
      <w:bookmarkStart w:id="18" w:name="_Toc14758"/>
      <w:r>
        <w:t>运维工具日常管理</w:t>
      </w:r>
      <w:bookmarkEnd w:id="18"/>
    </w:p>
    <w:p w14:paraId="349C0952">
      <w:pPr>
        <w:pStyle w:val="39"/>
        <w:numPr>
          <w:ilvl w:val="0"/>
          <w:numId w:val="3"/>
        </w:numPr>
        <w:bidi w:val="0"/>
        <w:rPr>
          <w:rFonts w:hint="eastAsia"/>
        </w:rPr>
      </w:pPr>
      <w:r>
        <w:rPr>
          <w:rFonts w:hint="eastAsia"/>
        </w:rPr>
        <w:t>各类运维工具除一次装载到系统内运行外，还必须拥有光盘等备份文件，以便在故障后重新导入；</w:t>
      </w:r>
    </w:p>
    <w:p w14:paraId="41DB375E">
      <w:pPr>
        <w:pStyle w:val="39"/>
        <w:numPr>
          <w:ilvl w:val="0"/>
          <w:numId w:val="3"/>
        </w:numPr>
        <w:bidi w:val="0"/>
        <w:rPr>
          <w:rFonts w:hint="eastAsia"/>
        </w:rPr>
      </w:pPr>
      <w:r>
        <w:rPr>
          <w:rFonts w:hint="eastAsia"/>
        </w:rPr>
        <w:t>运维工具升级后须作详细登记并保留最新版本软件拷贝，原版本软件归档保存</w:t>
      </w:r>
    </w:p>
    <w:p w14:paraId="1BD62AB5">
      <w:pPr>
        <w:pStyle w:val="39"/>
        <w:numPr>
          <w:ilvl w:val="0"/>
          <w:numId w:val="3"/>
        </w:numPr>
        <w:bidi w:val="0"/>
        <w:rPr>
          <w:rFonts w:hint="eastAsia"/>
        </w:rPr>
      </w:pPr>
      <w:r>
        <w:rPr>
          <w:rFonts w:hint="eastAsia"/>
        </w:rPr>
        <w:t>维护人员应定期跟踪所使用运维工具升级情况和升级后的新功能，必要时提出升级建议。</w:t>
      </w:r>
    </w:p>
    <w:p w14:paraId="74A818AE">
      <w:pPr>
        <w:pStyle w:val="39"/>
        <w:numPr>
          <w:ilvl w:val="0"/>
          <w:numId w:val="3"/>
        </w:numPr>
        <w:bidi w:val="0"/>
        <w:rPr>
          <w:rFonts w:hint="eastAsia"/>
        </w:rPr>
      </w:pPr>
      <w:r>
        <w:rPr>
          <w:rFonts w:hint="eastAsia"/>
        </w:rPr>
        <w:t>对各类运维工具数据应定期进行日志记录备份，并记录备份日期，以便在故障发生后尽快恢复最新的数据；</w:t>
      </w:r>
    </w:p>
    <w:p w14:paraId="1FD5971C">
      <w:pPr>
        <w:pStyle w:val="39"/>
        <w:numPr>
          <w:ilvl w:val="0"/>
          <w:numId w:val="3"/>
        </w:numPr>
        <w:bidi w:val="0"/>
        <w:rPr>
          <w:rFonts w:hint="eastAsia"/>
        </w:rPr>
      </w:pPr>
      <w:r>
        <w:rPr>
          <w:rFonts w:hint="eastAsia"/>
        </w:rPr>
        <w:t>在各类运维工具上进行可能影响业务系统运行或网络稳定性的参数设置、更改和维护等操作时，须有协助人员进行监督和确认，并作好详细的操作记录；工具进行版本升级时，对于不影响业务的升级工作，须以书面形式详细将计划、方案、措施等报上级主管部门备案，操作中避免人为失误造成业务中断；对于影响业务的升级工作，必须提前两周向上级主管部门以书面形式提出申请详细报告计划、方案、措施等，经批准后方可实施</w:t>
      </w:r>
      <w:r>
        <w:rPr>
          <w:rFonts w:hint="eastAsia"/>
          <w:lang w:eastAsia="zh-CN"/>
        </w:rPr>
        <w:t>。</w:t>
      </w:r>
    </w:p>
    <w:p w14:paraId="2152D29C">
      <w:pPr>
        <w:pStyle w:val="26"/>
        <w:bidi w:val="0"/>
        <w:rPr>
          <w:rFonts w:hint="eastAsia"/>
        </w:rPr>
      </w:pPr>
      <w:bookmarkStart w:id="19" w:name="_Toc15052"/>
      <w:r>
        <w:rPr>
          <w:rFonts w:hint="eastAsia"/>
          <w:lang w:val="en-US" w:eastAsia="zh-CN"/>
        </w:rPr>
        <w:t>考核指标</w:t>
      </w:r>
      <w:bookmarkEnd w:id="19"/>
    </w:p>
    <w:tbl>
      <w:tblPr>
        <w:tblStyle w:val="24"/>
        <w:tblW w:w="6610"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74"/>
        <w:gridCol w:w="1796"/>
        <w:gridCol w:w="920"/>
        <w:gridCol w:w="920"/>
      </w:tblGrid>
      <w:tr w14:paraId="5C0C88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2974" w:type="dxa"/>
          </w:tcPr>
          <w:p w14:paraId="156D6033">
            <w:pPr>
              <w:pStyle w:val="25"/>
              <w:spacing w:before="137" w:line="224" w:lineRule="auto"/>
              <w:ind w:left="1263"/>
              <w:rPr>
                <w:rFonts w:hint="default"/>
                <w:b/>
                <w:bCs/>
                <w:spacing w:val="-2"/>
                <w:sz w:val="18"/>
                <w:szCs w:val="18"/>
                <w:lang w:val="en-US" w:eastAsia="zh-CN"/>
              </w:rPr>
            </w:pPr>
            <w:r>
              <w:rPr>
                <w:rFonts w:hint="eastAsia"/>
                <w:b/>
                <w:bCs/>
                <w:spacing w:val="-2"/>
                <w:sz w:val="18"/>
                <w:szCs w:val="18"/>
                <w:lang w:val="en-US" w:eastAsia="zh-CN"/>
              </w:rPr>
              <w:t>考核指标</w:t>
            </w:r>
          </w:p>
        </w:tc>
        <w:tc>
          <w:tcPr>
            <w:tcW w:w="1796" w:type="dxa"/>
          </w:tcPr>
          <w:p w14:paraId="50974945">
            <w:pPr>
              <w:pStyle w:val="25"/>
              <w:spacing w:before="233" w:line="220" w:lineRule="auto"/>
              <w:ind w:left="321" w:leftChars="0"/>
              <w:rPr>
                <w:rFonts w:hint="default"/>
                <w:b/>
                <w:bCs/>
                <w:spacing w:val="-3"/>
                <w:sz w:val="18"/>
                <w:szCs w:val="18"/>
                <w:lang w:val="en-US" w:eastAsia="zh-CN"/>
              </w:rPr>
            </w:pPr>
            <w:r>
              <w:rPr>
                <w:rFonts w:hint="eastAsia"/>
                <w:b/>
                <w:bCs/>
                <w:spacing w:val="-3"/>
                <w:sz w:val="18"/>
                <w:szCs w:val="18"/>
                <w:lang w:val="en-US" w:eastAsia="zh-CN"/>
              </w:rPr>
              <w:t>计算方式说明</w:t>
            </w:r>
          </w:p>
        </w:tc>
        <w:tc>
          <w:tcPr>
            <w:tcW w:w="920" w:type="dxa"/>
          </w:tcPr>
          <w:p w14:paraId="53D89D9B">
            <w:pPr>
              <w:pStyle w:val="25"/>
              <w:spacing w:before="233" w:line="220" w:lineRule="auto"/>
              <w:ind w:left="321" w:leftChars="0"/>
              <w:rPr>
                <w:rFonts w:hint="default"/>
                <w:b/>
                <w:bCs/>
                <w:spacing w:val="-3"/>
                <w:sz w:val="18"/>
                <w:szCs w:val="18"/>
                <w:lang w:val="en-US" w:eastAsia="zh-CN"/>
              </w:rPr>
            </w:pPr>
            <w:r>
              <w:rPr>
                <w:rFonts w:hint="eastAsia"/>
                <w:b/>
                <w:bCs/>
                <w:spacing w:val="-3"/>
                <w:sz w:val="18"/>
                <w:szCs w:val="18"/>
                <w:lang w:val="en-US" w:eastAsia="zh-CN"/>
              </w:rPr>
              <w:t>频次</w:t>
            </w:r>
          </w:p>
        </w:tc>
        <w:tc>
          <w:tcPr>
            <w:tcW w:w="920" w:type="dxa"/>
          </w:tcPr>
          <w:p w14:paraId="48D5CE9B">
            <w:pPr>
              <w:pStyle w:val="25"/>
              <w:spacing w:before="233" w:line="220" w:lineRule="auto"/>
              <w:ind w:left="0" w:leftChars="0" w:right="0" w:rightChars="0" w:firstLine="0" w:firstLineChars="0"/>
              <w:jc w:val="center"/>
              <w:rPr>
                <w:rFonts w:hint="default"/>
                <w:b/>
                <w:bCs/>
                <w:spacing w:val="-3"/>
                <w:sz w:val="18"/>
                <w:szCs w:val="18"/>
                <w:lang w:val="en-US" w:eastAsia="zh-CN"/>
              </w:rPr>
            </w:pPr>
            <w:r>
              <w:rPr>
                <w:rFonts w:hint="eastAsia"/>
                <w:b/>
                <w:bCs/>
                <w:spacing w:val="-3"/>
                <w:sz w:val="18"/>
                <w:szCs w:val="18"/>
                <w:lang w:val="en-US" w:eastAsia="zh-CN"/>
              </w:rPr>
              <w:t>目标值</w:t>
            </w:r>
          </w:p>
        </w:tc>
      </w:tr>
      <w:tr w14:paraId="5B13095F">
        <w:tblPrEx>
          <w:tblCellMar>
            <w:top w:w="0" w:type="dxa"/>
            <w:left w:w="0" w:type="dxa"/>
            <w:bottom w:w="0" w:type="dxa"/>
            <w:right w:w="0" w:type="dxa"/>
          </w:tblCellMar>
        </w:tblPrEx>
        <w:trPr>
          <w:trHeight w:val="651" w:hRule="atLeast"/>
        </w:trPr>
        <w:tc>
          <w:tcPr>
            <w:tcW w:w="2974" w:type="dxa"/>
          </w:tcPr>
          <w:p w14:paraId="5682DE26">
            <w:pPr>
              <w:pStyle w:val="25"/>
              <w:spacing w:before="137" w:line="224" w:lineRule="auto"/>
              <w:ind w:left="1263"/>
              <w:rPr>
                <w:rFonts w:hint="default" w:eastAsia="宋体"/>
                <w:spacing w:val="-2"/>
                <w:sz w:val="18"/>
                <w:szCs w:val="18"/>
                <w:lang w:val="en-US" w:eastAsia="zh-CN"/>
              </w:rPr>
            </w:pPr>
            <w:r>
              <w:rPr>
                <w:rFonts w:hint="eastAsia"/>
                <w:spacing w:val="-2"/>
                <w:sz w:val="18"/>
                <w:szCs w:val="18"/>
                <w:lang w:val="en-US" w:eastAsia="zh-CN"/>
              </w:rPr>
              <w:t>自评估次数</w:t>
            </w:r>
          </w:p>
        </w:tc>
        <w:tc>
          <w:tcPr>
            <w:tcW w:w="1796" w:type="dxa"/>
          </w:tcPr>
          <w:p w14:paraId="5A7E86A9">
            <w:pPr>
              <w:pStyle w:val="25"/>
              <w:spacing w:before="233" w:line="220" w:lineRule="auto"/>
              <w:ind w:left="321" w:leftChars="0"/>
              <w:rPr>
                <w:rFonts w:hint="default" w:eastAsia="宋体"/>
                <w:spacing w:val="-3"/>
                <w:sz w:val="18"/>
                <w:szCs w:val="18"/>
                <w:lang w:val="en-US" w:eastAsia="zh-CN"/>
              </w:rPr>
            </w:pPr>
            <w:r>
              <w:rPr>
                <w:rFonts w:hint="eastAsia"/>
                <w:spacing w:val="-3"/>
                <w:sz w:val="18"/>
                <w:szCs w:val="18"/>
                <w:lang w:val="en-US" w:eastAsia="zh-CN"/>
              </w:rPr>
              <w:t>工具自评估次数</w:t>
            </w:r>
          </w:p>
        </w:tc>
        <w:tc>
          <w:tcPr>
            <w:tcW w:w="920" w:type="dxa"/>
          </w:tcPr>
          <w:p w14:paraId="5B138169">
            <w:pPr>
              <w:pStyle w:val="25"/>
              <w:spacing w:before="233" w:line="220" w:lineRule="auto"/>
              <w:ind w:left="321" w:leftChars="0"/>
              <w:rPr>
                <w:rFonts w:hint="default"/>
                <w:spacing w:val="-3"/>
                <w:sz w:val="18"/>
                <w:szCs w:val="18"/>
                <w:lang w:val="en-US" w:eastAsia="zh-CN"/>
              </w:rPr>
            </w:pPr>
            <w:r>
              <w:rPr>
                <w:rFonts w:hint="eastAsia"/>
                <w:spacing w:val="-3"/>
                <w:sz w:val="18"/>
                <w:szCs w:val="18"/>
                <w:lang w:val="en-US" w:eastAsia="zh-CN"/>
              </w:rPr>
              <w:t>年度</w:t>
            </w:r>
            <w:bookmarkStart w:id="20" w:name="_GoBack"/>
            <w:bookmarkEnd w:id="20"/>
          </w:p>
        </w:tc>
        <w:tc>
          <w:tcPr>
            <w:tcW w:w="920" w:type="dxa"/>
          </w:tcPr>
          <w:p w14:paraId="5349D136">
            <w:pPr>
              <w:pStyle w:val="25"/>
              <w:spacing w:before="233" w:line="220" w:lineRule="auto"/>
              <w:ind w:left="321" w:leftChars="0"/>
              <w:rPr>
                <w:rFonts w:hint="default"/>
                <w:spacing w:val="-3"/>
                <w:sz w:val="18"/>
                <w:szCs w:val="18"/>
                <w:lang w:val="en-US" w:eastAsia="zh-CN"/>
              </w:rPr>
            </w:pPr>
            <w:r>
              <w:rPr>
                <w:rFonts w:hint="eastAsia"/>
                <w:spacing w:val="-3"/>
                <w:sz w:val="18"/>
                <w:szCs w:val="18"/>
                <w:lang w:val="en-US" w:eastAsia="zh-CN"/>
              </w:rPr>
              <w:t>≥1次</w:t>
            </w:r>
          </w:p>
        </w:tc>
      </w:tr>
    </w:tbl>
    <w:p w14:paraId="04CC5471">
      <w:pPr>
        <w:rPr>
          <w:rFonts w:hint="eastAsia"/>
        </w:rPr>
      </w:pPr>
    </w:p>
    <w:sectPr>
      <w:footerReference r:id="rId5" w:type="default"/>
      <w:pgSz w:w="11906" w:h="16839"/>
      <w:pgMar w:top="1431" w:right="1785" w:bottom="1373"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8BCDC">
    <w:pPr>
      <w:spacing w:line="165" w:lineRule="auto"/>
      <w:ind w:left="4130"/>
      <w:rPr>
        <w:rFonts w:ascii="Calibri" w:hAnsi="Calibri" w:eastAsia="Calibri" w:cs="Calibri"/>
        <w:sz w:val="18"/>
        <w:szCs w:val="18"/>
      </w:rPr>
    </w:pPr>
    <w:r>
      <w:rPr>
        <w:rFonts w:ascii="Calibri" w:hAnsi="Calibri" w:eastAsia="Calibri" w:cs="Calibri"/>
        <w:sz w:val="18"/>
        <w:szCs w:val="18"/>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B2D4ECC"/>
    <w:multiLevelType w:val="singleLevel"/>
    <w:tmpl w:val="9B2D4ECC"/>
    <w:lvl w:ilvl="0" w:tentative="0">
      <w:start w:val="1"/>
      <w:numFmt w:val="decimal"/>
      <w:lvlText w:val="%1."/>
      <w:lvlJc w:val="left"/>
      <w:pPr>
        <w:ind w:left="425" w:hanging="425"/>
      </w:pPr>
      <w:rPr>
        <w:rFonts w:hint="default"/>
      </w:rPr>
    </w:lvl>
  </w:abstractNum>
  <w:abstractNum w:abstractNumId="2">
    <w:nsid w:val="0608E6DB"/>
    <w:multiLevelType w:val="singleLevel"/>
    <w:tmpl w:val="0608E6DB"/>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F2197A"/>
    <w:rsid w:val="036B7C33"/>
    <w:rsid w:val="0490144A"/>
    <w:rsid w:val="04983E5B"/>
    <w:rsid w:val="0B4438D5"/>
    <w:rsid w:val="0F3D4B52"/>
    <w:rsid w:val="13CD0B20"/>
    <w:rsid w:val="1D4330A6"/>
    <w:rsid w:val="24653902"/>
    <w:rsid w:val="2C8132A3"/>
    <w:rsid w:val="3186310A"/>
    <w:rsid w:val="34D4418C"/>
    <w:rsid w:val="42682232"/>
    <w:rsid w:val="430F2F5F"/>
    <w:rsid w:val="443D58AA"/>
    <w:rsid w:val="49BE2DDB"/>
    <w:rsid w:val="4D3E3B98"/>
    <w:rsid w:val="503C55AF"/>
    <w:rsid w:val="56B15541"/>
    <w:rsid w:val="56D60635"/>
    <w:rsid w:val="5FA62A45"/>
    <w:rsid w:val="609A4358"/>
    <w:rsid w:val="612B0A30"/>
    <w:rsid w:val="613B56BA"/>
    <w:rsid w:val="62C236F2"/>
    <w:rsid w:val="698B25B1"/>
    <w:rsid w:val="78B16F66"/>
    <w:rsid w:val="7FDD5B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5"/>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1797</Words>
  <Characters>1922</Characters>
  <Lines>0</Lines>
  <Paragraphs>0</Paragraphs>
  <TotalTime>1</TotalTime>
  <ScaleCrop>false</ScaleCrop>
  <LinksUpToDate>false</LinksUpToDate>
  <CharactersWithSpaces>2000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2025-08-22T06:07:00Z</dcterms:created>
  <dc:creator>谢永刚</dc:creator>
  <cp:lastModifiedBy>郝宇</cp:lastModifiedBy>
  <dcterms:modified xsi:type="dcterms:W3CDTF">2026-01-04T02:10:06Z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2025-08-27T20:51:43Z</vt:filetime>
  </property>
  <property fmtid="{D5CDD505-2E9C-101B-9397-08002B2CF9AE}" pid="3" name="CRO">
    <vt:lpwstr>wqlLaW5nc29mdCBQREYgdG8gV1BTIDExNQ</vt:lpwstr>
  </property>
  <property fmtid="{D5CDD505-2E9C-101B-9397-08002B2CF9AE}" pid="4" name="ICV">
    <vt:lpwstr>B967B1159A23428188B694940E3F7438_12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