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C6E72">
      <w:pPr>
        <w:pStyle w:val="31"/>
        <w:bidi w:val="0"/>
      </w:pPr>
      <w:bookmarkStart w:id="0" w:name="_Toc8691"/>
      <w:r>
        <w:t>服务台管理制度</w:t>
      </w:r>
      <w:bookmarkEnd w:id="0"/>
    </w:p>
    <w:p w14:paraId="0E22E1BE">
      <w:pPr>
        <w:pStyle w:val="32"/>
        <w:bidi w:val="0"/>
      </w:pPr>
      <w:bookmarkStart w:id="1" w:name="_Toc8165"/>
      <w:r>
        <w:t>甘肃国邦信息科技有限公司</w:t>
      </w:r>
      <w:bookmarkEnd w:id="1"/>
    </w:p>
    <w:p w14:paraId="6130497C">
      <w:pPr>
        <w:spacing w:before="275"/>
        <w:ind w:left="346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2025-1-4</w:t>
      </w:r>
    </w:p>
    <w:p w14:paraId="5E1F8890">
      <w:pPr>
        <w:rPr>
          <w:rFonts w:ascii="宋体" w:hAnsi="宋体" w:eastAsia="宋体" w:cs="宋体"/>
          <w:sz w:val="36"/>
          <w:szCs w:val="36"/>
        </w:rPr>
        <w:sectPr>
          <w:footerReference r:id="rId5" w:type="default"/>
          <w:pgSz w:w="11906" w:h="16839"/>
          <w:pgMar w:top="1431" w:right="1785" w:bottom="1234" w:left="1785" w:header="0" w:footer="1070" w:gutter="0"/>
          <w:cols w:space="720" w:num="1"/>
        </w:sectPr>
      </w:pPr>
    </w:p>
    <w:p w14:paraId="3F7588A5">
      <w:pPr>
        <w:pStyle w:val="12"/>
        <w:spacing w:line="363" w:lineRule="auto"/>
      </w:pPr>
    </w:p>
    <w:p w14:paraId="768E0D32">
      <w:pPr>
        <w:spacing w:before="91" w:line="220" w:lineRule="auto"/>
        <w:ind w:left="3710"/>
        <w:outlineLvl w:val="1"/>
        <w:rPr>
          <w:rFonts w:ascii="宋体" w:hAnsi="宋体" w:eastAsia="宋体" w:cs="宋体"/>
          <w:sz w:val="28"/>
          <w:szCs w:val="28"/>
        </w:rPr>
      </w:pPr>
      <w:bookmarkStart w:id="2" w:name="_Toc23012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0525680D">
      <w:pPr>
        <w:spacing w:line="131" w:lineRule="exact"/>
      </w:pPr>
    </w:p>
    <w:tbl>
      <w:tblPr>
        <w:tblStyle w:val="24"/>
        <w:tblW w:w="90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6"/>
        <w:gridCol w:w="2300"/>
        <w:gridCol w:w="1557"/>
        <w:gridCol w:w="1953"/>
      </w:tblGrid>
      <w:tr w14:paraId="5B514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  <w:vAlign w:val="top"/>
          </w:tcPr>
          <w:p w14:paraId="28E4C2E9">
            <w:pPr>
              <w:spacing w:before="199" w:line="220" w:lineRule="auto"/>
              <w:ind w:left="2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6" w:type="dxa"/>
            <w:gridSpan w:val="4"/>
            <w:vAlign w:val="top"/>
          </w:tcPr>
          <w:p w14:paraId="387FE201">
            <w:pPr>
              <w:spacing w:before="199" w:line="220" w:lineRule="auto"/>
              <w:ind w:left="18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服务台管理制度（HHLC-ITSS-FWTGL）</w:t>
            </w:r>
          </w:p>
        </w:tc>
      </w:tr>
      <w:tr w14:paraId="0B8DD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  <w:vAlign w:val="top"/>
          </w:tcPr>
          <w:p w14:paraId="035288CE">
            <w:pPr>
              <w:spacing w:before="196" w:line="220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6" w:type="dxa"/>
            <w:gridSpan w:val="4"/>
            <w:vAlign w:val="top"/>
          </w:tcPr>
          <w:p w14:paraId="3B61310F">
            <w:pPr>
              <w:spacing w:before="197" w:line="219" w:lineRule="auto"/>
              <w:ind w:left="214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甘肃国邦信息科技有限公司</w:t>
            </w:r>
          </w:p>
        </w:tc>
      </w:tr>
      <w:tr w14:paraId="671D01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  <w:vAlign w:val="top"/>
          </w:tcPr>
          <w:p w14:paraId="678F5F27">
            <w:pPr>
              <w:spacing w:before="199" w:line="219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6" w:type="dxa"/>
            <w:vAlign w:val="top"/>
          </w:tcPr>
          <w:p w14:paraId="276E3BA6">
            <w:pPr>
              <w:spacing w:before="199" w:line="219" w:lineRule="auto"/>
              <w:ind w:left="2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0" w:type="dxa"/>
            <w:vAlign w:val="top"/>
          </w:tcPr>
          <w:p w14:paraId="49475263">
            <w:pPr>
              <w:spacing w:before="199" w:line="219" w:lineRule="auto"/>
              <w:ind w:left="73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  <w:vAlign w:val="top"/>
          </w:tcPr>
          <w:p w14:paraId="14CCB868">
            <w:pPr>
              <w:spacing w:before="199" w:line="220" w:lineRule="auto"/>
              <w:ind w:left="5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  <w:vAlign w:val="top"/>
          </w:tcPr>
          <w:p w14:paraId="05BCD886">
            <w:pPr>
              <w:spacing w:before="199" w:line="220" w:lineRule="auto"/>
              <w:ind w:left="78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79327A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  <w:shd w:val="clear" w:color="auto" w:fill="auto"/>
            <w:vAlign w:val="top"/>
          </w:tcPr>
          <w:p w14:paraId="412AF20B">
            <w:pPr>
              <w:spacing w:before="161" w:line="239" w:lineRule="auto"/>
              <w:ind w:left="7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6" w:type="dxa"/>
            <w:shd w:val="clear" w:color="auto" w:fill="auto"/>
            <w:vAlign w:val="top"/>
          </w:tcPr>
          <w:p w14:paraId="5A575655">
            <w:pPr>
              <w:spacing w:before="161"/>
              <w:ind w:left="29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0" w:type="dxa"/>
            <w:shd w:val="clear" w:color="auto" w:fill="auto"/>
            <w:vAlign w:val="top"/>
          </w:tcPr>
          <w:p w14:paraId="6DCEA82B">
            <w:pPr>
              <w:spacing w:before="131" w:line="219" w:lineRule="auto"/>
              <w:ind w:left="73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  <w:shd w:val="clear" w:color="auto" w:fill="auto"/>
            <w:vAlign w:val="top"/>
          </w:tcPr>
          <w:p w14:paraId="5525E8E3">
            <w:pPr>
              <w:spacing w:before="132" w:line="220" w:lineRule="auto"/>
              <w:ind w:left="48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胡葛鹏宇</w:t>
            </w:r>
          </w:p>
        </w:tc>
        <w:tc>
          <w:tcPr>
            <w:tcW w:w="1953" w:type="dxa"/>
            <w:shd w:val="clear" w:color="auto" w:fill="auto"/>
            <w:vAlign w:val="top"/>
          </w:tcPr>
          <w:p w14:paraId="5AD39271">
            <w:pPr>
              <w:spacing w:before="131" w:line="220" w:lineRule="auto"/>
              <w:ind w:left="67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黄益溪</w:t>
            </w:r>
          </w:p>
        </w:tc>
      </w:tr>
      <w:tr w14:paraId="70113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  <w:vAlign w:val="top"/>
          </w:tcPr>
          <w:p w14:paraId="063F1EDC">
            <w:pPr>
              <w:pStyle w:val="25"/>
            </w:pPr>
          </w:p>
        </w:tc>
        <w:tc>
          <w:tcPr>
            <w:tcW w:w="1416" w:type="dxa"/>
            <w:vAlign w:val="top"/>
          </w:tcPr>
          <w:p w14:paraId="44E096AF">
            <w:pPr>
              <w:pStyle w:val="25"/>
            </w:pPr>
          </w:p>
        </w:tc>
        <w:tc>
          <w:tcPr>
            <w:tcW w:w="2300" w:type="dxa"/>
            <w:vAlign w:val="top"/>
          </w:tcPr>
          <w:p w14:paraId="0DAAF6D6">
            <w:pPr>
              <w:pStyle w:val="25"/>
            </w:pPr>
          </w:p>
        </w:tc>
        <w:tc>
          <w:tcPr>
            <w:tcW w:w="1557" w:type="dxa"/>
            <w:vAlign w:val="top"/>
          </w:tcPr>
          <w:p w14:paraId="72210BDC">
            <w:pPr>
              <w:pStyle w:val="25"/>
            </w:pPr>
          </w:p>
        </w:tc>
        <w:tc>
          <w:tcPr>
            <w:tcW w:w="1953" w:type="dxa"/>
            <w:vAlign w:val="top"/>
          </w:tcPr>
          <w:p w14:paraId="1FB40622">
            <w:pPr>
              <w:pStyle w:val="25"/>
            </w:pPr>
          </w:p>
        </w:tc>
      </w:tr>
      <w:tr w14:paraId="07766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  <w:vAlign w:val="top"/>
          </w:tcPr>
          <w:p w14:paraId="141482A9">
            <w:pPr>
              <w:pStyle w:val="25"/>
            </w:pPr>
          </w:p>
        </w:tc>
        <w:tc>
          <w:tcPr>
            <w:tcW w:w="1416" w:type="dxa"/>
            <w:vAlign w:val="top"/>
          </w:tcPr>
          <w:p w14:paraId="19B5EAFB">
            <w:pPr>
              <w:pStyle w:val="25"/>
            </w:pPr>
          </w:p>
        </w:tc>
        <w:tc>
          <w:tcPr>
            <w:tcW w:w="2300" w:type="dxa"/>
            <w:vAlign w:val="top"/>
          </w:tcPr>
          <w:p w14:paraId="3E5BA5CC">
            <w:pPr>
              <w:pStyle w:val="25"/>
            </w:pPr>
          </w:p>
        </w:tc>
        <w:tc>
          <w:tcPr>
            <w:tcW w:w="1557" w:type="dxa"/>
            <w:vAlign w:val="top"/>
          </w:tcPr>
          <w:p w14:paraId="7B4EDEE2">
            <w:pPr>
              <w:pStyle w:val="25"/>
            </w:pPr>
          </w:p>
        </w:tc>
        <w:tc>
          <w:tcPr>
            <w:tcW w:w="1953" w:type="dxa"/>
            <w:vAlign w:val="top"/>
          </w:tcPr>
          <w:p w14:paraId="1DBC457F">
            <w:pPr>
              <w:pStyle w:val="25"/>
            </w:pPr>
          </w:p>
        </w:tc>
      </w:tr>
      <w:tr w14:paraId="7A2F6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  <w:vAlign w:val="top"/>
          </w:tcPr>
          <w:p w14:paraId="71D85CD1">
            <w:pPr>
              <w:pStyle w:val="25"/>
            </w:pPr>
          </w:p>
        </w:tc>
        <w:tc>
          <w:tcPr>
            <w:tcW w:w="1416" w:type="dxa"/>
            <w:vAlign w:val="top"/>
          </w:tcPr>
          <w:p w14:paraId="68CE4FF9">
            <w:pPr>
              <w:pStyle w:val="25"/>
            </w:pPr>
          </w:p>
        </w:tc>
        <w:tc>
          <w:tcPr>
            <w:tcW w:w="2300" w:type="dxa"/>
            <w:vAlign w:val="top"/>
          </w:tcPr>
          <w:p w14:paraId="76FFD0F6">
            <w:pPr>
              <w:pStyle w:val="25"/>
            </w:pPr>
          </w:p>
        </w:tc>
        <w:tc>
          <w:tcPr>
            <w:tcW w:w="1557" w:type="dxa"/>
            <w:vAlign w:val="top"/>
          </w:tcPr>
          <w:p w14:paraId="75B045B4">
            <w:pPr>
              <w:pStyle w:val="25"/>
            </w:pPr>
          </w:p>
        </w:tc>
        <w:tc>
          <w:tcPr>
            <w:tcW w:w="1953" w:type="dxa"/>
            <w:vAlign w:val="top"/>
          </w:tcPr>
          <w:p w14:paraId="72612352">
            <w:pPr>
              <w:pStyle w:val="25"/>
            </w:pPr>
          </w:p>
        </w:tc>
      </w:tr>
      <w:tr w14:paraId="286808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  <w:vAlign w:val="top"/>
          </w:tcPr>
          <w:p w14:paraId="2F3E9690">
            <w:pPr>
              <w:pStyle w:val="25"/>
            </w:pPr>
          </w:p>
        </w:tc>
        <w:tc>
          <w:tcPr>
            <w:tcW w:w="1416" w:type="dxa"/>
            <w:vAlign w:val="top"/>
          </w:tcPr>
          <w:p w14:paraId="6E4F4C76">
            <w:pPr>
              <w:pStyle w:val="25"/>
            </w:pPr>
          </w:p>
        </w:tc>
        <w:tc>
          <w:tcPr>
            <w:tcW w:w="2300" w:type="dxa"/>
            <w:vAlign w:val="top"/>
          </w:tcPr>
          <w:p w14:paraId="3414EFF5">
            <w:pPr>
              <w:pStyle w:val="25"/>
            </w:pPr>
          </w:p>
        </w:tc>
        <w:tc>
          <w:tcPr>
            <w:tcW w:w="1557" w:type="dxa"/>
            <w:vAlign w:val="top"/>
          </w:tcPr>
          <w:p w14:paraId="51A16ECF">
            <w:pPr>
              <w:pStyle w:val="25"/>
            </w:pPr>
          </w:p>
        </w:tc>
        <w:tc>
          <w:tcPr>
            <w:tcW w:w="1953" w:type="dxa"/>
            <w:vAlign w:val="top"/>
          </w:tcPr>
          <w:p w14:paraId="6698B2E7">
            <w:pPr>
              <w:pStyle w:val="25"/>
            </w:pPr>
          </w:p>
        </w:tc>
      </w:tr>
      <w:tr w14:paraId="6910A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  <w:vAlign w:val="top"/>
          </w:tcPr>
          <w:p w14:paraId="3A58E013">
            <w:pPr>
              <w:pStyle w:val="25"/>
            </w:pPr>
          </w:p>
        </w:tc>
        <w:tc>
          <w:tcPr>
            <w:tcW w:w="1416" w:type="dxa"/>
            <w:vAlign w:val="top"/>
          </w:tcPr>
          <w:p w14:paraId="55013152">
            <w:pPr>
              <w:pStyle w:val="25"/>
            </w:pPr>
          </w:p>
        </w:tc>
        <w:tc>
          <w:tcPr>
            <w:tcW w:w="2300" w:type="dxa"/>
            <w:vAlign w:val="top"/>
          </w:tcPr>
          <w:p w14:paraId="0ECACEAD">
            <w:pPr>
              <w:pStyle w:val="25"/>
            </w:pPr>
          </w:p>
        </w:tc>
        <w:tc>
          <w:tcPr>
            <w:tcW w:w="1557" w:type="dxa"/>
            <w:vAlign w:val="top"/>
          </w:tcPr>
          <w:p w14:paraId="67043881">
            <w:pPr>
              <w:pStyle w:val="25"/>
            </w:pPr>
          </w:p>
        </w:tc>
        <w:tc>
          <w:tcPr>
            <w:tcW w:w="1953" w:type="dxa"/>
            <w:vAlign w:val="top"/>
          </w:tcPr>
          <w:p w14:paraId="7712E34E">
            <w:pPr>
              <w:pStyle w:val="25"/>
            </w:pPr>
          </w:p>
        </w:tc>
      </w:tr>
    </w:tbl>
    <w:p w14:paraId="02B9A481">
      <w:pPr>
        <w:pStyle w:val="12"/>
      </w:pPr>
    </w:p>
    <w:p w14:paraId="0B3FBF9E">
      <w:pPr>
        <w:sectPr>
          <w:footerReference r:id="rId6" w:type="default"/>
          <w:pgSz w:w="11906" w:h="16839"/>
          <w:pgMar w:top="1431" w:right="1127" w:bottom="1233" w:left="1696" w:header="0" w:footer="107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6965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7C436E4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8EBD34A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 w:val="21"/>
              <w:szCs w:val="21"/>
            </w:rPr>
            <w:fldChar w:fldCharType="begin"/>
          </w:r>
          <w:r>
            <w:rPr>
              <w:rFonts w:ascii="Calibri" w:hAnsi="Calibri" w:eastAsia="Calibri" w:cs="Calibri"/>
              <w:sz w:val="21"/>
              <w:szCs w:val="21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1"/>
              <w:szCs w:val="21"/>
            </w:rPr>
            <w:fldChar w:fldCharType="separate"/>
          </w: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_Toc8691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>服务台管理制度</w:t>
          </w:r>
          <w:r>
            <w:tab/>
          </w:r>
          <w:r>
            <w:fldChar w:fldCharType="begin"/>
          </w:r>
          <w:r>
            <w:instrText xml:space="preserve"> PAGEREF _Toc8691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26FFF59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_Toc8165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_Toc8165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E3D5AEB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_Toc23012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_Toc23012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4319E9E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_Toc19351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_Toc19351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5C436A5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_Toc9690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_Toc9690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8212325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_Toc7593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_Toc7593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8707904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_Toc9317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流程制度</w:t>
          </w:r>
          <w:r>
            <w:tab/>
          </w:r>
          <w:r>
            <w:fldChar w:fldCharType="begin"/>
          </w:r>
          <w:r>
            <w:instrText xml:space="preserve"> PAGEREF _Toc9317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3DD7070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_Toc32743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服务台流程图</w:t>
          </w:r>
          <w:r>
            <w:tab/>
          </w:r>
          <w:r>
            <w:fldChar w:fldCharType="begin"/>
          </w:r>
          <w:r>
            <w:instrText xml:space="preserve"> PAGEREF _Toc32743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8D67F0F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_Toc12208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服务台管理流程的步骤</w:t>
          </w:r>
          <w:r>
            <w:tab/>
          </w:r>
          <w:r>
            <w:fldChar w:fldCharType="begin"/>
          </w:r>
          <w:r>
            <w:instrText xml:space="preserve"> PAGEREF _Toc12208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118D09F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_Toc25880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服务台沟通渠道</w:t>
          </w:r>
          <w:r>
            <w:tab/>
          </w:r>
          <w:r>
            <w:fldChar w:fldCharType="begin"/>
          </w:r>
          <w:r>
            <w:instrText xml:space="preserve"> PAGEREF _Toc25880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21E4609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_Toc5001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服务台职责</w:t>
          </w:r>
          <w:r>
            <w:tab/>
          </w:r>
          <w:r>
            <w:fldChar w:fldCharType="begin"/>
          </w:r>
          <w:r>
            <w:instrText xml:space="preserve"> PAGEREF _Toc5001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ABBE048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_Toc1386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服务台操作规程</w:t>
          </w:r>
          <w:r>
            <w:tab/>
          </w:r>
          <w:r>
            <w:fldChar w:fldCharType="begin"/>
          </w:r>
          <w:r>
            <w:instrText xml:space="preserve"> PAGEREF _Toc1386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29A5799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_Toc15508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t>服务台绩效考核</w:t>
          </w:r>
          <w:r>
            <w:tab/>
          </w:r>
          <w:r>
            <w:fldChar w:fldCharType="begin"/>
          </w:r>
          <w:r>
            <w:instrText xml:space="preserve"> PAGEREF _Toc15508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56C90BD">
          <w:pPr>
            <w:spacing w:line="220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1"/>
            </w:rPr>
            <w:fldChar w:fldCharType="end"/>
          </w:r>
        </w:p>
      </w:sdtContent>
    </w:sdt>
    <w:p w14:paraId="201713CB">
      <w:pPr>
        <w:spacing w:line="220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r:id="rId7" w:type="default"/>
          <w:pgSz w:w="11906" w:h="16839"/>
          <w:pgMar w:top="1431" w:right="1710" w:bottom="1234" w:left="1704" w:header="0" w:footer="1070" w:gutter="0"/>
          <w:cols w:space="720" w:num="1"/>
        </w:sectPr>
      </w:pPr>
    </w:p>
    <w:p w14:paraId="7B6E7AD4">
      <w:pPr>
        <w:pStyle w:val="26"/>
        <w:bidi w:val="0"/>
      </w:pPr>
      <w:bookmarkStart w:id="3" w:name="_Toc19351"/>
      <w:r>
        <w:t>目的</w:t>
      </w:r>
      <w:bookmarkEnd w:id="3"/>
    </w:p>
    <w:p w14:paraId="0EA0AE11">
      <w:pPr>
        <w:spacing w:before="91" w:line="413" w:lineRule="auto"/>
        <w:ind w:left="25" w:right="200" w:firstLine="56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为了更好的为公司运维服务提供支持，规范公司服务台在发生事件和服务请求时的接收、识别、记录、分派和关闭的整个过程，</w:t>
      </w:r>
      <w:r>
        <w:rPr>
          <w:rFonts w:ascii="宋体" w:hAnsi="宋体" w:eastAsia="宋体" w:cs="宋体"/>
          <w:spacing w:val="-6"/>
          <w:sz w:val="28"/>
          <w:szCs w:val="28"/>
        </w:rPr>
        <w:t>特制定此管理制度。</w:t>
      </w:r>
    </w:p>
    <w:p w14:paraId="2BC708E7">
      <w:pPr>
        <w:pStyle w:val="26"/>
        <w:bidi w:val="0"/>
      </w:pPr>
      <w:bookmarkStart w:id="4" w:name="_Toc9690"/>
      <w:r>
        <w:t>适用范围</w:t>
      </w:r>
      <w:bookmarkEnd w:id="4"/>
    </w:p>
    <w:p w14:paraId="748D6E8F">
      <w:pPr>
        <w:spacing w:before="91" w:line="219" w:lineRule="auto"/>
        <w:ind w:left="58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本制度适用于本公司运维服务部。</w:t>
      </w:r>
    </w:p>
    <w:p w14:paraId="19EF581F">
      <w:pPr>
        <w:pStyle w:val="12"/>
        <w:spacing w:line="439" w:lineRule="auto"/>
      </w:pPr>
    </w:p>
    <w:p w14:paraId="137281DC">
      <w:pPr>
        <w:pStyle w:val="26"/>
        <w:bidi w:val="0"/>
      </w:pPr>
      <w:bookmarkStart w:id="5" w:name="_Toc7593"/>
      <w:r>
        <w:t>引用文件</w:t>
      </w:r>
      <w:bookmarkEnd w:id="5"/>
    </w:p>
    <w:p w14:paraId="4A9AC036">
      <w:pPr>
        <w:numPr>
          <w:ilvl w:val="0"/>
          <w:numId w:val="2"/>
        </w:numPr>
        <w:spacing w:before="79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T/CESA 1299—2023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《信息技术服务 运行维护服务能力成熟度模型》</w:t>
      </w:r>
    </w:p>
    <w:p w14:paraId="00836276">
      <w:pPr>
        <w:numPr>
          <w:ilvl w:val="0"/>
          <w:numId w:val="2"/>
        </w:numPr>
        <w:spacing w:before="273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 xml:space="preserve">GB/T 28827.1-2022 </w:t>
      </w:r>
      <w:r>
        <w:rPr>
          <w:rFonts w:ascii="宋体" w:hAnsi="宋体" w:eastAsia="宋体" w:cs="宋体"/>
          <w:spacing w:val="-2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部分：通用要求》</w:t>
      </w:r>
    </w:p>
    <w:p w14:paraId="153B8C45">
      <w:pPr>
        <w:numPr>
          <w:ilvl w:val="0"/>
          <w:numId w:val="2"/>
        </w:numPr>
        <w:spacing w:before="272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GB/T 29264-2012 《信息技术服务 分类与代码》</w:t>
      </w:r>
    </w:p>
    <w:p w14:paraId="6F0E43CD">
      <w:pPr>
        <w:numPr>
          <w:ilvl w:val="0"/>
          <w:numId w:val="2"/>
        </w:numPr>
        <w:spacing w:before="273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GB/T 28827.2-2012 《信息技术服务 运行维护 第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2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部分:</w:t>
      </w:r>
      <w:r>
        <w:rPr>
          <w:rFonts w:ascii="宋体" w:hAnsi="宋体" w:eastAsia="宋体" w:cs="宋体"/>
          <w:spacing w:val="-2"/>
          <w:sz w:val="24"/>
          <w:szCs w:val="24"/>
        </w:rPr>
        <w:t>交付规范》</w:t>
      </w:r>
    </w:p>
    <w:p w14:paraId="759C76B4">
      <w:pPr>
        <w:numPr>
          <w:ilvl w:val="0"/>
          <w:numId w:val="2"/>
        </w:numPr>
        <w:spacing w:before="273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 xml:space="preserve">GB/T 28827.3-2012 《信息技术服务 运行维护 </w:t>
      </w:r>
      <w:r>
        <w:rPr>
          <w:rFonts w:ascii="宋体" w:hAnsi="宋体" w:eastAsia="宋体" w:cs="宋体"/>
          <w:spacing w:val="-2"/>
          <w:sz w:val="24"/>
          <w:szCs w:val="24"/>
        </w:rPr>
        <w:t>第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3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部分:应急响应规范》</w:t>
      </w:r>
    </w:p>
    <w:p w14:paraId="5D24BABF">
      <w:pPr>
        <w:spacing w:line="220" w:lineRule="auto"/>
        <w:rPr>
          <w:rFonts w:ascii="宋体" w:hAnsi="宋体" w:eastAsia="宋体" w:cs="宋体"/>
          <w:sz w:val="24"/>
          <w:szCs w:val="24"/>
        </w:rPr>
        <w:sectPr>
          <w:footerReference r:id="rId8" w:type="default"/>
          <w:pgSz w:w="11906" w:h="16839"/>
          <w:pgMar w:top="1431" w:right="1785" w:bottom="1374" w:left="1785" w:header="0" w:footer="1211" w:gutter="0"/>
          <w:cols w:space="720" w:num="1"/>
        </w:sectPr>
      </w:pPr>
    </w:p>
    <w:p w14:paraId="1913E780">
      <w:pPr>
        <w:pStyle w:val="26"/>
        <w:bidi w:val="0"/>
      </w:pPr>
      <w:bookmarkStart w:id="6" w:name="_Toc9317"/>
      <w:r>
        <w:t>流程制度</w:t>
      </w:r>
      <w:bookmarkEnd w:id="6"/>
    </w:p>
    <w:p w14:paraId="53960927">
      <w:pPr>
        <w:pStyle w:val="28"/>
        <w:bidi w:val="0"/>
      </w:pPr>
      <w:bookmarkStart w:id="7" w:name="bookmark19"/>
      <w:bookmarkEnd w:id="7"/>
      <w:bookmarkStart w:id="8" w:name="_Toc32743"/>
      <w:r>
        <w:t>服务台流程图</w:t>
      </w:r>
      <w:bookmarkEnd w:id="8"/>
    </w:p>
    <w:p w14:paraId="2B9E19B2">
      <w:pPr>
        <w:spacing w:before="59" w:line="225" w:lineRule="auto"/>
        <w:ind w:left="1642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用户提交</w:t>
      </w:r>
      <w:bookmarkStart w:id="14" w:name="_GoBack"/>
      <w:bookmarkEnd w:id="14"/>
      <w:r>
        <w:rPr>
          <w:rFonts w:ascii="宋体" w:hAnsi="宋体" w:eastAsia="宋体" w:cs="宋体"/>
          <w:spacing w:val="3"/>
          <w:sz w:val="18"/>
          <w:szCs w:val="18"/>
        </w:rPr>
        <w:t xml:space="preserve">              </w:t>
      </w:r>
      <w:r>
        <w:rPr>
          <w:rFonts w:ascii="宋体" w:hAnsi="宋体" w:eastAsia="宋体" w:cs="宋体"/>
          <w:spacing w:val="-1"/>
          <w:position w:val="1"/>
          <w:sz w:val="18"/>
          <w:szCs w:val="18"/>
        </w:rPr>
        <w:t xml:space="preserve">巡检上报             </w:t>
      </w:r>
      <w:r>
        <w:rPr>
          <w:rFonts w:ascii="宋体" w:hAnsi="宋体" w:eastAsia="宋体" w:cs="宋体"/>
          <w:spacing w:val="-2"/>
          <w:position w:val="1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2"/>
          <w:sz w:val="18"/>
          <w:szCs w:val="18"/>
        </w:rPr>
        <w:t>监控上报</w:t>
      </w:r>
    </w:p>
    <w:p w14:paraId="596695C8">
      <w:pPr>
        <w:pStyle w:val="12"/>
        <w:spacing w:line="343" w:lineRule="auto"/>
      </w:pPr>
    </w:p>
    <w:p w14:paraId="0E42A689">
      <w:pPr>
        <w:pStyle w:val="12"/>
        <w:spacing w:line="344" w:lineRule="auto"/>
      </w:pPr>
    </w:p>
    <w:p w14:paraId="06A2A5D2">
      <w:pPr>
        <w:spacing w:before="58" w:line="322" w:lineRule="auto"/>
        <w:ind w:left="3612" w:right="3692" w:hanging="224"/>
        <w:rPr>
          <w:rFonts w:ascii="宋体" w:hAnsi="宋体" w:eastAsia="宋体" w:cs="宋体"/>
          <w:sz w:val="18"/>
          <w:szCs w:val="18"/>
        </w:rPr>
      </w:pPr>
      <w:r>
        <w:pict>
          <v:group id="_x0000_s1026" o:spid="_x0000_s1026" o:spt="203" style="position:absolute;left:0pt;margin-left:62.9pt;margin-top:-53.3pt;height:511.95pt;width:286.75pt;z-index:-251657216;mso-width-relative:page;mso-height-relative:page;" coordsize="5735,10239">
            <o:lock v:ext="edit"/>
            <v:shape id="_x0000_s1027" o:spid="_x0000_s1027" style="position:absolute;left:175;top:0;height:1781;width:5108;" filled="f" stroked="t" coordsize="5108,1781" path="m5,95c5,86,7,76,11,67l11,67c22,39,50,20,80,20l1040,20,1040,20c1071,20,1098,39,1110,67l1110,67c1113,76,1115,86,1115,95l1115,395,1115,395c1115,405,1113,414,1110,423l1110,423c1098,452,1071,470,1040,470l80,470,80,470c50,470,22,452,11,423l11,423c7,414,5,405,5,395l5,95xm2029,80c2029,71,2031,61,2034,52l2034,52c2046,24,2073,5,2104,5l3063,5,3063,5c3093,5,3121,24,3132,52l3132,52c3136,61,3138,71,3138,80l3138,380,3138,380c3138,390,3136,400,3132,408l3132,408c3121,437,3093,455,3063,455l2104,455,2104,455c2073,455,2046,437,2034,408l2034,408c2031,400,2029,390,2029,380l2029,80xm3994,95c3994,86,3996,76,3999,67l3999,67c4011,39,4038,20,4069,20l5028,20,5028,20c5058,20,5086,39,5097,67l5097,67c5101,76,5103,86,5103,95l5103,395,5103,395c5103,405,5101,414,5097,423l5097,423c5086,452,5058,470,5028,470l4069,470,4069,470c4038,470,4011,452,3999,423l3999,423c3996,414,3994,405,3994,395l3994,95xm1835,1099c1835,1076,1841,1054,1852,1034l1852,1034c1876,991,1921,964,1971,964l3185,964,3185,964c3234,964,3280,991,3304,1034l3304,1034c3315,1054,3320,1076,3320,1099l3320,1640,3320,1640c3320,1663,3315,1685,3304,1705l3304,1705c3280,1748,3234,1775,3185,1775l1971,1775,1971,1775c1921,1775,1876,1748,1852,1705l1852,1705c1841,1685,1835,1663,1835,1640l1835,1099xe">
              <v:fill on="f" focussize="0,0"/>
              <v:stroke weight="0.57pt" color="#000000" miterlimit="10" joinstyle="miter"/>
              <v:imagedata o:title=""/>
              <o:lock v:ext="edit"/>
            </v:shape>
            <v:shape id="_x0000_s1028" o:spid="_x0000_s1028" style="position:absolute;left:1890;top:1309;height:120;width:120;" fillcolor="#000000" filled="t" stroked="f" coordsize="120,120" path="m0,0l120,60,0,120,0,0xe">
              <v:path/>
              <v:fill on="t" focussize="0,0"/>
              <v:stroke on="f"/>
              <v:imagedata o:title=""/>
              <o:lock v:ext="edit"/>
            </v:shape>
            <v:shape id="_x0000_s1029" o:spid="_x0000_s1029" style="position:absolute;left:730;top:470;height:905;width:1265;" filled="f" stroked="t" coordsize="1265,905" path="m5,0l5,899,1264,899e">
              <v:fill on="f" focussize="0,0"/>
              <v:stroke weight="0.5pt" color="#000000" miterlimit="10" joinstyle="miter"/>
              <v:imagedata o:title=""/>
              <o:lock v:ext="edit"/>
            </v:shape>
            <v:shape id="_x0000_s1030" o:spid="_x0000_s1030" style="position:absolute;left:3496;top:1309;height:120;width:120;" fillcolor="#000000" filled="t" stroked="f" coordsize="120,120" path="m120,120l0,60,120,0,120,120xe">
              <v:path/>
              <v:fill on="t" focussize="0,0"/>
              <v:stroke on="f"/>
              <v:imagedata o:title=""/>
              <o:lock v:ext="edit"/>
            </v:shape>
            <v:shape id="_x0000_s1031" o:spid="_x0000_s1031" style="position:absolute;left:3511;top:470;height:905;width:1218;" filled="f" stroked="t" coordsize="1218,905" path="m1212,0l1212,899,0,899e">
              <v:fill on="f" focussize="0,0"/>
              <v:stroke weight="0.5pt" color="#000000" miterlimit="10" joinstyle="miter"/>
              <v:imagedata o:title=""/>
              <o:lock v:ext="edit"/>
            </v:shape>
            <v:shape id="_x0000_s1032" o:spid="_x0000_s1032" style="position:absolute;left:2694;top:843;height:121;width:120;" fillcolor="#000000" filled="t" stroked="f" coordsize="120,121" path="m119,1l58,120,0,0,119,1xe">
              <v:path/>
              <v:fill on="t" focussize="0,0"/>
              <v:stroke on="f"/>
              <v:imagedata o:title=""/>
              <o:lock v:ext="edit"/>
            </v:shape>
            <v:shape id="_x0000_s1033" o:spid="_x0000_s1033" style="position:absolute;left:2748;top:455;height:494;width:16;" filled="f" stroked="t" coordsize="16,494" path="m10,0l5,493e">
              <v:fill on="f" focussize="0,0"/>
              <v:stroke weight="0.5pt" color="#000000" miterlimit="10" joinstyle="miter"/>
              <v:imagedata o:title=""/>
              <o:lock v:ext="edit"/>
            </v:shape>
            <v:shape id="_x0000_s1034" o:spid="_x0000_s1034" style="position:absolute;left:2032;top:2278;height:823;width:1456;" filled="f" stroked="t" coordsize="1456,823" path="m5,140c5,117,11,94,22,74l22,74c46,32,92,5,140,5l1316,5,1316,5c1364,5,1410,32,1433,74l1433,74c1445,94,1451,117,1451,140l1451,681,1451,681c1451,704,1445,727,1433,747l1433,747c1410,790,1364,816,1316,816l140,816,140,816c92,816,46,790,22,747l22,747c11,727,5,704,5,681l5,140xe">
              <v:fill on="f" focussize="0,0"/>
              <v:stroke weight="0.57pt" color="#000000" miterlimit="10" joinstyle="miter"/>
              <v:imagedata o:title=""/>
              <o:lock v:ext="edit"/>
            </v:shape>
            <v:shape id="_x0000_s1035" o:spid="_x0000_s1035" style="position:absolute;left:2699;top:2163;height:121;width:120;" fillcolor="#000000" filled="t" stroked="f" coordsize="120,121" path="m119,0l61,120,0,1,119,0xe">
              <v:path/>
              <v:fill on="t" focussize="0,0"/>
              <v:stroke on="f"/>
              <v:imagedata o:title=""/>
              <o:lock v:ext="edit"/>
            </v:shape>
            <v:shape id="_x0000_s1036" o:spid="_x0000_s1036" style="position:absolute;left:2748;top:1775;height:494;width:17;" filled="f" stroked="t" coordsize="17,494" path="m4,0l12,493e">
              <v:fill on="f" focussize="0,0"/>
              <v:stroke weight="0.5pt" color="#000000" miterlimit="10" joinstyle="miter"/>
              <v:imagedata o:title=""/>
              <o:lock v:ext="edit"/>
            </v:shape>
            <v:shape id="_x0000_s1037" o:spid="_x0000_s1037" style="position:absolute;left:2045;top:3508;height:823;width:1456;" filled="f" stroked="t" coordsize="1456,823" path="m5,140c5,117,11,94,22,74l22,74c46,32,92,5,140,5l1315,5,1315,5c1364,5,1409,32,1433,74l1433,74c1444,94,1450,117,1450,140l1450,681,1450,681c1450,704,1444,727,1433,747l1433,747c1409,790,1364,816,1315,816l140,816,140,816c92,816,46,790,22,747l22,747c11,727,5,704,5,681l5,140xe">
              <v:fill on="f" focussize="0,0"/>
              <v:stroke weight="0.57pt" color="#000000" miterlimit="10" joinstyle="miter"/>
              <v:imagedata o:title=""/>
              <o:lock v:ext="edit"/>
            </v:shape>
            <v:shape id="_x0000_s1038" o:spid="_x0000_s1038" style="position:absolute;left:2709;top:3392;height:121;width:120;" fillcolor="#000000" filled="t" stroked="f" coordsize="120,121" path="m119,0l63,121,0,3,119,0xe">
              <v:path/>
              <v:fill on="t" focussize="0,0"/>
              <v:stroke on="f"/>
              <v:imagedata o:title=""/>
              <o:lock v:ext="edit"/>
            </v:shape>
            <v:shape id="_x0000_s1039" o:spid="_x0000_s1039" style="position:absolute;left:2755;top:3095;height:405;width:22;" filled="f" stroked="t" coordsize="22,405" path="m4,0l17,404e">
              <v:fill on="f" focussize="0,0"/>
              <v:stroke weight="0.5pt" color="#000000" miterlimit="10" joinstyle="miter"/>
              <v:imagedata o:title=""/>
              <o:lock v:ext="edit"/>
            </v:shape>
            <v:shape id="_x0000_s1040" o:spid="_x0000_s1040" style="position:absolute;left:1864;top:4842;height:1214;width:1831;" filled="f" stroked="t" coordsize="1831,1214" path="m915,5l5,606,915,1207,1826,606,915,5xe">
              <v:fill on="f" focussize="0,0"/>
              <v:stroke weight="0.57pt" color="#000000" miterlimit="10" joinstyle="miter"/>
              <v:imagedata o:title=""/>
              <o:lock v:ext="edit"/>
            </v:shape>
            <v:shape id="_x0000_s1041" o:spid="_x0000_s1041" style="position:absolute;left:2719;top:4727;height:121;width:120;" fillcolor="#000000" filled="t" stroked="f" coordsize="120,121" path="m119,0l61,120,0,1,119,0xe">
              <v:path/>
              <v:fill on="t" focussize="0,0"/>
              <v:stroke on="f"/>
              <v:imagedata o:title=""/>
              <o:lock v:ext="edit"/>
            </v:shape>
            <v:shape id="_x0000_s1042" o:spid="_x0000_s1042" style="position:absolute;left:2768;top:4325;height:509;width:17;" filled="f" stroked="t" coordsize="17,509" path="m4,0l12,508e">
              <v:fill on="f" focussize="0,0"/>
              <v:stroke weight="0.5pt" color="#000000" miterlimit="10" joinstyle="miter"/>
              <v:imagedata o:title=""/>
              <o:lock v:ext="edit"/>
            </v:shape>
            <v:shape id="_x0000_s1043" o:spid="_x0000_s1043" style="position:absolute;left:0;top:6299;height:3940;width:5735;" filled="f" stroked="t" coordsize="5735,3940" path="m5,323c5,299,12,274,24,253l24,253c49,210,96,183,145,183l1310,183,1310,183c1360,183,1406,210,1431,253l1431,253c1444,274,1450,299,1450,323l1450,884,1450,884c1450,909,1444,933,1431,955l1431,955c1406,998,1360,1024,1310,1024l145,1024,145,1024c96,1024,49,998,24,955l24,955c12,933,5,909,5,884l5,323xm5,1690c5,1648,19,1607,45,1574l45,1574c81,1529,135,1502,193,1502l1262,1502,1262,1502c1320,1502,1375,1529,1410,1574l1410,1574c1436,1607,1450,1648,1450,1690l1450,2441,1450,2441c1450,2483,1436,2524,1410,2557l1410,2557c1375,2603,1320,2629,1262,2629l193,2629,193,2629c135,2629,81,2603,45,2557l45,2557c19,2524,5,2483,5,2441l5,1690xm4283,145c4283,121,4289,96,4302,75l4302,75c4327,32,4373,5,4423,5l5588,5,5588,5c5638,5,5684,32,5709,75l5709,75c5721,96,5728,121,5728,145l5728,706,5728,706c5728,731,5721,755,5709,777l5709,777c5684,820,5638,846,5588,846l4423,846,4423,846c4373,846,4327,820,4302,777l4302,777c4289,755,4283,731,4283,706l4283,145xm5,3233c5,3208,12,3183,24,3162l24,3162c49,3119,96,3092,145,3092l1310,3092,1310,3092c1360,3092,1406,3119,1431,3162l1431,3162c1444,3183,1450,3208,1450,3233l1450,3793,1450,3793c1450,3818,1444,3842,1431,3864l1431,3864c1406,3907,1360,3933,1310,3933l145,3933,145,3933c96,3933,49,3907,24,3864l24,3864c12,3842,5,3818,5,3793l5,3233xe">
              <v:fill on="f" focussize="0,0"/>
              <v:stroke weight="0.57pt" color="#000000" miterlimit="10" joinstyle="miter"/>
              <v:imagedata o:title=""/>
              <o:lock v:ext="edit"/>
            </v:shape>
            <v:shape id="_x0000_s1044" o:spid="_x0000_s1044" style="position:absolute;left:668;top:7680;height:120;width:120;" fillcolor="#000000" filled="t" stroked="f" coordsize="120,120" path="m120,0l60,120,0,0,120,0xe">
              <v:path/>
              <v:fill on="t" focussize="0,0"/>
              <v:stroke on="f"/>
              <v:imagedata o:title=""/>
              <o:lock v:ext="edit"/>
            </v:shape>
            <v:shape id="_x0000_s1045" o:spid="_x0000_s1045" style="position:absolute;left:723;top:7323;height:462;width:10;" filled="f" stroked="t" coordsize="10,462" path="m5,0l5,462e">
              <v:fill on="f" focussize="0,0"/>
              <v:stroke weight="0.5pt" color="#000000" miterlimit="10" joinstyle="miter"/>
              <v:imagedata o:title=""/>
              <o:lock v:ext="edit"/>
            </v:shape>
            <v:shape id="_x0000_s1046" o:spid="_x0000_s1046" style="position:absolute;left:668;top:6362;height:120;width:120;" fillcolor="#000000" filled="t" stroked="f" coordsize="120,120" path="m120,0l60,120,0,0,120,0xe">
              <v:path/>
              <v:fill on="t" focussize="0,0"/>
              <v:stroke on="f"/>
              <v:imagedata o:title=""/>
              <o:lock v:ext="edit"/>
            </v:shape>
            <v:shape id="_x0000_s1047" o:spid="_x0000_s1047" style="position:absolute;left:723;top:5444;height:1024;width:1148;" filled="f" stroked="t" coordsize="1148,1024" path="m1147,5l5,5,5,1023e">
              <v:fill on="f" focussize="0,0"/>
              <v:stroke weight="0.5pt" color="#000000" miterlimit="10" joinstyle="miter"/>
              <v:imagedata o:title=""/>
              <o:lock v:ext="edit"/>
            </v:shape>
            <v:shape id="_x0000_s1048" o:spid="_x0000_s1048" style="position:absolute;left:4945;top:6184;height:120;width:120;" fillcolor="#000000" filled="t" stroked="f" coordsize="120,120" path="m120,0l60,120,0,0,120,0xe">
              <v:path/>
              <v:fill on="t" focussize="0,0"/>
              <v:stroke on="f"/>
              <v:imagedata o:title=""/>
              <o:lock v:ext="edit"/>
            </v:shape>
            <v:shape id="_x0000_s1049" o:spid="_x0000_s1049" style="position:absolute;left:3690;top:5444;height:845;width:1320;" filled="f" stroked="t" coordsize="1320,845" path="m0,5l1314,5,1314,845e">
              <v:fill on="f" focussize="0,0"/>
              <v:stroke weight="0.5pt" color="#000000" miterlimit="10" joinstyle="miter"/>
              <v:imagedata o:title=""/>
              <o:lock v:ext="edit"/>
            </v:shape>
            <v:shape id="_x0000_s1050" o:spid="_x0000_s1050" style="position:absolute;left:668;top:9271;height:120;width:120;" fillcolor="#000000" filled="t" stroked="f" coordsize="120,120" path="m120,0l60,120,0,0,120,0xe">
              <v:path/>
              <v:fill on="t" focussize="0,0"/>
              <v:stroke on="f"/>
              <v:imagedata o:title=""/>
              <o:lock v:ext="edit"/>
            </v:shape>
            <v:shape id="_x0000_s1051" o:spid="_x0000_s1051" style="position:absolute;left:723;top:8928;height:447;width:10;" filled="f" stroked="t" coordsize="10,447" path="m5,0l5,447e">
              <v:fill on="f" focussize="0,0"/>
              <v:stroke weight="0.5pt" color="#000000" miterlimit="10" joinstyle="miter"/>
              <v:imagedata o:title=""/>
              <o:lock v:ext="edit"/>
            </v:shape>
            <v:shape id="_x0000_s1052" o:spid="_x0000_s1052" style="position:absolute;left:990;top:5283;height:347;width:3526;" fillcolor="#FFFFFF" filled="t" stroked="f" coordsize="3526,347" path="m0,1l0,346,300,346,300,1,0,1xem3073,0l3073,343,3525,343,3525,0,3073,0xe">
              <v:path/>
              <v:fill on="t" focussize="0,0"/>
              <v:stroke on="f"/>
              <v:imagedata o:title=""/>
              <o:lock v:ext="edit"/>
            </v:shape>
          </v:group>
        </w:pict>
      </w:r>
      <w:r>
        <w:rPr>
          <w:rFonts w:ascii="宋体" w:hAnsi="宋体" w:eastAsia="宋体" w:cs="宋体"/>
          <w:spacing w:val="-2"/>
          <w:sz w:val="18"/>
          <w:szCs w:val="18"/>
        </w:rPr>
        <w:t>服务台新建事件/服务请求</w:t>
      </w:r>
    </w:p>
    <w:p w14:paraId="5107C1EE">
      <w:pPr>
        <w:pStyle w:val="12"/>
        <w:spacing w:line="314" w:lineRule="auto"/>
      </w:pPr>
    </w:p>
    <w:p w14:paraId="5AC949C7">
      <w:pPr>
        <w:pStyle w:val="12"/>
        <w:spacing w:line="315" w:lineRule="auto"/>
      </w:pPr>
    </w:p>
    <w:p w14:paraId="7DFC4467">
      <w:pPr>
        <w:spacing w:before="59" w:line="322" w:lineRule="auto"/>
        <w:ind w:left="3848" w:right="3730" w:hanging="407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2"/>
          <w:sz w:val="18"/>
          <w:szCs w:val="18"/>
        </w:rPr>
        <w:t>事件/服务请求</w:t>
      </w:r>
      <w:r>
        <w:rPr>
          <w:rFonts w:ascii="宋体" w:hAnsi="宋体" w:eastAsia="宋体" w:cs="宋体"/>
          <w:spacing w:val="-3"/>
          <w:sz w:val="18"/>
          <w:szCs w:val="18"/>
        </w:rPr>
        <w:t>分类</w:t>
      </w:r>
    </w:p>
    <w:p w14:paraId="1486A431">
      <w:pPr>
        <w:pStyle w:val="12"/>
        <w:spacing w:line="270" w:lineRule="auto"/>
      </w:pPr>
    </w:p>
    <w:p w14:paraId="0DC16D2A">
      <w:pPr>
        <w:pStyle w:val="12"/>
        <w:spacing w:line="270" w:lineRule="auto"/>
      </w:pPr>
    </w:p>
    <w:p w14:paraId="6FDEE4BA">
      <w:pPr>
        <w:spacing w:before="59" w:line="322" w:lineRule="auto"/>
        <w:ind w:left="3586" w:right="3717" w:hanging="133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2"/>
          <w:sz w:val="18"/>
          <w:szCs w:val="18"/>
        </w:rPr>
        <w:t>判定事件/服务</w:t>
      </w:r>
      <w:r>
        <w:rPr>
          <w:rFonts w:ascii="宋体" w:hAnsi="宋体" w:eastAsia="宋体" w:cs="宋体"/>
          <w:spacing w:val="-1"/>
          <w:sz w:val="18"/>
          <w:szCs w:val="18"/>
        </w:rPr>
        <w:t>请求优先级</w:t>
      </w:r>
    </w:p>
    <w:p w14:paraId="064A9D6A">
      <w:pPr>
        <w:pStyle w:val="12"/>
        <w:spacing w:line="283" w:lineRule="auto"/>
      </w:pPr>
    </w:p>
    <w:p w14:paraId="041C400B">
      <w:pPr>
        <w:pStyle w:val="12"/>
        <w:spacing w:line="283" w:lineRule="auto"/>
      </w:pPr>
    </w:p>
    <w:p w14:paraId="28E87167">
      <w:pPr>
        <w:pStyle w:val="12"/>
        <w:spacing w:line="283" w:lineRule="auto"/>
      </w:pPr>
    </w:p>
    <w:p w14:paraId="39EAB6CA">
      <w:pPr>
        <w:spacing w:before="59" w:line="327" w:lineRule="auto"/>
        <w:ind w:left="3957" w:right="3845" w:hanging="359"/>
        <w:rPr>
          <w:rFonts w:ascii="宋体" w:hAnsi="宋体" w:eastAsia="宋体" w:cs="宋体"/>
          <w:sz w:val="18"/>
          <w:szCs w:val="18"/>
        </w:rPr>
      </w:pPr>
      <w:r>
        <w:pict>
          <v:shape id="_x0000_s1053" o:spid="_x0000_s1053" o:spt="202" type="#_x0000_t202" style="position:absolute;left:0pt;margin-left:265.6pt;margin-top:8.7pt;height:12.8pt;width:19.5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B815C6">
                  <w:pPr>
                    <w:spacing w:before="19" w:line="221" w:lineRule="auto"/>
                    <w:ind w:left="2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8"/>
                      <w:szCs w:val="18"/>
                    </w:rPr>
                    <w:t>不能</w:t>
                  </w:r>
                </w:p>
              </w:txbxContent>
            </v:textbox>
          </v:shape>
        </w:pict>
      </w:r>
      <w:r>
        <w:pict>
          <v:shape id="_x0000_s1054" o:spid="_x0000_s1054" o:spt="202" type="#_x0000_t202" style="position:absolute;left:0pt;margin-left:112.15pt;margin-top:8.75pt;height:12.8pt;width:10.3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55A4F7">
                  <w:pPr>
                    <w:spacing w:before="19" w:line="221" w:lineRule="auto"/>
                    <w:ind w:left="2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z w:val="18"/>
                      <w:szCs w:val="18"/>
                    </w:rPr>
                    <w:t>能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2"/>
          <w:sz w:val="18"/>
          <w:szCs w:val="18"/>
        </w:rPr>
        <w:t>是否自行处</w:t>
      </w:r>
      <w:r>
        <w:rPr>
          <w:rFonts w:ascii="宋体" w:hAnsi="宋体" w:eastAsia="宋体" w:cs="宋体"/>
          <w:sz w:val="18"/>
          <w:szCs w:val="18"/>
        </w:rPr>
        <w:t>理</w:t>
      </w:r>
    </w:p>
    <w:p w14:paraId="33E5656D">
      <w:pPr>
        <w:pStyle w:val="12"/>
        <w:spacing w:line="247" w:lineRule="auto"/>
      </w:pPr>
    </w:p>
    <w:p w14:paraId="4BC2545E">
      <w:pPr>
        <w:pStyle w:val="12"/>
        <w:spacing w:line="247" w:lineRule="auto"/>
      </w:pPr>
    </w:p>
    <w:p w14:paraId="01245A1B">
      <w:pPr>
        <w:pStyle w:val="12"/>
        <w:spacing w:line="247" w:lineRule="auto"/>
      </w:pPr>
    </w:p>
    <w:p w14:paraId="418CAF4D">
      <w:pPr>
        <w:spacing w:before="59" w:line="322" w:lineRule="auto"/>
        <w:ind w:left="1812" w:right="5762" w:hanging="404"/>
        <w:rPr>
          <w:rFonts w:ascii="宋体" w:hAnsi="宋体" w:eastAsia="宋体" w:cs="宋体"/>
          <w:sz w:val="18"/>
          <w:szCs w:val="18"/>
        </w:rPr>
      </w:pPr>
      <w:r>
        <w:pict>
          <v:shape id="_x0000_s1055" o:spid="_x0000_s1055" o:spt="202" type="#_x0000_t202" style="position:absolute;left:0pt;margin-left:283.3pt;margin-top:-6.95pt;height:28.35pt;width:60.1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28517F">
                  <w:pPr>
                    <w:spacing w:before="20" w:line="280" w:lineRule="auto"/>
                    <w:ind w:left="425" w:right="20" w:hanging="406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8"/>
                      <w:szCs w:val="18"/>
                    </w:rPr>
                    <w:t>事件/服务请求</w:t>
                  </w:r>
                  <w:r>
                    <w:rPr>
                      <w:rFonts w:ascii="宋体" w:hAnsi="宋体" w:eastAsia="宋体" w:cs="宋体"/>
                      <w:spacing w:val="-3"/>
                      <w:sz w:val="18"/>
                      <w:szCs w:val="18"/>
                    </w:rPr>
                    <w:t>派发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2"/>
          <w:sz w:val="18"/>
          <w:szCs w:val="18"/>
        </w:rPr>
        <w:t>事件/服务请求解决</w:t>
      </w:r>
    </w:p>
    <w:p w14:paraId="53BE9FB5">
      <w:pPr>
        <w:pStyle w:val="12"/>
        <w:spacing w:line="313" w:lineRule="auto"/>
      </w:pPr>
    </w:p>
    <w:p w14:paraId="6C4B5F5B">
      <w:pPr>
        <w:pStyle w:val="12"/>
        <w:spacing w:line="313" w:lineRule="auto"/>
      </w:pPr>
    </w:p>
    <w:p w14:paraId="221ECA7C">
      <w:pPr>
        <w:spacing w:before="59" w:line="220" w:lineRule="auto"/>
        <w:ind w:left="1456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2"/>
          <w:sz w:val="18"/>
          <w:szCs w:val="18"/>
        </w:rPr>
        <w:t>与用户确认事</w:t>
      </w:r>
    </w:p>
    <w:p w14:paraId="1AE5D2D1">
      <w:pPr>
        <w:spacing w:before="96" w:line="220" w:lineRule="auto"/>
        <w:ind w:left="1407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件/服务请求处</w:t>
      </w:r>
    </w:p>
    <w:p w14:paraId="0DDCDC2B">
      <w:pPr>
        <w:spacing w:before="99" w:line="220" w:lineRule="auto"/>
        <w:ind w:left="1725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3"/>
          <w:sz w:val="18"/>
          <w:szCs w:val="18"/>
        </w:rPr>
        <w:t>理结果</w:t>
      </w:r>
    </w:p>
    <w:p w14:paraId="1764230A">
      <w:pPr>
        <w:pStyle w:val="12"/>
        <w:spacing w:line="345" w:lineRule="auto"/>
      </w:pPr>
    </w:p>
    <w:p w14:paraId="6FBC5F9D">
      <w:pPr>
        <w:pStyle w:val="12"/>
        <w:spacing w:line="346" w:lineRule="auto"/>
      </w:pPr>
    </w:p>
    <w:p w14:paraId="7827C2C5">
      <w:pPr>
        <w:spacing w:before="58" w:line="322" w:lineRule="auto"/>
        <w:ind w:left="1587" w:right="5717" w:hanging="224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2"/>
          <w:sz w:val="18"/>
          <w:szCs w:val="18"/>
        </w:rPr>
        <w:t>服务台关闭事件/服务请求</w:t>
      </w:r>
    </w:p>
    <w:p w14:paraId="7EF5DD38">
      <w:pPr>
        <w:spacing w:line="322" w:lineRule="auto"/>
        <w:rPr>
          <w:rFonts w:ascii="宋体" w:hAnsi="宋体" w:eastAsia="宋体" w:cs="宋体"/>
          <w:sz w:val="18"/>
          <w:szCs w:val="18"/>
        </w:rPr>
        <w:sectPr>
          <w:footerReference r:id="rId9" w:type="default"/>
          <w:pgSz w:w="11906" w:h="16839"/>
          <w:pgMar w:top="1431" w:right="1785" w:bottom="1375" w:left="1785" w:header="0" w:footer="1211" w:gutter="0"/>
          <w:cols w:space="720" w:num="1"/>
        </w:sectPr>
      </w:pPr>
    </w:p>
    <w:p w14:paraId="08D9B8D4">
      <w:pPr>
        <w:pStyle w:val="28"/>
        <w:bidi w:val="0"/>
      </w:pPr>
      <w:bookmarkStart w:id="9" w:name="_Toc12208"/>
      <w:r>
        <w:t>服务台管理流程的步骤</w:t>
      </w:r>
      <w:bookmarkEnd w:id="9"/>
    </w:p>
    <w:tbl>
      <w:tblPr>
        <w:tblStyle w:val="24"/>
        <w:tblW w:w="829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2"/>
        <w:gridCol w:w="5803"/>
      </w:tblGrid>
      <w:tr w14:paraId="43D70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492" w:type="dxa"/>
            <w:shd w:val="clear" w:color="auto" w:fill="B2B2B2"/>
            <w:vAlign w:val="top"/>
          </w:tcPr>
          <w:p w14:paraId="2B49F5B3">
            <w:pPr>
              <w:spacing w:before="160" w:line="220" w:lineRule="auto"/>
              <w:ind w:left="7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项目名称</w:t>
            </w:r>
          </w:p>
        </w:tc>
        <w:tc>
          <w:tcPr>
            <w:tcW w:w="5803" w:type="dxa"/>
            <w:shd w:val="clear" w:color="auto" w:fill="B2B2B2"/>
            <w:vAlign w:val="top"/>
          </w:tcPr>
          <w:p w14:paraId="09EBEBBF">
            <w:pPr>
              <w:spacing w:before="159" w:line="220" w:lineRule="auto"/>
              <w:ind w:left="26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内容</w:t>
            </w:r>
          </w:p>
        </w:tc>
      </w:tr>
      <w:tr w14:paraId="30632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2492" w:type="dxa"/>
            <w:vAlign w:val="top"/>
          </w:tcPr>
          <w:p w14:paraId="3836C9D4">
            <w:pPr>
              <w:pStyle w:val="25"/>
              <w:spacing w:line="265" w:lineRule="auto"/>
            </w:pPr>
          </w:p>
          <w:p w14:paraId="6B1B4C44">
            <w:pPr>
              <w:spacing w:before="78" w:line="220" w:lineRule="auto"/>
              <w:ind w:left="10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事件</w:t>
            </w:r>
          </w:p>
        </w:tc>
        <w:tc>
          <w:tcPr>
            <w:tcW w:w="5803" w:type="dxa"/>
            <w:vAlign w:val="top"/>
          </w:tcPr>
          <w:p w14:paraId="4637776D">
            <w:pPr>
              <w:spacing w:before="33" w:line="242" w:lineRule="auto"/>
              <w:ind w:left="112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通过接收热线电话，</w:t>
            </w:r>
            <w:r>
              <w:rPr>
                <w:rFonts w:ascii="Calibri" w:hAnsi="Calibri" w:eastAsia="Calibri" w:cs="Calibri"/>
                <w:spacing w:val="-2"/>
                <w:sz w:val="24"/>
                <w:szCs w:val="24"/>
              </w:rPr>
              <w:t>Email</w:t>
            </w:r>
            <w:r>
              <w:rPr>
                <w:rFonts w:ascii="Calibri" w:hAnsi="Calibri" w:eastAsia="Calibri" w:cs="Calibri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或其他方式得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到客户的服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务请求，服务台收集相关信息受理进入事件处理流程。</w:t>
            </w:r>
          </w:p>
        </w:tc>
      </w:tr>
      <w:tr w14:paraId="4AE1AD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2492" w:type="dxa"/>
            <w:vAlign w:val="top"/>
          </w:tcPr>
          <w:p w14:paraId="3BB35FE3">
            <w:pPr>
              <w:spacing w:before="191" w:line="220" w:lineRule="auto"/>
              <w:ind w:left="6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分类，记录</w:t>
            </w:r>
          </w:p>
        </w:tc>
        <w:tc>
          <w:tcPr>
            <w:tcW w:w="5803" w:type="dxa"/>
            <w:vAlign w:val="top"/>
          </w:tcPr>
          <w:p w14:paraId="3D672799">
            <w:pPr>
              <w:spacing w:before="34" w:line="222" w:lineRule="auto"/>
              <w:ind w:left="111" w:right="170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接收到客户服务请求和问题，对问题进行分类，填写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《服务信息记录单》。</w:t>
            </w:r>
          </w:p>
        </w:tc>
      </w:tr>
      <w:tr w14:paraId="32FB49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2492" w:type="dxa"/>
            <w:vAlign w:val="top"/>
          </w:tcPr>
          <w:p w14:paraId="43466885">
            <w:pPr>
              <w:spacing w:before="193" w:line="220" w:lineRule="auto"/>
              <w:ind w:left="4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服务台人员处理</w:t>
            </w:r>
          </w:p>
        </w:tc>
        <w:tc>
          <w:tcPr>
            <w:tcW w:w="5803" w:type="dxa"/>
            <w:vAlign w:val="top"/>
          </w:tcPr>
          <w:p w14:paraId="33ADC7FB">
            <w:pPr>
              <w:spacing w:before="37" w:line="221" w:lineRule="auto"/>
              <w:ind w:left="113" w:right="170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将问题反馈到运维服务部，分派运维服务人员进行处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理。</w:t>
            </w:r>
          </w:p>
        </w:tc>
      </w:tr>
      <w:tr w14:paraId="389E6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492" w:type="dxa"/>
            <w:vAlign w:val="top"/>
          </w:tcPr>
          <w:p w14:paraId="7C2443F2">
            <w:pPr>
              <w:spacing w:before="195" w:line="220" w:lineRule="auto"/>
              <w:ind w:left="1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处理完成，用户确认</w:t>
            </w:r>
          </w:p>
        </w:tc>
        <w:tc>
          <w:tcPr>
            <w:tcW w:w="5803" w:type="dxa"/>
            <w:vAlign w:val="top"/>
          </w:tcPr>
          <w:p w14:paraId="4D0407EB">
            <w:pPr>
              <w:spacing w:before="195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运维人员解决完问题经用户确认</w:t>
            </w:r>
          </w:p>
        </w:tc>
      </w:tr>
      <w:tr w14:paraId="74079A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492" w:type="dxa"/>
            <w:vAlign w:val="top"/>
          </w:tcPr>
          <w:p w14:paraId="3475B027">
            <w:pPr>
              <w:spacing w:before="196" w:line="220" w:lineRule="auto"/>
              <w:ind w:left="2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总结知识到知识库</w:t>
            </w:r>
          </w:p>
        </w:tc>
        <w:tc>
          <w:tcPr>
            <w:tcW w:w="5803" w:type="dxa"/>
            <w:vAlign w:val="top"/>
          </w:tcPr>
          <w:p w14:paraId="711ED328">
            <w:pPr>
              <w:spacing w:before="196" w:line="220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将问题排查和解决方法分析总结后归纳到知识库</w:t>
            </w:r>
          </w:p>
        </w:tc>
      </w:tr>
      <w:tr w14:paraId="0042F3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2492" w:type="dxa"/>
            <w:vAlign w:val="top"/>
          </w:tcPr>
          <w:p w14:paraId="6F665BD1">
            <w:pPr>
              <w:spacing w:before="198" w:line="220" w:lineRule="auto"/>
              <w:ind w:left="10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关闭</w:t>
            </w:r>
          </w:p>
        </w:tc>
        <w:tc>
          <w:tcPr>
            <w:tcW w:w="5803" w:type="dxa"/>
            <w:vAlign w:val="top"/>
          </w:tcPr>
          <w:p w14:paraId="7E2BE217">
            <w:pPr>
              <w:spacing w:before="197" w:line="220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完成此条服务，结束</w:t>
            </w:r>
          </w:p>
        </w:tc>
      </w:tr>
    </w:tbl>
    <w:p w14:paraId="30A3A63F">
      <w:pPr>
        <w:pStyle w:val="28"/>
        <w:bidi w:val="0"/>
      </w:pPr>
      <w:bookmarkStart w:id="10" w:name="_Toc25880"/>
      <w:r>
        <w:t>服务台沟通渠道</w:t>
      </w:r>
      <w:bookmarkEnd w:id="10"/>
    </w:p>
    <w:p w14:paraId="774C95A8">
      <w:pPr>
        <w:spacing w:before="78" w:line="222" w:lineRule="auto"/>
        <w:ind w:left="76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5"/>
          <w:sz w:val="24"/>
          <w:szCs w:val="24"/>
        </w:rPr>
        <w:t>包括：</w:t>
      </w:r>
    </w:p>
    <w:p w14:paraId="10FC9C97">
      <w:pPr>
        <w:spacing w:before="91" w:line="234" w:lineRule="auto"/>
        <w:ind w:left="553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</w:rPr>
        <w:t xml:space="preserve">l </w:t>
      </w:r>
      <w:r>
        <w:rPr>
          <w:rFonts w:ascii="宋体" w:hAnsi="宋体" w:eastAsia="宋体" w:cs="宋体"/>
          <w:sz w:val="24"/>
          <w:szCs w:val="24"/>
        </w:rPr>
        <w:t>电子邮件(E-mail):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gansuguobang</w:t>
      </w:r>
      <w:r>
        <w:rPr>
          <w:rFonts w:ascii="宋体" w:hAnsi="宋体" w:eastAsia="宋体" w:cs="宋体"/>
          <w:spacing w:val="-1"/>
          <w:sz w:val="24"/>
          <w:szCs w:val="24"/>
        </w:rPr>
        <w:t>@126.com</w:t>
      </w:r>
    </w:p>
    <w:p w14:paraId="298DF583">
      <w:pPr>
        <w:spacing w:before="164" w:line="242" w:lineRule="auto"/>
        <w:ind w:left="553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>l</w:t>
      </w:r>
      <w:r>
        <w:rPr>
          <w:rFonts w:ascii="Wingdings" w:hAnsi="Wingdings" w:eastAsia="Wingdings" w:cs="Wingdings"/>
          <w:spacing w:val="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电话: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13758803523</w:t>
      </w:r>
    </w:p>
    <w:p w14:paraId="3434EE0C">
      <w:pPr>
        <w:spacing w:before="157"/>
        <w:ind w:left="553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 xml:space="preserve">l </w:t>
      </w:r>
      <w:r>
        <w:rPr>
          <w:rFonts w:ascii="宋体" w:hAnsi="宋体" w:eastAsia="宋体" w:cs="宋体"/>
          <w:spacing w:val="-2"/>
          <w:sz w:val="24"/>
          <w:szCs w:val="24"/>
        </w:rPr>
        <w:t>将呼叫请求转发到移动电话、便携式电脑和掌上型电脑的技术。</w:t>
      </w:r>
    </w:p>
    <w:p w14:paraId="487CA35A">
      <w:pPr>
        <w:pStyle w:val="28"/>
        <w:bidi w:val="0"/>
      </w:pPr>
      <w:bookmarkStart w:id="11" w:name="_Toc5001"/>
      <w:r>
        <w:t>服务台职责</w:t>
      </w:r>
      <w:bookmarkEnd w:id="11"/>
    </w:p>
    <w:p w14:paraId="121F9A2F">
      <w:pPr>
        <w:numPr>
          <w:ilvl w:val="0"/>
          <w:numId w:val="3"/>
        </w:numPr>
        <w:spacing w:before="79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保持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7*24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小时电话畅通状态；</w:t>
      </w:r>
    </w:p>
    <w:p w14:paraId="3FB39C31">
      <w:pPr>
        <w:numPr>
          <w:ilvl w:val="0"/>
          <w:numId w:val="3"/>
        </w:numPr>
        <w:spacing w:before="182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接受客户请求（可以通过电话、电子邮件和传真等</w:t>
      </w:r>
      <w:r>
        <w:rPr>
          <w:rFonts w:ascii="宋体" w:hAnsi="宋体" w:eastAsia="宋体" w:cs="宋体"/>
          <w:spacing w:val="5"/>
          <w:sz w:val="24"/>
          <w:szCs w:val="24"/>
        </w:rPr>
        <w:t>）；</w:t>
      </w:r>
    </w:p>
    <w:p w14:paraId="3D5ACDD6">
      <w:pPr>
        <w:numPr>
          <w:ilvl w:val="0"/>
          <w:numId w:val="3"/>
        </w:numPr>
        <w:spacing w:before="182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快速响应客户事件（包括服务请求</w:t>
      </w:r>
      <w:r>
        <w:rPr>
          <w:rFonts w:ascii="宋体" w:hAnsi="宋体" w:eastAsia="宋体" w:cs="宋体"/>
          <w:spacing w:val="-4"/>
          <w:sz w:val="24"/>
          <w:szCs w:val="24"/>
        </w:rPr>
        <w:t>），</w:t>
      </w:r>
      <w:r>
        <w:rPr>
          <w:rFonts w:ascii="宋体" w:hAnsi="宋体" w:eastAsia="宋体" w:cs="宋体"/>
          <w:spacing w:val="-6"/>
          <w:sz w:val="24"/>
          <w:szCs w:val="24"/>
        </w:rPr>
        <w:t>记录客户联系方式等相关信息，</w:t>
      </w:r>
    </w:p>
    <w:p w14:paraId="3FFFB77E">
      <w:pPr>
        <w:numPr>
          <w:ilvl w:val="0"/>
          <w:numId w:val="3"/>
        </w:numPr>
        <w:spacing w:before="192" w:line="289" w:lineRule="auto"/>
        <w:ind w:left="425" w:leftChars="0" w:right="4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并将信息及时传递给业务部门运维联络人员，如联络人员联系不上，则</w:t>
      </w:r>
      <w:r>
        <w:rPr>
          <w:rFonts w:ascii="宋体" w:hAnsi="宋体" w:eastAsia="宋体" w:cs="宋体"/>
          <w:spacing w:val="-2"/>
          <w:sz w:val="24"/>
          <w:szCs w:val="24"/>
        </w:rPr>
        <w:t>根据部门提供的名单，逐级向上联系，及时反映情况，不可懈怠。</w:t>
      </w:r>
    </w:p>
    <w:p w14:paraId="6C794F62">
      <w:pPr>
        <w:numPr>
          <w:ilvl w:val="0"/>
          <w:numId w:val="3"/>
        </w:numPr>
        <w:spacing w:before="174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及时通知客户其请求的当前状况和最新进展；</w:t>
      </w:r>
    </w:p>
    <w:p w14:paraId="001531DE">
      <w:pPr>
        <w:spacing w:before="116" w:line="293" w:lineRule="auto"/>
        <w:ind w:left="867" w:right="40" w:hanging="4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根据服务级别协议，初步评估客户请求，尽力</w:t>
      </w:r>
      <w:r>
        <w:rPr>
          <w:rFonts w:ascii="宋体" w:hAnsi="宋体" w:eastAsia="宋体" w:cs="宋体"/>
          <w:spacing w:val="-1"/>
          <w:sz w:val="24"/>
          <w:szCs w:val="24"/>
        </w:rPr>
        <w:t>解决它们或将其安排给有</w:t>
      </w:r>
      <w:r>
        <w:rPr>
          <w:rFonts w:ascii="宋体" w:hAnsi="宋体" w:eastAsia="宋体" w:cs="宋体"/>
          <w:spacing w:val="-10"/>
          <w:sz w:val="24"/>
          <w:szCs w:val="24"/>
        </w:rPr>
        <w:t>关人员解决；</w:t>
      </w:r>
    </w:p>
    <w:p w14:paraId="794FBE99">
      <w:pPr>
        <w:numPr>
          <w:ilvl w:val="0"/>
          <w:numId w:val="3"/>
        </w:numPr>
        <w:spacing w:before="174" w:line="293" w:lineRule="auto"/>
        <w:ind w:left="425" w:leftChars="0" w:right="4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根据服务级别协议的要求，监督规章制度的执</w:t>
      </w:r>
      <w:r>
        <w:rPr>
          <w:rFonts w:ascii="宋体" w:hAnsi="宋体" w:eastAsia="宋体" w:cs="宋体"/>
          <w:spacing w:val="-1"/>
          <w:sz w:val="24"/>
          <w:szCs w:val="24"/>
        </w:rPr>
        <w:t>行情况并在必要时对其进</w:t>
      </w:r>
      <w:r>
        <w:rPr>
          <w:rFonts w:ascii="宋体" w:hAnsi="宋体" w:eastAsia="宋体" w:cs="宋体"/>
          <w:spacing w:val="-14"/>
          <w:sz w:val="24"/>
          <w:szCs w:val="24"/>
        </w:rPr>
        <w:t>行修改；</w:t>
      </w:r>
    </w:p>
    <w:p w14:paraId="499F1D56">
      <w:pPr>
        <w:numPr>
          <w:ilvl w:val="0"/>
          <w:numId w:val="3"/>
        </w:numPr>
        <w:spacing w:before="173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对客户请求从提出直至终止和验证的整个过程进行管理；</w:t>
      </w:r>
    </w:p>
    <w:p w14:paraId="06AE84E6">
      <w:pPr>
        <w:numPr>
          <w:ilvl w:val="0"/>
          <w:numId w:val="3"/>
        </w:numPr>
        <w:spacing w:before="182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在需要短期内调整服务级别时及时与客户沟通；</w:t>
      </w:r>
    </w:p>
    <w:p w14:paraId="40FC38A4">
      <w:pPr>
        <w:numPr>
          <w:ilvl w:val="0"/>
          <w:numId w:val="3"/>
        </w:numPr>
        <w:spacing w:before="182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提供管理方面的信息和建议以改进服务品质；</w:t>
      </w:r>
    </w:p>
    <w:p w14:paraId="720E146B">
      <w:pPr>
        <w:numPr>
          <w:ilvl w:val="0"/>
          <w:numId w:val="3"/>
        </w:numPr>
        <w:spacing w:before="181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根据用户的反馈发现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IT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服务运作中产生的问题；</w:t>
      </w:r>
    </w:p>
    <w:p w14:paraId="7DF46A82">
      <w:pPr>
        <w:numPr>
          <w:ilvl w:val="0"/>
          <w:numId w:val="3"/>
        </w:numPr>
        <w:spacing w:before="182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终止事故并与客户一道确认事故的解决情况；</w:t>
      </w:r>
    </w:p>
    <w:p w14:paraId="56A2698F">
      <w:pPr>
        <w:numPr>
          <w:ilvl w:val="0"/>
          <w:numId w:val="3"/>
        </w:numPr>
        <w:spacing w:before="181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需使用服务台标准用语与客户进行沟通；</w:t>
      </w:r>
    </w:p>
    <w:p w14:paraId="33667A2B">
      <w:pPr>
        <w:numPr>
          <w:ilvl w:val="0"/>
          <w:numId w:val="3"/>
        </w:numPr>
        <w:spacing w:before="182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不能与客户有过激的语言冲突。</w:t>
      </w:r>
    </w:p>
    <w:p w14:paraId="670B777D">
      <w:pPr>
        <w:pStyle w:val="12"/>
        <w:spacing w:line="354" w:lineRule="auto"/>
      </w:pPr>
    </w:p>
    <w:p w14:paraId="564711B0">
      <w:pPr>
        <w:pStyle w:val="28"/>
        <w:bidi w:val="0"/>
      </w:pPr>
      <w:bookmarkStart w:id="12" w:name="_Toc1386"/>
      <w:r>
        <w:t>服务台操作规程</w:t>
      </w:r>
      <w:bookmarkEnd w:id="12"/>
    </w:p>
    <w:p w14:paraId="6B4E2C96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受理及记录</w:t>
      </w:r>
    </w:p>
    <w:p w14:paraId="28BC6067">
      <w:pPr>
        <w:pStyle w:val="27"/>
        <w:bidi w:val="0"/>
      </w:pPr>
      <w:r>
        <w:t>事件通过用户打电话进来,或通过邮件，所有事件记录进《信息服务记录单》中，并在运维服务管理系统进行事件发起。</w:t>
      </w:r>
    </w:p>
    <w:p w14:paraId="5B8D66B1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判断并分派</w:t>
      </w:r>
    </w:p>
    <w:p w14:paraId="3CE685E7">
      <w:pPr>
        <w:pStyle w:val="27"/>
        <w:bidi w:val="0"/>
      </w:pPr>
      <w:r>
        <w:t>确定是事件（包括服务请求）还是申述。如果是服务请求，依照服</w:t>
      </w:r>
    </w:p>
    <w:p w14:paraId="6BD237D7">
      <w:pPr>
        <w:pStyle w:val="27"/>
        <w:bidi w:val="0"/>
      </w:pPr>
      <w:r>
        <w:t>务请求流程; 如果是申述,依照申述流程,如不是,进行事件的影响、收集信息等，尝试解决问题。</w:t>
      </w:r>
    </w:p>
    <w:p w14:paraId="368FDE66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判断是否已解决</w:t>
      </w:r>
    </w:p>
    <w:p w14:paraId="5BEE8F7F">
      <w:pPr>
        <w:pStyle w:val="27"/>
        <w:bidi w:val="0"/>
      </w:pPr>
      <w:r>
        <w:t>确定问题是否已解决,如解决,由服务台确认,如非,继续诊断。</w:t>
      </w:r>
    </w:p>
    <w:p w14:paraId="3BF0AA21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事件升级</w:t>
      </w:r>
    </w:p>
    <w:p w14:paraId="55FC9AC2">
      <w:pPr>
        <w:pStyle w:val="27"/>
        <w:bidi w:val="0"/>
      </w:pPr>
      <w:r>
        <w:t>如果某一事件不能在规定的时间内由服务台（一线支持）解决，那么更多有经验的人员和有更高权限的人员将参与进来，需注意的是需要沟通，了解事件计划多长时间解决，并将事件升级的状况及时反馈给客户评价。</w:t>
      </w:r>
    </w:p>
    <w:p w14:paraId="7ED70E73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调查和诊断</w:t>
      </w:r>
    </w:p>
    <w:p w14:paraId="1C0BF0BA">
      <w:pPr>
        <w:pStyle w:val="27"/>
        <w:bidi w:val="0"/>
      </w:pPr>
      <w:r>
        <w:t>技术支持人员利用自身技能和相关工具，力图在规定的时间内提出解决方案,尝试解决事件。</w:t>
      </w:r>
    </w:p>
    <w:p w14:paraId="1D39136E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服务台确认</w:t>
      </w:r>
    </w:p>
    <w:p w14:paraId="440B2818">
      <w:pPr>
        <w:pStyle w:val="27"/>
        <w:bidi w:val="0"/>
      </w:pPr>
      <w:r>
        <w:t>对事件的解决方案进行确认,如未解决,根据情况采取相应动作。</w:t>
      </w:r>
    </w:p>
    <w:p w14:paraId="57C62E76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结束</w:t>
      </w:r>
    </w:p>
    <w:p w14:paraId="0C1E47AD">
      <w:pPr>
        <w:pStyle w:val="27"/>
        <w:bidi w:val="0"/>
      </w:pPr>
      <w:r>
        <w:t>如果确认已解决，关闭记录，更新文档; 必要时进行回顾。</w:t>
      </w:r>
    </w:p>
    <w:p w14:paraId="3DEE8F8C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定期产生报表</w:t>
      </w:r>
    </w:p>
    <w:p w14:paraId="402874FD">
      <w:pPr>
        <w:pStyle w:val="27"/>
        <w:bidi w:val="0"/>
      </w:pPr>
      <w:r>
        <w:t>事件支持人员将根据管理要求定期产生相关报表。总结常见问题及解决办法和应对措施，分析用户行为习惯和知识技能实现对运维工作的决策支持和优化。</w:t>
      </w:r>
    </w:p>
    <w:p w14:paraId="10FD6A57">
      <w:pPr>
        <w:pStyle w:val="28"/>
        <w:bidi w:val="0"/>
      </w:pPr>
      <w:bookmarkStart w:id="13" w:name="_Toc15508"/>
      <w:r>
        <w:t>服务台绩效考核</w:t>
      </w:r>
      <w:bookmarkEnd w:id="13"/>
    </w:p>
    <w:tbl>
      <w:tblPr>
        <w:tblStyle w:val="24"/>
        <w:tblW w:w="8060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5"/>
        <w:gridCol w:w="3895"/>
        <w:gridCol w:w="1010"/>
        <w:gridCol w:w="1010"/>
      </w:tblGrid>
      <w:tr w14:paraId="1F1C4A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145" w:type="dxa"/>
            <w:vAlign w:val="top"/>
          </w:tcPr>
          <w:p w14:paraId="41A92511">
            <w:pPr>
              <w:pStyle w:val="25"/>
              <w:spacing w:before="73" w:line="291" w:lineRule="auto"/>
              <w:ind w:left="432" w:right="145" w:hanging="284"/>
              <w:rPr>
                <w:rFonts w:hint="default" w:eastAsia="宋体"/>
                <w:b/>
                <w:bCs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24"/>
                <w:szCs w:val="24"/>
                <w:lang w:val="en-US" w:eastAsia="zh-CN"/>
              </w:rPr>
              <w:t>考核指标</w:t>
            </w:r>
          </w:p>
        </w:tc>
        <w:tc>
          <w:tcPr>
            <w:tcW w:w="3895" w:type="dxa"/>
            <w:vAlign w:val="top"/>
          </w:tcPr>
          <w:p w14:paraId="7D4CBBD3">
            <w:pPr>
              <w:pStyle w:val="25"/>
              <w:spacing w:before="137" w:line="222" w:lineRule="auto"/>
              <w:ind w:left="1263"/>
              <w:rPr>
                <w:rFonts w:hint="eastAsia" w:eastAsia="宋体"/>
                <w:b/>
                <w:bCs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24"/>
                <w:szCs w:val="24"/>
                <w:lang w:val="en-US" w:eastAsia="zh-CN"/>
              </w:rPr>
              <w:t>描述</w:t>
            </w:r>
          </w:p>
        </w:tc>
        <w:tc>
          <w:tcPr>
            <w:tcW w:w="1010" w:type="dxa"/>
            <w:vAlign w:val="top"/>
          </w:tcPr>
          <w:p w14:paraId="46D1C677">
            <w:pPr>
              <w:pStyle w:val="25"/>
              <w:spacing w:before="235" w:line="220" w:lineRule="auto"/>
              <w:ind w:left="231" w:leftChars="0"/>
              <w:rPr>
                <w:rFonts w:hint="eastAsia" w:eastAsia="宋体"/>
                <w:b/>
                <w:bCs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24"/>
                <w:szCs w:val="24"/>
                <w:lang w:val="en-US" w:eastAsia="zh-CN"/>
              </w:rPr>
              <w:t>频次</w:t>
            </w:r>
          </w:p>
        </w:tc>
        <w:tc>
          <w:tcPr>
            <w:tcW w:w="1010" w:type="dxa"/>
            <w:vAlign w:val="top"/>
          </w:tcPr>
          <w:p w14:paraId="548676A8">
            <w:pPr>
              <w:pStyle w:val="25"/>
              <w:spacing w:before="235" w:line="220" w:lineRule="auto"/>
              <w:ind w:left="231" w:leftChars="0"/>
              <w:rPr>
                <w:rFonts w:hint="default"/>
                <w:b/>
                <w:bCs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18344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145" w:type="dxa"/>
            <w:vAlign w:val="top"/>
          </w:tcPr>
          <w:p w14:paraId="137AEF72">
            <w:pPr>
              <w:pStyle w:val="25"/>
              <w:spacing w:before="73" w:line="291" w:lineRule="auto"/>
              <w:ind w:left="432" w:right="145" w:hanging="28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服务台录入事件</w:t>
            </w:r>
            <w:r>
              <w:rPr>
                <w:spacing w:val="-5"/>
                <w:sz w:val="24"/>
                <w:szCs w:val="24"/>
              </w:rPr>
              <w:t>的完整性</w:t>
            </w:r>
          </w:p>
        </w:tc>
        <w:tc>
          <w:tcPr>
            <w:tcW w:w="3895" w:type="dxa"/>
            <w:vAlign w:val="top"/>
          </w:tcPr>
          <w:p w14:paraId="54300372">
            <w:pPr>
              <w:pStyle w:val="25"/>
              <w:spacing w:before="72" w:line="220" w:lineRule="auto"/>
              <w:ind w:left="10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【1-（不完整事件数/总事件数）】</w:t>
            </w:r>
          </w:p>
          <w:p w14:paraId="666097AA">
            <w:pPr>
              <w:pStyle w:val="25"/>
              <w:spacing w:before="137" w:line="222" w:lineRule="auto"/>
              <w:ind w:left="1263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*100%</w:t>
            </w:r>
          </w:p>
        </w:tc>
        <w:tc>
          <w:tcPr>
            <w:tcW w:w="1010" w:type="dxa"/>
            <w:vAlign w:val="top"/>
          </w:tcPr>
          <w:p w14:paraId="40B1C508">
            <w:pPr>
              <w:pStyle w:val="25"/>
              <w:spacing w:before="235" w:line="220" w:lineRule="auto"/>
              <w:ind w:left="231" w:leftChars="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按季度</w:t>
            </w:r>
          </w:p>
        </w:tc>
        <w:tc>
          <w:tcPr>
            <w:tcW w:w="1010" w:type="dxa"/>
            <w:vAlign w:val="top"/>
          </w:tcPr>
          <w:p w14:paraId="16F8CCCA">
            <w:pPr>
              <w:pStyle w:val="25"/>
              <w:spacing w:before="235" w:line="220" w:lineRule="auto"/>
              <w:ind w:left="231" w:leftChars="0"/>
              <w:rPr>
                <w:rFonts w:hint="default" w:eastAsia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≥95%</w:t>
            </w:r>
          </w:p>
        </w:tc>
      </w:tr>
    </w:tbl>
    <w:p w14:paraId="51F94682">
      <w:pPr>
        <w:spacing w:before="189" w:line="362" w:lineRule="auto"/>
        <w:ind w:left="668" w:right="237" w:firstLine="478"/>
        <w:rPr>
          <w:rFonts w:ascii="宋体" w:hAnsi="宋体" w:eastAsia="宋体" w:cs="宋体"/>
          <w:sz w:val="24"/>
          <w:szCs w:val="24"/>
        </w:rPr>
      </w:pPr>
    </w:p>
    <w:sectPr>
      <w:footerReference r:id="rId10" w:type="default"/>
      <w:pgSz w:w="11906" w:h="16839"/>
      <w:pgMar w:top="1431" w:right="1785" w:bottom="1373" w:left="1785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B2A9D">
    <w:pPr>
      <w:spacing w:line="167" w:lineRule="auto"/>
      <w:ind w:left="41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2C2DD">
    <w:pPr>
      <w:spacing w:line="166" w:lineRule="auto"/>
      <w:ind w:left="4226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4E210">
    <w:pPr>
      <w:spacing w:line="167" w:lineRule="auto"/>
      <w:ind w:left="4213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AE15B">
    <w:pPr>
      <w:spacing w:line="166" w:lineRule="auto"/>
      <w:ind w:left="4136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0153E">
    <w:pPr>
      <w:spacing w:line="167" w:lineRule="auto"/>
      <w:ind w:left="4131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1D814">
    <w:pPr>
      <w:spacing w:line="165" w:lineRule="auto"/>
      <w:ind w:left="4130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DB628"/>
    <w:multiLevelType w:val="singleLevel"/>
    <w:tmpl w:val="86ADB62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CC3E6955"/>
    <w:multiLevelType w:val="singleLevel"/>
    <w:tmpl w:val="CC3E69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8FA327B"/>
    <w:multiLevelType w:val="singleLevel"/>
    <w:tmpl w:val="08FA32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14A2DD9"/>
    <w:rsid w:val="07304D38"/>
    <w:rsid w:val="084F4173"/>
    <w:rsid w:val="0931752B"/>
    <w:rsid w:val="0A6F38B0"/>
    <w:rsid w:val="11606A5E"/>
    <w:rsid w:val="11F8062F"/>
    <w:rsid w:val="12FB03D7"/>
    <w:rsid w:val="138A52B7"/>
    <w:rsid w:val="15F37076"/>
    <w:rsid w:val="16E069C7"/>
    <w:rsid w:val="17DF2FC4"/>
    <w:rsid w:val="19A35324"/>
    <w:rsid w:val="1A1B4EBB"/>
    <w:rsid w:val="1DC85359"/>
    <w:rsid w:val="1FA53BA4"/>
    <w:rsid w:val="25AB3597"/>
    <w:rsid w:val="317B5184"/>
    <w:rsid w:val="318F03F6"/>
    <w:rsid w:val="33CE5217"/>
    <w:rsid w:val="34475C56"/>
    <w:rsid w:val="351F5DF1"/>
    <w:rsid w:val="35E87EEF"/>
    <w:rsid w:val="37AC10CE"/>
    <w:rsid w:val="38AF2F46"/>
    <w:rsid w:val="396657D1"/>
    <w:rsid w:val="397228F1"/>
    <w:rsid w:val="39AC16A8"/>
    <w:rsid w:val="3A5A2322"/>
    <w:rsid w:val="3B3D0CDD"/>
    <w:rsid w:val="3F566630"/>
    <w:rsid w:val="43EC504E"/>
    <w:rsid w:val="4C831EDD"/>
    <w:rsid w:val="4FA9473B"/>
    <w:rsid w:val="56010E2D"/>
    <w:rsid w:val="57521214"/>
    <w:rsid w:val="580C3AB9"/>
    <w:rsid w:val="5A722590"/>
    <w:rsid w:val="5B146289"/>
    <w:rsid w:val="5D6E48CE"/>
    <w:rsid w:val="611A0FF5"/>
    <w:rsid w:val="699A7177"/>
    <w:rsid w:val="69FD5E5D"/>
    <w:rsid w:val="6C1A634D"/>
    <w:rsid w:val="6D1B05CF"/>
    <w:rsid w:val="6F3025AD"/>
    <w:rsid w:val="72695111"/>
    <w:rsid w:val="7A7B0FFC"/>
    <w:rsid w:val="7B31720F"/>
    <w:rsid w:val="7C0861C2"/>
    <w:rsid w:val="7F9E2999"/>
    <w:rsid w:val="7FB334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33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26"/>
    <customShpInfo spid="_x0000_s1053"/>
    <customShpInfo spid="_x0000_s1054"/>
    <customShpInfo spid="_x0000_s1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1607</Words>
  <Characters>1782</Characters>
  <TotalTime>0</TotalTime>
  <ScaleCrop>false</ScaleCrop>
  <LinksUpToDate>false</LinksUpToDate>
  <CharactersWithSpaces>1891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2025-08-22T06:08:00Z</dcterms:created>
  <dc:creator>谢永刚</dc:creator>
  <cp:lastModifiedBy>郝宇</cp:lastModifiedBy>
  <dcterms:modified xsi:type="dcterms:W3CDTF">2026-01-04T02:12:16Z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2025-08-27T21:01:04Z</vt:filetime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2052-12.1.0.24034</vt:lpwstr>
  </property>
  <property fmtid="{D5CDD505-2E9C-101B-9397-08002B2CF9AE}" pid="6" name="ICV">
    <vt:lpwstr>5C536D3970A04B00B84560B8A089D230_12</vt:lpwstr>
  </property>
</Properties>
</file>