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DF25E8">
      <w:pPr>
        <w:pStyle w:val="33"/>
        <w:bidi w:val="0"/>
        <w:rPr>
          <w:rFonts w:hint="default"/>
          <w:lang w:val="en-US"/>
        </w:rPr>
      </w:pPr>
      <w:bookmarkStart w:id="0" w:name="_Toc10892"/>
      <w:r>
        <w:rPr>
          <w:rFonts w:hint="eastAsia"/>
          <w:lang w:val="en-US" w:eastAsia="zh-CN"/>
        </w:rPr>
        <w:t>最终软件库管理制度</w:t>
      </w:r>
      <w:bookmarkEnd w:id="0"/>
    </w:p>
    <w:p w14:paraId="7E0C26B6">
      <w:pPr>
        <w:pStyle w:val="34"/>
        <w:bidi w:val="0"/>
      </w:pPr>
      <w:bookmarkStart w:id="1" w:name="_Toc26848"/>
      <w:r>
        <w:t>甘肃国邦信息科技有限公司</w:t>
      </w:r>
      <w:bookmarkEnd w:id="1"/>
    </w:p>
    <w:p w14:paraId="6E486FC6">
      <w:pPr>
        <w:spacing w:before="275"/>
        <w:ind w:left="328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eastAsia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-01-04</w:t>
      </w:r>
    </w:p>
    <w:p w14:paraId="48DD150B">
      <w:pPr>
        <w:rPr>
          <w:rFonts w:ascii="宋体" w:hAnsi="宋体" w:eastAsia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6D1DAEDF">
      <w:pPr>
        <w:pStyle w:val="12"/>
        <w:spacing w:line="258" w:lineRule="auto"/>
      </w:pPr>
    </w:p>
    <w:p w14:paraId="0EF7016E">
      <w:pPr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bookmarkStart w:id="2" w:name="_Toc25649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2"/>
    </w:p>
    <w:p w14:paraId="3587858E">
      <w:pPr>
        <w:spacing w:line="16" w:lineRule="exact"/>
      </w:pPr>
    </w:p>
    <w:tbl>
      <w:tblPr>
        <w:tblStyle w:val="26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 w14:paraId="3DA2C2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025CBBDE">
            <w:pPr>
              <w:pStyle w:val="25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 w14:paraId="25D05E55">
            <w:pPr>
              <w:pStyle w:val="25"/>
              <w:spacing w:before="200" w:line="218" w:lineRule="auto"/>
              <w:ind w:left="108"/>
            </w:pPr>
            <w:r>
              <w:rPr>
                <w:rFonts w:hint="eastAsia"/>
                <w:spacing w:val="-1"/>
                <w:lang w:val="en-US" w:eastAsia="zh-CN"/>
              </w:rPr>
              <w:t>最终软件库管理制度</w:t>
            </w:r>
            <w:r>
              <w:rPr>
                <w:spacing w:val="-1"/>
              </w:rPr>
              <w:t>（GSGB-ITSS-</w:t>
            </w:r>
            <w:r>
              <w:rPr>
                <w:rFonts w:hint="eastAsia"/>
                <w:spacing w:val="-1"/>
                <w:lang w:val="en-US" w:eastAsia="zh-CN"/>
              </w:rPr>
              <w:t>ZZRJKGL</w:t>
            </w:r>
            <w:r>
              <w:rPr>
                <w:spacing w:val="-1"/>
              </w:rPr>
              <w:t>）</w:t>
            </w:r>
          </w:p>
        </w:tc>
      </w:tr>
      <w:tr w14:paraId="602D01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0E3C3B97">
            <w:pPr>
              <w:pStyle w:val="25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 w14:paraId="2D62DCEB">
            <w:pPr>
              <w:pStyle w:val="25"/>
              <w:spacing w:before="19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7DC8F4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67C671F5">
            <w:pPr>
              <w:pStyle w:val="25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4E4209D2">
            <w:pPr>
              <w:pStyle w:val="25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50194890">
            <w:pPr>
              <w:pStyle w:val="25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60B837C0">
            <w:pPr>
              <w:pStyle w:val="25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3F64801F">
            <w:pPr>
              <w:pStyle w:val="25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15ADE2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60540296">
            <w:pPr>
              <w:pStyle w:val="25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0F2B505F">
            <w:pPr>
              <w:pStyle w:val="25"/>
              <w:spacing w:before="163"/>
              <w:ind w:left="361"/>
            </w:pPr>
            <w:r>
              <w:rPr>
                <w:spacing w:val="-2"/>
              </w:rPr>
              <w:t>20</w:t>
            </w:r>
            <w:r>
              <w:rPr>
                <w:rFonts w:hint="eastAsia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-1-4</w:t>
            </w:r>
          </w:p>
        </w:tc>
        <w:tc>
          <w:tcPr>
            <w:tcW w:w="2302" w:type="dxa"/>
          </w:tcPr>
          <w:p w14:paraId="3C3E4DF8">
            <w:pPr>
              <w:pStyle w:val="25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1641DFC1">
            <w:pPr>
              <w:pStyle w:val="25"/>
              <w:spacing w:before="134" w:line="220" w:lineRule="auto"/>
              <w:ind w:left="480"/>
            </w:pPr>
            <w:r>
              <w:rPr>
                <w:spacing w:val="-5"/>
              </w:rPr>
              <w:t>宫海亭</w:t>
            </w:r>
          </w:p>
        </w:tc>
        <w:tc>
          <w:tcPr>
            <w:tcW w:w="1953" w:type="dxa"/>
          </w:tcPr>
          <w:p w14:paraId="7CF6E6D9">
            <w:pPr>
              <w:pStyle w:val="25"/>
              <w:spacing w:before="133" w:line="220" w:lineRule="auto"/>
              <w:ind w:left="672"/>
            </w:pPr>
            <w:r>
              <w:rPr>
                <w:spacing w:val="-3"/>
              </w:rPr>
              <w:t>黄益溪</w:t>
            </w:r>
          </w:p>
        </w:tc>
      </w:tr>
      <w:tr w14:paraId="18F905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F42DE9F">
            <w:pPr>
              <w:pStyle w:val="25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14:paraId="3D14AAD8">
            <w:pPr>
              <w:pStyle w:val="25"/>
              <w:spacing w:before="164"/>
              <w:ind w:left="361"/>
            </w:pPr>
          </w:p>
        </w:tc>
        <w:tc>
          <w:tcPr>
            <w:tcW w:w="2302" w:type="dxa"/>
          </w:tcPr>
          <w:p w14:paraId="76A4C579">
            <w:pPr>
              <w:pStyle w:val="25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 w14:paraId="4D8CA1BC">
            <w:pPr>
              <w:pStyle w:val="25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 w14:paraId="4D37A253">
            <w:pPr>
              <w:pStyle w:val="25"/>
              <w:spacing w:before="134" w:line="220" w:lineRule="auto"/>
              <w:ind w:left="672"/>
            </w:pPr>
          </w:p>
        </w:tc>
      </w:tr>
      <w:tr w14:paraId="5E42B2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21F96878">
            <w:pPr>
              <w:pStyle w:val="25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14:paraId="2C005E21">
            <w:pPr>
              <w:pStyle w:val="25"/>
              <w:spacing w:before="165"/>
              <w:ind w:left="361"/>
            </w:pPr>
          </w:p>
        </w:tc>
        <w:tc>
          <w:tcPr>
            <w:tcW w:w="2302" w:type="dxa"/>
          </w:tcPr>
          <w:p w14:paraId="0DE62B22">
            <w:pPr>
              <w:pStyle w:val="25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 w14:paraId="3766B8AB">
            <w:pPr>
              <w:pStyle w:val="25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 w14:paraId="230C5BD3">
            <w:pPr>
              <w:pStyle w:val="25"/>
              <w:spacing w:before="135" w:line="220" w:lineRule="auto"/>
              <w:ind w:left="672"/>
            </w:pPr>
          </w:p>
        </w:tc>
      </w:tr>
      <w:tr w14:paraId="272D5B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3A04CF33">
            <w:pPr>
              <w:pStyle w:val="25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14:paraId="57147352">
            <w:pPr>
              <w:pStyle w:val="25"/>
              <w:spacing w:before="166"/>
              <w:ind w:left="361"/>
            </w:pPr>
          </w:p>
        </w:tc>
        <w:tc>
          <w:tcPr>
            <w:tcW w:w="2302" w:type="dxa"/>
          </w:tcPr>
          <w:p w14:paraId="2E2E0C2B">
            <w:pPr>
              <w:pStyle w:val="25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 w14:paraId="1C70AE41">
            <w:pPr>
              <w:pStyle w:val="25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 w14:paraId="6E5FC649">
            <w:pPr>
              <w:pStyle w:val="25"/>
              <w:spacing w:before="136" w:line="220" w:lineRule="auto"/>
              <w:ind w:left="672"/>
            </w:pPr>
          </w:p>
        </w:tc>
      </w:tr>
      <w:tr w14:paraId="7DCF39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33FE4EE8"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10ACCEA8">
            <w:pPr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0AE6E798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4F64A9BC"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233DFADE">
            <w:pPr>
              <w:rPr>
                <w:rFonts w:ascii="Arial"/>
                <w:sz w:val="21"/>
              </w:rPr>
            </w:pPr>
          </w:p>
        </w:tc>
      </w:tr>
    </w:tbl>
    <w:p w14:paraId="4B445C95">
      <w:pPr>
        <w:pStyle w:val="12"/>
      </w:pPr>
    </w:p>
    <w:p w14:paraId="155EEF7D">
      <w:pPr>
        <w:sectPr>
          <w:pgSz w:w="11906" w:h="16839"/>
          <w:pgMar w:top="1431" w:right="1236" w:bottom="0" w:left="1588" w:header="0" w:footer="0" w:gutter="0"/>
          <w:cols w:space="720" w:num="1"/>
        </w:sectPr>
      </w:pPr>
    </w:p>
    <w:p w14:paraId="0DF901C3">
      <w:pP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9644"/>
        <w:docPartObj>
          <w:docPartGallery w:val="Table of Contents"/>
          <w:docPartUnique/>
        </w:docPartObj>
      </w:sdtPr>
      <w:sdtEndPr>
        <w:rPr>
          <w:rFonts w:hint="default"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 w14:paraId="36F9DBE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09C5BA4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TOC \o "1-2" \h \u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_Toc10892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最终软件库管理制度</w:t>
          </w:r>
          <w:r>
            <w:tab/>
          </w:r>
          <w:r>
            <w:fldChar w:fldCharType="begin"/>
          </w:r>
          <w:r>
            <w:instrText xml:space="preserve"> PAGEREF _Toc10892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FC2D24C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_Toc26848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_Toc26848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900A0AC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_Toc25649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_Toc25649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B4D6812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_Toc5192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_Toc5192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BB89CB1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_Toc3858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_Toc3858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0EEDCF9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_Toc27123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>3. 定义</w:t>
          </w:r>
          <w:r>
            <w:tab/>
          </w:r>
          <w:r>
            <w:fldChar w:fldCharType="begin"/>
          </w:r>
          <w:r>
            <w:instrText xml:space="preserve"> PAGEREF _Toc27123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92A3A15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_Toc29252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>4. 职责分工</w:t>
          </w:r>
          <w:r>
            <w:tab/>
          </w:r>
          <w:r>
            <w:fldChar w:fldCharType="begin"/>
          </w:r>
          <w:r>
            <w:instrText xml:space="preserve"> PAGEREF _Toc29252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03D555D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_Toc24167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4.1. </w:t>
          </w:r>
          <w:r>
            <w:rPr>
              <w:rFonts w:hint="eastAsia"/>
              <w:szCs w:val="24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_Toc24167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C472E3A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_Toc23273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szCs w:val="24"/>
            </w:rPr>
            <w:t>4.2. 采购部</w:t>
          </w:r>
          <w:r>
            <w:tab/>
          </w:r>
          <w:r>
            <w:fldChar w:fldCharType="begin"/>
          </w:r>
          <w:r>
            <w:instrText xml:space="preserve"> PAGEREF _Toc23273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BCBCAED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_Toc29196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 w:eastAsia="宋体"/>
              <w:szCs w:val="24"/>
              <w:lang w:val="en-US" w:eastAsia="zh-CN"/>
            </w:rPr>
            <w:t xml:space="preserve">4.3. </w:t>
          </w:r>
          <w:r>
            <w:rPr>
              <w:rFonts w:hint="default"/>
              <w:szCs w:val="24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_Toc29196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A946B1A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_Toc22617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>5. 管理要求</w:t>
          </w:r>
          <w:r>
            <w:tab/>
          </w:r>
          <w:r>
            <w:fldChar w:fldCharType="begin"/>
          </w:r>
          <w:r>
            <w:instrText xml:space="preserve"> PAGEREF _Toc22617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B726DD4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_Toc27969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szCs w:val="24"/>
            </w:rPr>
            <w:t>5.1. 软件获取与入库</w:t>
          </w:r>
          <w:r>
            <w:tab/>
          </w:r>
          <w:r>
            <w:fldChar w:fldCharType="begin"/>
          </w:r>
          <w:r>
            <w:instrText xml:space="preserve"> PAGEREF _Toc27969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A40A9BD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_Toc13903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szCs w:val="24"/>
            </w:rPr>
            <w:t>5.2. 软件分发与使用</w:t>
          </w:r>
          <w:r>
            <w:tab/>
          </w:r>
          <w:r>
            <w:fldChar w:fldCharType="begin"/>
          </w:r>
          <w:r>
            <w:instrText xml:space="preserve"> PAGEREF _Toc13903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536D84B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_Toc26181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szCs w:val="24"/>
            </w:rPr>
            <w:t>5.3. 软件更新与维护</w:t>
          </w:r>
          <w:r>
            <w:tab/>
          </w:r>
          <w:r>
            <w:fldChar w:fldCharType="begin"/>
          </w:r>
          <w:r>
            <w:instrText xml:space="preserve"> PAGEREF _Toc26181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E93F087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_Toc3511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>5.4. 软件更新、备份与维护</w:t>
          </w:r>
          <w:r>
            <w:tab/>
          </w:r>
          <w:r>
            <w:fldChar w:fldCharType="begin"/>
          </w:r>
          <w:r>
            <w:instrText xml:space="preserve"> PAGEREF _Toc3511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34D58B6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_Toc10065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szCs w:val="24"/>
            </w:rPr>
            <w:t>5.5. 软件报废与归档</w:t>
          </w:r>
          <w:r>
            <w:tab/>
          </w:r>
          <w:r>
            <w:fldChar w:fldCharType="begin"/>
          </w:r>
          <w:r>
            <w:instrText xml:space="preserve"> PAGEREF _Toc10065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185C99E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_Toc18656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szCs w:val="24"/>
            </w:rPr>
            <w:t>5.6. 监督与审计</w:t>
          </w:r>
          <w:r>
            <w:tab/>
          </w:r>
          <w:r>
            <w:fldChar w:fldCharType="begin"/>
          </w:r>
          <w:r>
            <w:instrText xml:space="preserve"> PAGEREF _Toc18656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197A98C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_Toc32403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_Toc32403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CAB60A2">
          <w:pPr>
            <w:bidi w:val="0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</w:sdtContent>
    </w:sdt>
    <w:p w14:paraId="00C76C2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br w:type="page"/>
      </w:r>
    </w:p>
    <w:p w14:paraId="7407FCC1">
      <w:pPr>
        <w:pStyle w:val="28"/>
        <w:bidi w:val="0"/>
        <w:rPr>
          <w:rFonts w:hint="default"/>
        </w:rPr>
      </w:pPr>
      <w:bookmarkStart w:id="3" w:name="_Toc5192"/>
      <w:r>
        <w:rPr>
          <w:rFonts w:hint="default"/>
        </w:rPr>
        <w:t>目的</w:t>
      </w:r>
      <w:bookmarkEnd w:id="3"/>
    </w:p>
    <w:p w14:paraId="5930563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为规范公司软件资产的全生命周期管理，确保软件使用的合法性、安全性和可追溯性，满足ITSS（信息技术服务标准）认证要求，提高软件资源利用率，降低法律和运营风险，特制定本制度。</w:t>
      </w:r>
    </w:p>
    <w:p w14:paraId="6B18B489">
      <w:pPr>
        <w:pStyle w:val="28"/>
        <w:bidi w:val="0"/>
        <w:rPr>
          <w:rFonts w:hint="default"/>
        </w:rPr>
      </w:pPr>
      <w:bookmarkStart w:id="4" w:name="_Toc3858"/>
      <w:r>
        <w:rPr>
          <w:rFonts w:hint="default"/>
        </w:rPr>
        <w:t>适用范围</w:t>
      </w:r>
      <w:bookmarkEnd w:id="4"/>
    </w:p>
    <w:p w14:paraId="4084DF87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本制度适用于公司所有软件资产的采购、入库、分发、使用、维护、更新及报废等全过程管理，包括但不限于：操作系统、办公软件、业务软件系统、开发工具、数据库及中间件、其他授权软件。</w:t>
      </w:r>
    </w:p>
    <w:p w14:paraId="0C0C2866">
      <w:pPr>
        <w:pStyle w:val="18"/>
        <w:keepNext w:val="0"/>
        <w:keepLines w:val="0"/>
        <w:widowControl/>
        <w:suppressLineNumbers w:val="0"/>
        <w:shd w:val="clear" w:color="auto"/>
        <w:spacing w:before="165" w:beforeAutospacing="0" w:after="165" w:afterAutospacing="0" w:line="343" w:lineRule="atLeast"/>
        <w:ind w:left="0" w:right="0" w:firstLine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适用对象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公司所有部门及员工，包括正式员工、外包人员及第三方合作方（如适用）。</w:t>
      </w:r>
    </w:p>
    <w:p w14:paraId="0EEB30C1">
      <w:pPr>
        <w:pStyle w:val="28"/>
        <w:bidi w:val="0"/>
        <w:rPr>
          <w:rFonts w:hint="default"/>
        </w:rPr>
      </w:pPr>
      <w:bookmarkStart w:id="5" w:name="_Toc27123"/>
      <w:r>
        <w:rPr>
          <w:rFonts w:hint="default"/>
        </w:rPr>
        <w:t>定义</w:t>
      </w:r>
      <w:bookmarkEnd w:id="5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1"/>
        <w:gridCol w:w="7045"/>
      </w:tblGrid>
      <w:tr w14:paraId="11FAC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7" w:hRule="atLeast"/>
          <w:tblHeader/>
        </w:trPr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036721BA">
            <w:pPr>
              <w:pStyle w:val="18"/>
              <w:keepNext w:val="0"/>
              <w:keepLines w:val="0"/>
              <w:widowControl/>
              <w:suppressLineNumbers w:val="0"/>
              <w:shd w:val="clear" w:color="auto" w:fill="FFFFFF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术语</w:t>
            </w:r>
          </w:p>
        </w:tc>
        <w:tc>
          <w:tcPr>
            <w:tcW w:w="7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A2EB2">
            <w:pPr>
              <w:pStyle w:val="18"/>
              <w:keepNext w:val="0"/>
              <w:keepLines w:val="0"/>
              <w:widowControl/>
              <w:suppressLineNumbers w:val="0"/>
              <w:shd w:val="clear" w:color="auto" w:fill="FFFFFF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定义</w:t>
            </w:r>
          </w:p>
        </w:tc>
      </w:tr>
      <w:tr w14:paraId="7B655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4ADDD993">
            <w:pPr>
              <w:pStyle w:val="18"/>
              <w:keepNext w:val="0"/>
              <w:keepLines w:val="0"/>
              <w:widowControl/>
              <w:suppressLineNumbers w:val="0"/>
              <w:shd w:val="clear" w:color="auto" w:fill="FFFFFF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软件资产</w:t>
            </w:r>
          </w:p>
        </w:tc>
        <w:tc>
          <w:tcPr>
            <w:tcW w:w="7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0DBC00">
            <w:pPr>
              <w:pStyle w:val="18"/>
              <w:keepNext w:val="0"/>
              <w:keepLines w:val="0"/>
              <w:widowControl/>
              <w:suppressLineNumbers w:val="0"/>
              <w:shd w:val="clear" w:color="auto" w:fill="FFFFFF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shd w:val="clear"/>
                <w:lang w:val="en-US" w:eastAsia="zh-CN" w:bidi="ar-SA"/>
              </w:rPr>
              <w:t>公</w:t>
            </w:r>
            <w:bookmarkStart w:id="18" w:name="_GoBack"/>
            <w:bookmarkEnd w:id="18"/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shd w:val="clear"/>
                <w:lang w:val="en-US" w:eastAsia="zh-CN" w:bidi="ar-SA"/>
              </w:rPr>
              <w:t>司拥有或使用的所有软件，包括商业软件、开源软件及自主研发软件</w:t>
            </w:r>
          </w:p>
        </w:tc>
      </w:tr>
      <w:tr w14:paraId="16ABA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052BE65C">
            <w:pPr>
              <w:pStyle w:val="18"/>
              <w:keepNext w:val="0"/>
              <w:keepLines w:val="0"/>
              <w:widowControl/>
              <w:suppressLineNumbers w:val="0"/>
              <w:shd w:val="clear" w:color="auto" w:fill="FFFFFF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授权软件</w:t>
            </w:r>
          </w:p>
        </w:tc>
        <w:tc>
          <w:tcPr>
            <w:tcW w:w="7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A7691">
            <w:pPr>
              <w:pStyle w:val="18"/>
              <w:keepNext w:val="0"/>
              <w:keepLines w:val="0"/>
              <w:widowControl/>
              <w:suppressLineNumbers w:val="0"/>
              <w:shd w:val="clear" w:color="auto" w:fill="FFFFFF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已获得合法授权（许可证、订阅等）的软件</w:t>
            </w:r>
          </w:p>
        </w:tc>
      </w:tr>
      <w:tr w14:paraId="45862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660B77E2">
            <w:pPr>
              <w:pStyle w:val="18"/>
              <w:keepNext w:val="0"/>
              <w:keepLines w:val="0"/>
              <w:widowControl/>
              <w:suppressLineNumbers w:val="0"/>
              <w:shd w:val="clear" w:color="auto" w:fill="FFFFFF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非授权软件</w:t>
            </w:r>
          </w:p>
        </w:tc>
        <w:tc>
          <w:tcPr>
            <w:tcW w:w="7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907F02">
            <w:pPr>
              <w:pStyle w:val="18"/>
              <w:keepNext w:val="0"/>
              <w:keepLines w:val="0"/>
              <w:widowControl/>
              <w:suppressLineNumbers w:val="0"/>
              <w:shd w:val="clear" w:color="auto" w:fill="FFFFFF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未获得合法授权或超出授权范围使用的软件</w:t>
            </w:r>
          </w:p>
        </w:tc>
      </w:tr>
      <w:tr w14:paraId="2BF18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360D94C2">
            <w:pPr>
              <w:pStyle w:val="18"/>
              <w:keepNext w:val="0"/>
              <w:keepLines w:val="0"/>
              <w:widowControl/>
              <w:suppressLineNumbers w:val="0"/>
              <w:shd w:val="clear" w:color="auto" w:fill="FFFFFF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软件库</w:t>
            </w:r>
          </w:p>
        </w:tc>
        <w:tc>
          <w:tcPr>
            <w:tcW w:w="7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DB2C0F">
            <w:pPr>
              <w:pStyle w:val="18"/>
              <w:keepNext w:val="0"/>
              <w:keepLines w:val="0"/>
              <w:widowControl/>
              <w:suppressLineNumbers w:val="0"/>
              <w:shd w:val="clear" w:color="auto" w:fill="FFFFFF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公司集中存储、管理软件的标准化存储库，包括物理介质和数字存储</w:t>
            </w:r>
          </w:p>
        </w:tc>
      </w:tr>
      <w:tr w14:paraId="502A5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4B140FCE">
            <w:pPr>
              <w:pStyle w:val="18"/>
              <w:keepNext w:val="0"/>
              <w:keepLines w:val="0"/>
              <w:widowControl/>
              <w:suppressLineNumbers w:val="0"/>
              <w:shd w:val="clear" w:color="auto" w:fill="FFFFFF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ITSS</w:t>
            </w:r>
          </w:p>
        </w:tc>
        <w:tc>
          <w:tcPr>
            <w:tcW w:w="7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4BA69C">
            <w:pPr>
              <w:pStyle w:val="18"/>
              <w:keepNext w:val="0"/>
              <w:keepLines w:val="0"/>
              <w:widowControl/>
              <w:suppressLineNumbers w:val="0"/>
              <w:shd w:val="clear" w:color="auto" w:fill="FFFFFF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信息技术服务标准（Information Technology Service Standards），中国IT服务行业标准</w:t>
            </w:r>
          </w:p>
        </w:tc>
      </w:tr>
    </w:tbl>
    <w:p w14:paraId="4F9AB554">
      <w:pPr>
        <w:pStyle w:val="28"/>
        <w:bidi w:val="0"/>
        <w:rPr>
          <w:rFonts w:hint="default"/>
        </w:rPr>
      </w:pPr>
      <w:bookmarkStart w:id="6" w:name="_Toc29252"/>
      <w:r>
        <w:rPr>
          <w:rFonts w:hint="default"/>
        </w:rPr>
        <w:t>职责分工</w:t>
      </w:r>
      <w:bookmarkEnd w:id="6"/>
    </w:p>
    <w:p w14:paraId="7098DAE1">
      <w:pPr>
        <w:pStyle w:val="3"/>
        <w:bidi w:val="0"/>
        <w:rPr>
          <w:rFonts w:hint="default"/>
          <w:sz w:val="24"/>
          <w:szCs w:val="24"/>
        </w:rPr>
      </w:pPr>
      <w:bookmarkStart w:id="7" w:name="_Toc24167"/>
      <w:r>
        <w:rPr>
          <w:rFonts w:hint="eastAsia"/>
          <w:sz w:val="24"/>
          <w:szCs w:val="24"/>
          <w:lang w:val="en-US" w:eastAsia="zh-CN"/>
        </w:rPr>
        <w:t>研发部</w:t>
      </w:r>
      <w:bookmarkEnd w:id="7"/>
    </w:p>
    <w:p w14:paraId="4677686D">
      <w:pPr>
        <w:pStyle w:val="18"/>
        <w:keepNext w:val="0"/>
        <w:keepLines w:val="0"/>
        <w:widowControl/>
        <w:suppressLineNumbers w:val="0"/>
        <w:shd w:val="clear" w:color="auto"/>
        <w:spacing w:before="165" w:beforeAutospacing="0" w:after="165" w:afterAutospacing="0" w:line="343" w:lineRule="atLeast"/>
        <w:ind w:left="0" w:right="0" w:firstLine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1.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负责软件库的建立、维护及安全管理</w:t>
      </w:r>
    </w:p>
    <w:p w14:paraId="6FB300E8">
      <w:pPr>
        <w:pStyle w:val="18"/>
        <w:keepNext w:val="0"/>
        <w:keepLines w:val="0"/>
        <w:widowControl/>
        <w:suppressLineNumbers w:val="0"/>
        <w:shd w:val="clear" w:color="auto"/>
        <w:spacing w:before="165" w:beforeAutospacing="0" w:after="165" w:afterAutospacing="0" w:line="343" w:lineRule="atLeast"/>
        <w:ind w:left="0" w:right="0" w:firstLine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2.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审核软件采购的技术可行性</w:t>
      </w:r>
    </w:p>
    <w:p w14:paraId="787E126D">
      <w:pPr>
        <w:pStyle w:val="18"/>
        <w:keepNext w:val="0"/>
        <w:keepLines w:val="0"/>
        <w:widowControl/>
        <w:suppressLineNumbers w:val="0"/>
        <w:shd w:val="clear" w:color="auto"/>
        <w:spacing w:before="165" w:beforeAutospacing="0" w:after="165" w:afterAutospacing="0" w:line="343" w:lineRule="atLeast"/>
        <w:ind w:left="0" w:right="0" w:firstLine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3.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管理软件授权、分发及版本控制</w:t>
      </w:r>
    </w:p>
    <w:p w14:paraId="4BCB3F65">
      <w:pPr>
        <w:pStyle w:val="18"/>
        <w:keepNext w:val="0"/>
        <w:keepLines w:val="0"/>
        <w:widowControl/>
        <w:suppressLineNumbers w:val="0"/>
        <w:shd w:val="clear" w:color="auto"/>
        <w:spacing w:before="165" w:beforeAutospacing="0" w:after="165" w:afterAutospacing="0" w:line="343" w:lineRule="atLeast"/>
        <w:ind w:left="0" w:right="0" w:firstLine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4.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定期进行软件合规性检查及漏洞修复</w:t>
      </w:r>
    </w:p>
    <w:p w14:paraId="5DAB3D14">
      <w:pPr>
        <w:pStyle w:val="18"/>
        <w:keepNext w:val="0"/>
        <w:keepLines w:val="0"/>
        <w:widowControl/>
        <w:suppressLineNumbers w:val="0"/>
        <w:shd w:val="clear" w:color="auto"/>
        <w:spacing w:before="165" w:beforeAutospacing="0" w:after="165" w:afterAutospacing="0" w:line="343" w:lineRule="atLeast"/>
        <w:ind w:left="0" w:right="0" w:firstLine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5.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提供软件使用培训及技术支持</w:t>
      </w:r>
    </w:p>
    <w:p w14:paraId="5A7C0395">
      <w:pPr>
        <w:pStyle w:val="3"/>
        <w:bidi w:val="0"/>
        <w:rPr>
          <w:rFonts w:hint="default"/>
          <w:sz w:val="24"/>
          <w:szCs w:val="24"/>
        </w:rPr>
      </w:pPr>
      <w:bookmarkStart w:id="8" w:name="_Toc23273"/>
      <w:r>
        <w:rPr>
          <w:rFonts w:hint="default"/>
          <w:sz w:val="24"/>
          <w:szCs w:val="24"/>
        </w:rPr>
        <w:t>采购部</w:t>
      </w:r>
      <w:bookmarkEnd w:id="8"/>
    </w:p>
    <w:p w14:paraId="1900EBCC">
      <w:pPr>
        <w:pStyle w:val="18"/>
        <w:keepNext w:val="0"/>
        <w:keepLines w:val="0"/>
        <w:widowControl/>
        <w:suppressLineNumbers w:val="0"/>
        <w:shd w:val="clear" w:color="auto"/>
        <w:spacing w:before="165" w:beforeAutospacing="0" w:after="165" w:afterAutospacing="0" w:line="343" w:lineRule="atLeast"/>
        <w:ind w:left="0" w:right="0" w:firstLine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1.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执行软件采购流程，确保采购渠道合法</w:t>
      </w:r>
    </w:p>
    <w:p w14:paraId="740A6B0D">
      <w:pPr>
        <w:pStyle w:val="18"/>
        <w:keepNext w:val="0"/>
        <w:keepLines w:val="0"/>
        <w:widowControl/>
        <w:suppressLineNumbers w:val="0"/>
        <w:shd w:val="clear" w:color="auto"/>
        <w:spacing w:before="165" w:beforeAutospacing="0" w:after="165" w:afterAutospacing="0" w:line="343" w:lineRule="atLeast"/>
        <w:ind w:left="0" w:right="0" w:firstLine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2.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保存采购合同及授权文件</w:t>
      </w:r>
    </w:p>
    <w:p w14:paraId="4EFCE653">
      <w:pPr>
        <w:pStyle w:val="3"/>
        <w:bidi w:val="0"/>
        <w:rPr>
          <w:rFonts w:hint="eastAsia" w:eastAsia="宋体"/>
          <w:sz w:val="24"/>
          <w:szCs w:val="24"/>
          <w:lang w:val="en-US" w:eastAsia="zh-CN"/>
        </w:rPr>
      </w:pPr>
      <w:bookmarkStart w:id="9" w:name="_Toc29196"/>
      <w:r>
        <w:rPr>
          <w:rFonts w:hint="default"/>
          <w:sz w:val="24"/>
          <w:szCs w:val="24"/>
        </w:rPr>
        <w:t>质量部</w:t>
      </w:r>
      <w:bookmarkEnd w:id="9"/>
    </w:p>
    <w:p w14:paraId="71F96DEF">
      <w:pPr>
        <w:pStyle w:val="18"/>
        <w:keepNext w:val="0"/>
        <w:keepLines w:val="0"/>
        <w:widowControl/>
        <w:suppressLineNumbers w:val="0"/>
        <w:shd w:val="clear" w:color="auto"/>
        <w:spacing w:before="165" w:beforeAutospacing="0" w:after="165" w:afterAutospacing="0" w:line="343" w:lineRule="atLeast"/>
        <w:ind w:left="0" w:right="0" w:firstLine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1.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监督软件管理是否符合ITSS标准</w:t>
      </w:r>
    </w:p>
    <w:p w14:paraId="2BAA4CC3">
      <w:pPr>
        <w:pStyle w:val="18"/>
        <w:keepNext w:val="0"/>
        <w:keepLines w:val="0"/>
        <w:widowControl/>
        <w:suppressLineNumbers w:val="0"/>
        <w:shd w:val="clear" w:color="auto"/>
        <w:spacing w:before="165" w:beforeAutospacing="0" w:after="165" w:afterAutospacing="0" w:line="343" w:lineRule="atLeast"/>
        <w:ind w:left="0" w:right="0" w:firstLine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2.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组织内部审计及改进</w:t>
      </w:r>
    </w:p>
    <w:p w14:paraId="70519CC1">
      <w:pPr>
        <w:pStyle w:val="28"/>
        <w:bidi w:val="0"/>
        <w:rPr>
          <w:rFonts w:hint="default"/>
        </w:rPr>
      </w:pPr>
      <w:bookmarkStart w:id="10" w:name="_Toc22617"/>
      <w:r>
        <w:rPr>
          <w:rFonts w:hint="default"/>
        </w:rPr>
        <w:t>管理要求</w:t>
      </w:r>
      <w:bookmarkEnd w:id="10"/>
    </w:p>
    <w:p w14:paraId="64BF91D2">
      <w:pPr>
        <w:pStyle w:val="3"/>
        <w:bidi w:val="0"/>
        <w:rPr>
          <w:rFonts w:hint="default"/>
          <w:sz w:val="24"/>
          <w:szCs w:val="24"/>
        </w:rPr>
      </w:pPr>
      <w:bookmarkStart w:id="11" w:name="_Toc27969"/>
      <w:r>
        <w:rPr>
          <w:rFonts w:hint="default"/>
          <w:sz w:val="24"/>
          <w:szCs w:val="24"/>
        </w:rPr>
        <w:t>软件获取与入库</w:t>
      </w:r>
      <w:bookmarkEnd w:id="11"/>
    </w:p>
    <w:p w14:paraId="030F05A1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采购审批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：所有软件采购需填写《软件采购申请表》，经IT、法务、财务审核后执行。</w:t>
      </w:r>
    </w:p>
    <w:p w14:paraId="35D785D7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入库登记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：软件入库时需记录名称、版本、供应商、授权数量、有效期等信息，并存储安装介质及授权文件。</w:t>
      </w:r>
    </w:p>
    <w:p w14:paraId="50EE3A24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安全检测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：所有软件需进行病毒扫描及安全评估后方可入库。</w:t>
      </w:r>
    </w:p>
    <w:p w14:paraId="43F5058F">
      <w:pPr>
        <w:pStyle w:val="3"/>
        <w:bidi w:val="0"/>
        <w:rPr>
          <w:rFonts w:hint="default"/>
          <w:sz w:val="24"/>
          <w:szCs w:val="24"/>
        </w:rPr>
      </w:pPr>
      <w:bookmarkStart w:id="12" w:name="_Toc13903"/>
      <w:r>
        <w:rPr>
          <w:rFonts w:hint="default"/>
          <w:sz w:val="24"/>
          <w:szCs w:val="24"/>
        </w:rPr>
        <w:t>软件分发与使用</w:t>
      </w:r>
      <w:bookmarkEnd w:id="12"/>
    </w:p>
    <w:p w14:paraId="4DA53F4C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统一分发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：仅IT部门有权分发软件，禁止员工私自安装。</w:t>
      </w:r>
    </w:p>
    <w:p w14:paraId="4FC52F25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授权管理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：确保分发数量不超过授权范围，并记录分发对象及时间。</w:t>
      </w:r>
    </w:p>
    <w:p w14:paraId="43E25365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使用规范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：禁止使用盗版软件、破解软件或超出授权范围使用。</w:t>
      </w:r>
    </w:p>
    <w:p w14:paraId="08D58F41">
      <w:pPr>
        <w:pStyle w:val="3"/>
        <w:bidi w:val="0"/>
        <w:rPr>
          <w:rFonts w:hint="default"/>
          <w:sz w:val="24"/>
          <w:szCs w:val="24"/>
        </w:rPr>
      </w:pPr>
      <w:bookmarkStart w:id="13" w:name="_Toc26181"/>
      <w:r>
        <w:rPr>
          <w:rFonts w:hint="default"/>
          <w:sz w:val="24"/>
          <w:szCs w:val="24"/>
        </w:rPr>
        <w:t>软件更新与维护</w:t>
      </w:r>
      <w:bookmarkEnd w:id="13"/>
    </w:p>
    <w:p w14:paraId="674EEBE4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版本控制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：IT部门负责管理软件版本，确保使用稳定版本。</w:t>
      </w:r>
    </w:p>
    <w:p w14:paraId="5B0A385B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补丁管理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：安全补丁应在72小时内部署，功能性更新需测试后实施。</w:t>
      </w:r>
    </w:p>
    <w:p w14:paraId="4FC7A011">
      <w:pPr>
        <w:pStyle w:val="30"/>
        <w:bidi w:val="0"/>
        <w:rPr>
          <w:rFonts w:hint="default"/>
        </w:rPr>
      </w:pPr>
      <w:bookmarkStart w:id="14" w:name="_Toc3511"/>
      <w:r>
        <w:rPr>
          <w:rFonts w:hint="default"/>
        </w:rPr>
        <w:t>软件更新、备份与维护</w:t>
      </w:r>
      <w:bookmarkEnd w:id="14"/>
    </w:p>
    <w:p w14:paraId="0E2FFE52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版本控制</w:t>
      </w:r>
    </w:p>
    <w:p w14:paraId="3439DFC5">
      <w:pPr>
        <w:pStyle w:val="29"/>
        <w:bidi w:val="0"/>
        <w:rPr>
          <w:rFonts w:hint="default"/>
        </w:rPr>
      </w:pPr>
      <w:r>
        <w:rPr>
          <w:rFonts w:hint="default"/>
        </w:rPr>
        <w:t>最终软件库中每个软件项必须有明确的版本标识。只有通过测试和审批的稳定版本才能被置为“发布”状态。旧版本应保留以供追溯。</w:t>
      </w:r>
    </w:p>
    <w:p w14:paraId="4F6538BE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补丁管理</w:t>
      </w:r>
    </w:p>
    <w:p w14:paraId="487E5E70">
      <w:pPr>
        <w:pStyle w:val="29"/>
        <w:bidi w:val="0"/>
        <w:rPr>
          <w:rFonts w:hint="default"/>
        </w:rPr>
      </w:pPr>
      <w:r>
        <w:rPr>
          <w:rFonts w:hint="default"/>
        </w:rPr>
        <w:t>针对库内软件的安全补丁，研发部应在厂商发布后的72小时内评估并部署至测试环境，经测试无误后，尽快更新至最终软件库中的相应版本。</w:t>
      </w:r>
    </w:p>
    <w:p w14:paraId="196F8D5D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定期备份</w:t>
      </w:r>
    </w:p>
    <w:p w14:paraId="2125CDEE">
      <w:pPr>
        <w:pStyle w:val="29"/>
        <w:bidi w:val="0"/>
        <w:rPr>
          <w:rFonts w:hint="default"/>
        </w:rPr>
      </w:pPr>
      <w:r>
        <w:rPr>
          <w:rFonts w:hint="default"/>
        </w:rPr>
        <w:t>研发部须对最终软件库及其所有元数据、授权文件进行定期备份。</w:t>
      </w:r>
    </w:p>
    <w:p w14:paraId="6CB316FE">
      <w:pPr>
        <w:pStyle w:val="29"/>
        <w:bidi w:val="0"/>
        <w:rPr>
          <w:rFonts w:hint="default"/>
        </w:rPr>
      </w:pPr>
      <w:r>
        <w:rPr>
          <w:rFonts w:hint="default"/>
        </w:rPr>
        <w:t>备份周期不得长于每周一次完整备份，每日一次增量备份。</w:t>
      </w:r>
    </w:p>
    <w:p w14:paraId="2F33103E">
      <w:pPr>
        <w:pStyle w:val="29"/>
        <w:bidi w:val="0"/>
        <w:rPr>
          <w:rFonts w:hint="default"/>
        </w:rPr>
      </w:pPr>
      <w:r>
        <w:rPr>
          <w:rFonts w:hint="default"/>
        </w:rPr>
        <w:t>备份介质必须进行加密，并在物理上与主库异地存放。</w:t>
      </w:r>
    </w:p>
    <w:p w14:paraId="751EB4CD">
      <w:pPr>
        <w:pStyle w:val="29"/>
        <w:bidi w:val="0"/>
        <w:rPr>
          <w:rFonts w:hint="default"/>
        </w:rPr>
      </w:pPr>
      <w:r>
        <w:rPr>
          <w:rFonts w:hint="default"/>
        </w:rPr>
        <w:t>必须每年至少执行一次备份恢复演练，验证备份数据的有效性和恢复流程的可行性，并记录演练报告。</w:t>
      </w:r>
    </w:p>
    <w:p w14:paraId="672DEBE7">
      <w:pPr>
        <w:pStyle w:val="3"/>
        <w:bidi w:val="0"/>
        <w:rPr>
          <w:rFonts w:hint="default"/>
          <w:sz w:val="24"/>
          <w:szCs w:val="24"/>
        </w:rPr>
      </w:pPr>
      <w:bookmarkStart w:id="15" w:name="_Toc10065"/>
      <w:r>
        <w:rPr>
          <w:rFonts w:hint="default"/>
          <w:sz w:val="24"/>
          <w:szCs w:val="24"/>
        </w:rPr>
        <w:t>软件报废与归档</w:t>
      </w:r>
      <w:bookmarkEnd w:id="15"/>
    </w:p>
    <w:p w14:paraId="569FFA67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报废条件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：授权到期、被替代或存在安全风险时，软件应报废。</w:t>
      </w:r>
    </w:p>
    <w:p w14:paraId="50B0DFB8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归档要求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：保留最后一个可用版本及授权文件，标记为“已归档”状态。</w:t>
      </w:r>
    </w:p>
    <w:p w14:paraId="2D859DCF">
      <w:pPr>
        <w:pStyle w:val="3"/>
        <w:bidi w:val="0"/>
        <w:rPr>
          <w:rFonts w:hint="default"/>
          <w:sz w:val="24"/>
          <w:szCs w:val="24"/>
        </w:rPr>
      </w:pPr>
      <w:bookmarkStart w:id="16" w:name="_Toc18656"/>
      <w:r>
        <w:rPr>
          <w:rFonts w:hint="default"/>
          <w:sz w:val="24"/>
          <w:szCs w:val="24"/>
        </w:rPr>
        <w:t>监督与审计</w:t>
      </w:r>
      <w:bookmarkEnd w:id="16"/>
    </w:p>
    <w:p w14:paraId="1201738F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定期审计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：每季度检查软件使用情况，每年进行全公司软件资产盘点。</w:t>
      </w:r>
    </w:p>
    <w:p w14:paraId="6AAEE60C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违规处理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</w:t>
      </w:r>
    </w:p>
    <w:p w14:paraId="71455621">
      <w:pPr>
        <w:pStyle w:val="1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初次违规：警告并限期整改</w:t>
      </w:r>
    </w:p>
    <w:p w14:paraId="46E94678">
      <w:pPr>
        <w:pStyle w:val="1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二次违规：限制软件使用权</w:t>
      </w:r>
    </w:p>
    <w:p w14:paraId="423C9096">
      <w:pPr>
        <w:pStyle w:val="1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严重违规（如恶意破解）：纪律处分或法律追责</w:t>
      </w:r>
    </w:p>
    <w:p w14:paraId="7587ABE8">
      <w:pPr>
        <w:pStyle w:val="28"/>
        <w:bidi w:val="0"/>
        <w:rPr>
          <w:rFonts w:hint="eastAsia"/>
          <w:lang w:val="en-US" w:eastAsia="zh-CN"/>
        </w:rPr>
      </w:pPr>
      <w:bookmarkStart w:id="17" w:name="_Toc32403"/>
      <w:r>
        <w:rPr>
          <w:rFonts w:hint="eastAsia"/>
          <w:lang w:val="en-US" w:eastAsia="zh-CN"/>
        </w:rPr>
        <w:t>考核指标</w:t>
      </w:r>
      <w:bookmarkEnd w:id="17"/>
    </w:p>
    <w:tbl>
      <w:tblPr>
        <w:tblStyle w:val="26"/>
        <w:tblW w:w="7725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758"/>
        <w:gridCol w:w="1260"/>
        <w:gridCol w:w="1150"/>
      </w:tblGrid>
      <w:tr w14:paraId="7831DC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1557" w:type="dxa"/>
            <w:shd w:val="clear" w:color="auto" w:fill="auto"/>
            <w:vAlign w:val="center"/>
          </w:tcPr>
          <w:p w14:paraId="51A5DAFA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考核指标</w:t>
            </w:r>
          </w:p>
        </w:tc>
        <w:tc>
          <w:tcPr>
            <w:tcW w:w="3758" w:type="dxa"/>
            <w:shd w:val="clear" w:color="auto" w:fill="auto"/>
            <w:vAlign w:val="center"/>
          </w:tcPr>
          <w:p w14:paraId="627267DE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计算方式</w:t>
            </w:r>
          </w:p>
        </w:tc>
        <w:tc>
          <w:tcPr>
            <w:tcW w:w="1260" w:type="dxa"/>
          </w:tcPr>
          <w:p w14:paraId="6468B2F6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频次</w:t>
            </w:r>
          </w:p>
        </w:tc>
        <w:tc>
          <w:tcPr>
            <w:tcW w:w="1150" w:type="dxa"/>
          </w:tcPr>
          <w:p w14:paraId="046BFA73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目标值</w:t>
            </w:r>
          </w:p>
        </w:tc>
      </w:tr>
      <w:tr w14:paraId="7C6501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1557" w:type="dxa"/>
            <w:shd w:val="clear" w:color="auto" w:fill="auto"/>
            <w:vAlign w:val="center"/>
          </w:tcPr>
          <w:p w14:paraId="17D95289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版本正确率</w:t>
            </w:r>
          </w:p>
        </w:tc>
        <w:tc>
          <w:tcPr>
            <w:tcW w:w="3758" w:type="dxa"/>
            <w:shd w:val="clear" w:color="auto" w:fill="auto"/>
            <w:vAlign w:val="center"/>
          </w:tcPr>
          <w:p w14:paraId="466519D5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版本正确软件数/软件总数*100%</w:t>
            </w:r>
          </w:p>
        </w:tc>
        <w:tc>
          <w:tcPr>
            <w:tcW w:w="1260" w:type="dxa"/>
          </w:tcPr>
          <w:p w14:paraId="7C7C4F27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</w:rPr>
              <w:t>按季度</w:t>
            </w:r>
          </w:p>
        </w:tc>
        <w:tc>
          <w:tcPr>
            <w:tcW w:w="1150" w:type="dxa"/>
          </w:tcPr>
          <w:p w14:paraId="2907E91D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≥95%</w:t>
            </w:r>
          </w:p>
        </w:tc>
      </w:tr>
    </w:tbl>
    <w:p w14:paraId="0ED48566">
      <w:pPr>
        <w:numPr>
          <w:ilvl w:val="0"/>
          <w:numId w:val="0"/>
        </w:numPr>
        <w:rPr>
          <w:rFonts w:hint="default"/>
          <w:lang w:val="en-US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F4952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31483B14"/>
    <w:multiLevelType w:val="singleLevel"/>
    <w:tmpl w:val="31483B1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97B03FB"/>
    <w:multiLevelType w:val="singleLevel"/>
    <w:tmpl w:val="597B03F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3983E78"/>
    <w:rsid w:val="16B70AB9"/>
    <w:rsid w:val="19D11E91"/>
    <w:rsid w:val="1A0B2F35"/>
    <w:rsid w:val="1C47643B"/>
    <w:rsid w:val="26211AAB"/>
    <w:rsid w:val="26985C22"/>
    <w:rsid w:val="353A4937"/>
    <w:rsid w:val="380F3E59"/>
    <w:rsid w:val="41D122CA"/>
    <w:rsid w:val="4EDF2857"/>
    <w:rsid w:val="5A6951F3"/>
    <w:rsid w:val="5C8E2CEF"/>
    <w:rsid w:val="5D37095F"/>
    <w:rsid w:val="66524D8D"/>
    <w:rsid w:val="66E83943"/>
    <w:rsid w:val="6D413DAD"/>
    <w:rsid w:val="6DCB0054"/>
    <w:rsid w:val="6F463C61"/>
    <w:rsid w:val="725F0F5E"/>
    <w:rsid w:val="7F543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styleId="24">
    <w:name w:val="No Spacing"/>
    <w:qFormat/>
    <w:uiPriority w:val="99"/>
    <w:pPr>
      <w:adjustRightInd w:val="0"/>
      <w:snapToGrid w:val="0"/>
    </w:pPr>
    <w:rPr>
      <w:rFonts w:ascii="Times New Roman" w:hAnsi="Times New Roman" w:eastAsia="宋体" w:cs="Times New Roman"/>
      <w:sz w:val="24"/>
      <w:szCs w:val="22"/>
      <w:lang w:val="en-US" w:eastAsia="zh-CN" w:bidi="ar-SA"/>
    </w:r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Paragraph"/>
    <w:basedOn w:val="1"/>
    <w:qFormat/>
    <w:uiPriority w:val="1"/>
    <w:pPr>
      <w:widowControl w:val="0"/>
      <w:autoSpaceDE w:val="0"/>
      <w:autoSpaceDN w:val="0"/>
    </w:pPr>
    <w:rPr>
      <w:rFonts w:ascii="宋体" w:hAnsi="宋体" w:cs="宋体"/>
      <w:sz w:val="22"/>
      <w:szCs w:val="22"/>
      <w:lang w:val="zh-CN" w:bidi="zh-CN"/>
    </w:rPr>
  </w:style>
  <w:style w:type="paragraph" w:customStyle="1" w:styleId="28">
    <w:name w:val="柴_标题1"/>
    <w:basedOn w:val="2"/>
    <w:next w:val="29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4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1435</Words>
  <Characters>1555</Characters>
  <Lines>0</Lines>
  <Paragraphs>0</Paragraphs>
  <TotalTime>0</TotalTime>
  <ScaleCrop>false</ScaleCrop>
  <LinksUpToDate>false</LinksUpToDate>
  <CharactersWithSpaces>1620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2025-08-03T07:55:00Z</dcterms:created>
  <dc:creator>18442</dc:creator>
  <cp:lastModifiedBy>郝宇</cp:lastModifiedBy>
  <dcterms:modified xsi:type="dcterms:W3CDTF">2026-01-04T02:14:38Z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8178A8AF70684A7D9FAAE4F331428A1A_12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