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1117E">
      <w:pPr>
        <w:pStyle w:val="31"/>
        <w:bidi w:val="0"/>
      </w:pPr>
      <w:bookmarkStart w:id="0" w:name="_Toc13527"/>
      <w:r>
        <w:t>备品备件应用提升情况总结说明</w:t>
      </w:r>
      <w:bookmarkEnd w:id="0"/>
    </w:p>
    <w:p w14:paraId="39F9CEA3">
      <w:pPr>
        <w:pStyle w:val="12"/>
        <w:spacing w:line="247" w:lineRule="auto"/>
      </w:pPr>
    </w:p>
    <w:p w14:paraId="3E828151">
      <w:pPr>
        <w:pStyle w:val="32"/>
        <w:bidi w:val="0"/>
      </w:pPr>
      <w:bookmarkStart w:id="1" w:name="_Toc6871"/>
      <w:r>
        <w:t>甘肃国邦信息科技有限公司</w:t>
      </w:r>
      <w:bookmarkEnd w:id="1"/>
    </w:p>
    <w:p w14:paraId="49CB166C">
      <w:pPr>
        <w:spacing w:before="224" w:line="220" w:lineRule="auto"/>
        <w:ind w:left="279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0"/>
          <w:sz w:val="36"/>
          <w:szCs w:val="36"/>
        </w:rPr>
        <w:t>2025年</w:t>
      </w:r>
      <w:r>
        <w:rPr>
          <w:rFonts w:hint="eastAsia" w:ascii="宋体" w:hAnsi="宋体" w:eastAsia="宋体" w:cs="宋体"/>
          <w:spacing w:val="-10"/>
          <w:sz w:val="36"/>
          <w:szCs w:val="36"/>
          <w:lang w:val="en-US" w:eastAsia="zh-CN"/>
        </w:rPr>
        <w:t>10</w:t>
      </w:r>
      <w:r>
        <w:rPr>
          <w:rFonts w:ascii="宋体" w:hAnsi="宋体" w:eastAsia="宋体" w:cs="宋体"/>
          <w:spacing w:val="-10"/>
          <w:sz w:val="36"/>
          <w:szCs w:val="36"/>
        </w:rPr>
        <w:t>月20日</w:t>
      </w:r>
    </w:p>
    <w:p w14:paraId="43670008">
      <w:pPr>
        <w:spacing w:line="220" w:lineRule="auto"/>
        <w:rPr>
          <w:rFonts w:ascii="宋体" w:hAnsi="宋体" w:eastAsia="宋体" w:cs="宋体"/>
          <w:sz w:val="36"/>
          <w:szCs w:val="36"/>
        </w:rPr>
        <w:sectPr>
          <w:headerReference r:id="rId5" w:type="default"/>
          <w:footerReference r:id="rId6" w:type="default"/>
          <w:pgSz w:w="11906" w:h="16839"/>
          <w:pgMar w:top="1431" w:right="1785" w:bottom="0" w:left="1785" w:header="0" w:footer="0" w:gutter="0"/>
          <w:cols w:space="720" w:num="1"/>
        </w:sectPr>
      </w:pPr>
    </w:p>
    <w:p w14:paraId="39D684E6">
      <w:pPr>
        <w:spacing w:before="91" w:line="220" w:lineRule="auto"/>
        <w:ind w:left="4355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9324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24C50207">
      <w:pPr>
        <w:spacing w:line="117" w:lineRule="exact"/>
      </w:pPr>
    </w:p>
    <w:tbl>
      <w:tblPr>
        <w:tblStyle w:val="24"/>
        <w:tblW w:w="8646" w:type="dxa"/>
        <w:tblInd w:w="5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8"/>
        <w:gridCol w:w="2123"/>
        <w:gridCol w:w="1699"/>
        <w:gridCol w:w="1562"/>
      </w:tblGrid>
      <w:tr w14:paraId="2BD2B7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7BAE630E">
            <w:pPr>
              <w:pStyle w:val="25"/>
              <w:spacing w:before="13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42" w:type="dxa"/>
            <w:gridSpan w:val="4"/>
          </w:tcPr>
          <w:p w14:paraId="5D7A8C9D">
            <w:pPr>
              <w:pStyle w:val="25"/>
              <w:spacing w:before="139" w:line="220" w:lineRule="auto"/>
              <w:ind w:left="110"/>
            </w:pPr>
            <w:r>
              <w:rPr>
                <w:spacing w:val="-1"/>
              </w:rPr>
              <w:t>备品备件应用提升情况总结说明</w:t>
            </w:r>
          </w:p>
        </w:tc>
      </w:tr>
      <w:tr w14:paraId="1C1387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7F5C0D36">
            <w:pPr>
              <w:pStyle w:val="25"/>
              <w:spacing w:before="13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942" w:type="dxa"/>
            <w:gridSpan w:val="4"/>
          </w:tcPr>
          <w:p w14:paraId="5821A5BF">
            <w:pPr>
              <w:pStyle w:val="25"/>
              <w:spacing w:before="13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6268D5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3D239DEC">
            <w:pPr>
              <w:pStyle w:val="25"/>
              <w:spacing w:before="13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8" w:type="dxa"/>
          </w:tcPr>
          <w:p w14:paraId="5E36A3F9">
            <w:pPr>
              <w:pStyle w:val="25"/>
              <w:spacing w:before="139" w:line="219" w:lineRule="auto"/>
              <w:ind w:left="361"/>
            </w:pPr>
            <w:r>
              <w:rPr>
                <w:spacing w:val="-2"/>
              </w:rPr>
              <w:t>版本日期</w:t>
            </w:r>
          </w:p>
        </w:tc>
        <w:tc>
          <w:tcPr>
            <w:tcW w:w="2123" w:type="dxa"/>
          </w:tcPr>
          <w:p w14:paraId="6AE152B0">
            <w:pPr>
              <w:pStyle w:val="25"/>
              <w:spacing w:before="139" w:line="219" w:lineRule="auto"/>
              <w:ind w:left="646"/>
            </w:pPr>
            <w:r>
              <w:rPr>
                <w:spacing w:val="-2"/>
              </w:rPr>
              <w:t>版本说明</w:t>
            </w:r>
          </w:p>
        </w:tc>
        <w:tc>
          <w:tcPr>
            <w:tcW w:w="1699" w:type="dxa"/>
          </w:tcPr>
          <w:p w14:paraId="145094CF">
            <w:pPr>
              <w:pStyle w:val="25"/>
              <w:spacing w:before="139" w:line="220" w:lineRule="auto"/>
              <w:ind w:left="594"/>
            </w:pPr>
            <w:r>
              <w:rPr>
                <w:spacing w:val="-5"/>
              </w:rPr>
              <w:t>作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者</w:t>
            </w:r>
          </w:p>
        </w:tc>
        <w:tc>
          <w:tcPr>
            <w:tcW w:w="1562" w:type="dxa"/>
          </w:tcPr>
          <w:p w14:paraId="1849A7F2">
            <w:pPr>
              <w:pStyle w:val="25"/>
              <w:spacing w:before="139" w:line="220" w:lineRule="auto"/>
              <w:ind w:left="587"/>
            </w:pPr>
            <w:r>
              <w:rPr>
                <w:spacing w:val="-5"/>
              </w:rPr>
              <w:t>审核</w:t>
            </w:r>
          </w:p>
        </w:tc>
      </w:tr>
      <w:tr w14:paraId="65DB97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098CE130">
            <w:pPr>
              <w:pStyle w:val="25"/>
              <w:spacing w:before="104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8" w:type="dxa"/>
          </w:tcPr>
          <w:p w14:paraId="0AF9288C">
            <w:pPr>
              <w:pStyle w:val="25"/>
              <w:spacing w:before="104"/>
              <w:ind w:left="362"/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-20</w:t>
            </w:r>
          </w:p>
        </w:tc>
        <w:tc>
          <w:tcPr>
            <w:tcW w:w="2123" w:type="dxa"/>
          </w:tcPr>
          <w:p w14:paraId="2043345E">
            <w:pPr>
              <w:pStyle w:val="25"/>
              <w:spacing w:before="74" w:line="219" w:lineRule="auto"/>
              <w:ind w:left="648"/>
            </w:pPr>
            <w:r>
              <w:rPr>
                <w:spacing w:val="-3"/>
              </w:rPr>
              <w:t>发布版本</w:t>
            </w:r>
          </w:p>
        </w:tc>
        <w:tc>
          <w:tcPr>
            <w:tcW w:w="1699" w:type="dxa"/>
          </w:tcPr>
          <w:p w14:paraId="161578EE">
            <w:pPr>
              <w:pStyle w:val="25"/>
              <w:spacing w:before="75" w:line="220" w:lineRule="auto"/>
              <w:ind w:left="551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</w:p>
        </w:tc>
        <w:tc>
          <w:tcPr>
            <w:tcW w:w="1562" w:type="dxa"/>
          </w:tcPr>
          <w:p w14:paraId="6BF38CE9">
            <w:pPr>
              <w:pStyle w:val="25"/>
              <w:spacing w:before="74" w:line="220" w:lineRule="auto"/>
              <w:ind w:left="476"/>
            </w:pPr>
            <w:r>
              <w:rPr>
                <w:spacing w:val="-3"/>
              </w:rPr>
              <w:t>黄益溪</w:t>
            </w:r>
          </w:p>
        </w:tc>
      </w:tr>
      <w:tr w14:paraId="2D1C7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F38E1FC"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17171E1E"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5CBFDE9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6856A527"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7B8B1617">
            <w:pPr>
              <w:rPr>
                <w:rFonts w:ascii="Arial"/>
                <w:sz w:val="21"/>
              </w:rPr>
            </w:pPr>
          </w:p>
        </w:tc>
      </w:tr>
      <w:tr w14:paraId="1D1D8B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704" w:type="dxa"/>
          </w:tcPr>
          <w:p w14:paraId="319CDE60"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2FE952A5"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05AFEF5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48125820"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133D402A">
            <w:pPr>
              <w:rPr>
                <w:rFonts w:ascii="Arial"/>
                <w:sz w:val="21"/>
              </w:rPr>
            </w:pPr>
          </w:p>
        </w:tc>
      </w:tr>
      <w:tr w14:paraId="366C65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06DAA6E9"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25B39A8A"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45413E7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2FF12987"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78909B76">
            <w:pPr>
              <w:rPr>
                <w:rFonts w:ascii="Arial"/>
                <w:sz w:val="21"/>
              </w:rPr>
            </w:pPr>
          </w:p>
        </w:tc>
      </w:tr>
    </w:tbl>
    <w:p w14:paraId="180FC2F6">
      <w:pPr>
        <w:pStyle w:val="12"/>
      </w:pPr>
    </w:p>
    <w:p w14:paraId="19BE8F5E">
      <w:pPr>
        <w:sectPr>
          <w:headerReference r:id="rId7" w:type="default"/>
          <w:footerReference r:id="rId8" w:type="default"/>
          <w:pgSz w:w="11906" w:h="16839"/>
          <w:pgMar w:top="1246" w:right="1050" w:bottom="1375" w:left="1050" w:header="1231" w:footer="983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0930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宋体" w:cs="Arial"/>
          <w:snapToGrid w:val="0"/>
          <w:color w:val="000000"/>
          <w:kern w:val="0"/>
          <w:sz w:val="24"/>
          <w:szCs w:val="21"/>
          <w:lang w:val="en-US" w:eastAsia="zh-CN" w:bidi="ar-SA"/>
        </w:rPr>
      </w:sdtEndPr>
      <w:sdtContent>
        <w:p w14:paraId="157AEEB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FB42C88">
          <w:pPr>
            <w:pStyle w:val="16"/>
            <w:tabs>
              <w:tab w:val="right" w:leader="dot" w:pos="9806"/>
            </w:tabs>
          </w:pPr>
          <w:bookmarkStart w:id="6" w:name="_GoBack"/>
          <w:bookmarkEnd w:id="6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_Toc13527 </w:instrText>
          </w:r>
          <w:r>
            <w:fldChar w:fldCharType="separate"/>
          </w:r>
          <w:r>
            <w:t>备品备件应用提升情况总结说明</w:t>
          </w:r>
          <w:r>
            <w:tab/>
          </w:r>
          <w:r>
            <w:fldChar w:fldCharType="begin"/>
          </w:r>
          <w:r>
            <w:instrText xml:space="preserve"> PAGEREF _Toc13527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EB50890">
          <w:pPr>
            <w:pStyle w:val="16"/>
            <w:tabs>
              <w:tab w:val="right" w:leader="dot" w:pos="9806"/>
            </w:tabs>
          </w:pPr>
          <w:r>
            <w:fldChar w:fldCharType="begin"/>
          </w:r>
          <w:r>
            <w:instrText xml:space="preserve"> HYPERLINK \l _Toc6871 </w:instrText>
          </w:r>
          <w: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_Toc6871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4B70CC4">
          <w:pPr>
            <w:pStyle w:val="16"/>
            <w:tabs>
              <w:tab w:val="right" w:leader="dot" w:pos="9806"/>
            </w:tabs>
          </w:pPr>
          <w:r>
            <w:fldChar w:fldCharType="begin"/>
          </w:r>
          <w:r>
            <w:instrText xml:space="preserve"> HYPERLINK \l _Toc9324 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_Toc9324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9433089">
          <w:pPr>
            <w:pStyle w:val="16"/>
            <w:tabs>
              <w:tab w:val="right" w:leader="dot" w:pos="9806"/>
            </w:tabs>
          </w:pPr>
          <w:r>
            <w:fldChar w:fldCharType="begin"/>
          </w:r>
          <w:r>
            <w:instrText xml:space="preserve"> HYPERLINK \l _Toc14117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备品备件应用不断提升</w:t>
          </w:r>
          <w:r>
            <w:tab/>
          </w:r>
          <w:r>
            <w:fldChar w:fldCharType="begin"/>
          </w:r>
          <w:r>
            <w:instrText xml:space="preserve"> PAGEREF _Toc14117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A8B0D8">
          <w:pPr>
            <w:pStyle w:val="16"/>
            <w:tabs>
              <w:tab w:val="right" w:leader="dot" w:pos="9806"/>
            </w:tabs>
          </w:pPr>
          <w:r>
            <w:fldChar w:fldCharType="begin"/>
          </w:r>
          <w:r>
            <w:instrText xml:space="preserve"> HYPERLINK \l _Toc2563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库存备件数据准确率不断提升</w:t>
          </w:r>
          <w:r>
            <w:tab/>
          </w:r>
          <w:r>
            <w:fldChar w:fldCharType="begin"/>
          </w:r>
          <w:r>
            <w:instrText xml:space="preserve"> PAGEREF _Toc2563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33FF4F1">
          <w:pPr>
            <w:pStyle w:val="16"/>
            <w:tabs>
              <w:tab w:val="right" w:leader="dot" w:pos="9806"/>
            </w:tabs>
          </w:pPr>
          <w:r>
            <w:fldChar w:fldCharType="begin"/>
          </w:r>
          <w:r>
            <w:instrText xml:space="preserve"> HYPERLINK \l _Toc25597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备件可用率不断提升</w:t>
          </w:r>
          <w:r>
            <w:tab/>
          </w:r>
          <w:r>
            <w:fldChar w:fldCharType="begin"/>
          </w:r>
          <w:r>
            <w:instrText xml:space="preserve"> PAGEREF _Toc25597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44716BB">
          <w:pPr>
            <w:pStyle w:val="27"/>
            <w:bidi w:val="0"/>
            <w:rPr>
              <w:rFonts w:ascii="Arial" w:hAnsi="Arial" w:eastAsia="宋体" w:cs="Arial"/>
              <w:snapToGrid w:val="0"/>
              <w:color w:val="000000"/>
              <w:kern w:val="0"/>
              <w:sz w:val="24"/>
              <w:szCs w:val="21"/>
              <w:lang w:val="en-US" w:eastAsia="zh-CN" w:bidi="ar-SA"/>
            </w:rPr>
          </w:pPr>
          <w:r>
            <w:fldChar w:fldCharType="end"/>
          </w:r>
        </w:p>
      </w:sdtContent>
    </w:sdt>
    <w:p w14:paraId="60F653D8">
      <w:pPr>
        <w:rPr>
          <w:rFonts w:ascii="Arial" w:hAnsi="Arial" w:eastAsia="宋体" w:cs="Arial"/>
          <w:snapToGrid w:val="0"/>
          <w:color w:val="000000"/>
          <w:kern w:val="0"/>
          <w:sz w:val="24"/>
          <w:szCs w:val="21"/>
          <w:lang w:val="en-US" w:eastAsia="zh-CN" w:bidi="ar-SA"/>
        </w:rPr>
      </w:pPr>
      <w:r>
        <w:rPr>
          <w:rFonts w:ascii="Arial" w:hAnsi="Arial" w:eastAsia="宋体" w:cs="Arial"/>
          <w:snapToGrid w:val="0"/>
          <w:color w:val="000000"/>
          <w:kern w:val="0"/>
          <w:sz w:val="24"/>
          <w:szCs w:val="21"/>
          <w:lang w:val="en-US" w:eastAsia="zh-CN" w:bidi="ar-SA"/>
        </w:rPr>
        <w:br w:type="page"/>
      </w:r>
    </w:p>
    <w:p w14:paraId="113E1BB7">
      <w:pPr>
        <w:pStyle w:val="27"/>
        <w:bidi w:val="0"/>
        <w:rPr>
          <w:rFonts w:ascii="Arial" w:hAnsi="Arial" w:eastAsia="宋体" w:cs="Arial"/>
          <w:snapToGrid w:val="0"/>
          <w:color w:val="000000"/>
          <w:kern w:val="0"/>
          <w:sz w:val="24"/>
          <w:szCs w:val="21"/>
          <w:lang w:val="en-US" w:eastAsia="zh-CN" w:bidi="ar-SA"/>
        </w:rPr>
      </w:pPr>
    </w:p>
    <w:p w14:paraId="10A3A363">
      <w:pPr>
        <w:pStyle w:val="26"/>
        <w:bidi w:val="0"/>
      </w:pPr>
      <w:bookmarkStart w:id="3" w:name="_Toc14117"/>
      <w:r>
        <w:t>备品备件应用不断提升</w:t>
      </w:r>
      <w:bookmarkEnd w:id="3"/>
    </w:p>
    <w:p w14:paraId="7DD52431">
      <w:pPr>
        <w:spacing w:before="106" w:line="359" w:lineRule="auto"/>
        <w:ind w:left="38" w:right="15" w:firstLine="57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ITSS 对备件库的管理要求，使备件从采购到入库到使用整个过程都能够得</w:t>
      </w:r>
      <w:r>
        <w:rPr>
          <w:rFonts w:ascii="宋体" w:hAnsi="宋体" w:eastAsia="宋体" w:cs="宋体"/>
          <w:sz w:val="24"/>
          <w:szCs w:val="24"/>
        </w:rPr>
        <w:t>到有序管理。通过对备件库存和使用的管理，使备件</w:t>
      </w:r>
      <w:r>
        <w:rPr>
          <w:rFonts w:ascii="宋体" w:hAnsi="宋体" w:eastAsia="宋体" w:cs="宋体"/>
          <w:spacing w:val="-1"/>
          <w:sz w:val="24"/>
          <w:szCs w:val="24"/>
        </w:rPr>
        <w:t>管理实现规范化管理并满</w:t>
      </w:r>
      <w:r>
        <w:rPr>
          <w:rFonts w:ascii="宋体" w:hAnsi="宋体" w:eastAsia="宋体" w:cs="宋体"/>
          <w:sz w:val="24"/>
          <w:szCs w:val="24"/>
        </w:rPr>
        <w:t>足运维服务的需要。通过对备品备件的采购、领用、</w:t>
      </w:r>
      <w:r>
        <w:rPr>
          <w:rFonts w:ascii="宋体" w:hAnsi="宋体" w:eastAsia="宋体" w:cs="宋体"/>
          <w:spacing w:val="-1"/>
          <w:sz w:val="24"/>
          <w:szCs w:val="24"/>
        </w:rPr>
        <w:t>调拨和抽样多种手段，从</w:t>
      </w:r>
      <w:r>
        <w:rPr>
          <w:rFonts w:ascii="宋体" w:hAnsi="宋体" w:eastAsia="宋体" w:cs="宋体"/>
          <w:sz w:val="24"/>
          <w:szCs w:val="24"/>
        </w:rPr>
        <w:t>而保证KPI指标可以完全满足公司的业务需求。我司开始试</w:t>
      </w:r>
      <w:r>
        <w:rPr>
          <w:rFonts w:ascii="宋体" w:hAnsi="宋体" w:eastAsia="宋体" w:cs="宋体"/>
          <w:spacing w:val="-1"/>
          <w:sz w:val="24"/>
          <w:szCs w:val="24"/>
        </w:rPr>
        <w:t>运行ITSS成熟度三级</w:t>
      </w:r>
      <w:r>
        <w:rPr>
          <w:rFonts w:ascii="宋体" w:hAnsi="宋体" w:eastAsia="宋体" w:cs="宋体"/>
          <w:sz w:val="24"/>
          <w:szCs w:val="24"/>
        </w:rPr>
        <w:t>模型，建立了公司备件管理制度及供应商管理制度并</w:t>
      </w:r>
      <w:r>
        <w:rPr>
          <w:rFonts w:ascii="宋体" w:hAnsi="宋体" w:eastAsia="宋体" w:cs="宋体"/>
          <w:spacing w:val="-1"/>
          <w:sz w:val="24"/>
          <w:szCs w:val="24"/>
        </w:rPr>
        <w:t>不断完善。由于运维项目</w:t>
      </w:r>
      <w:r>
        <w:rPr>
          <w:rFonts w:ascii="宋体" w:hAnsi="宋体" w:eastAsia="宋体" w:cs="宋体"/>
          <w:sz w:val="24"/>
          <w:szCs w:val="24"/>
        </w:rPr>
        <w:t>较多，2017年之前公司备件管理工作混乱，备件管理</w:t>
      </w:r>
      <w:r>
        <w:rPr>
          <w:rFonts w:ascii="宋体" w:hAnsi="宋体" w:eastAsia="宋体" w:cs="宋体"/>
          <w:spacing w:val="-1"/>
          <w:sz w:val="24"/>
          <w:szCs w:val="24"/>
        </w:rPr>
        <w:t>制度基本空白的情况，在</w:t>
      </w:r>
      <w:r>
        <w:rPr>
          <w:rFonts w:ascii="宋体" w:hAnsi="宋体" w:eastAsia="宋体" w:cs="宋体"/>
          <w:sz w:val="24"/>
          <w:szCs w:val="24"/>
        </w:rPr>
        <w:t>借鉴有关企业备件管理经验的基础上不断建立健全设备管理</w:t>
      </w:r>
      <w:r>
        <w:rPr>
          <w:rFonts w:ascii="宋体" w:hAnsi="宋体" w:eastAsia="宋体" w:cs="宋体"/>
          <w:spacing w:val="-1"/>
          <w:sz w:val="24"/>
          <w:szCs w:val="24"/>
        </w:rPr>
        <w:t>制度工作。ITSS 对</w:t>
      </w:r>
      <w:r>
        <w:rPr>
          <w:rFonts w:ascii="宋体" w:hAnsi="宋体" w:eastAsia="宋体" w:cs="宋体"/>
          <w:spacing w:val="-2"/>
          <w:sz w:val="24"/>
          <w:szCs w:val="24"/>
        </w:rPr>
        <w:t>备件库的管理要求，使备件从采购到入库到使用整个过程都能够得到有序管理。</w:t>
      </w:r>
      <w:r>
        <w:rPr>
          <w:rFonts w:ascii="宋体" w:hAnsi="宋体" w:eastAsia="宋体" w:cs="宋体"/>
          <w:sz w:val="24"/>
          <w:szCs w:val="24"/>
        </w:rPr>
        <w:t>通过对备件库存和使用的管理，使备件管理实现规范</w:t>
      </w:r>
      <w:r>
        <w:rPr>
          <w:rFonts w:ascii="宋体" w:hAnsi="宋体" w:eastAsia="宋体" w:cs="宋体"/>
          <w:spacing w:val="-1"/>
          <w:sz w:val="24"/>
          <w:szCs w:val="24"/>
        </w:rPr>
        <w:t>化管理并满足运维服务的</w:t>
      </w:r>
      <w:r>
        <w:rPr>
          <w:rFonts w:ascii="宋体" w:hAnsi="宋体" w:eastAsia="宋体" w:cs="宋体"/>
          <w:sz w:val="24"/>
          <w:szCs w:val="24"/>
        </w:rPr>
        <w:t>需要。通过对备品备件的采购、领用、调拨和抽样多种手</w:t>
      </w:r>
      <w:r>
        <w:rPr>
          <w:rFonts w:ascii="宋体" w:hAnsi="宋体" w:eastAsia="宋体" w:cs="宋体"/>
          <w:spacing w:val="-1"/>
          <w:sz w:val="24"/>
          <w:szCs w:val="24"/>
        </w:rPr>
        <w:t>段，从而保证KPI指标</w:t>
      </w:r>
      <w:r>
        <w:rPr>
          <w:rFonts w:ascii="宋体" w:hAnsi="宋体" w:eastAsia="宋体" w:cs="宋体"/>
          <w:sz w:val="24"/>
          <w:szCs w:val="24"/>
        </w:rPr>
        <w:t>可以完全满足公司的业务需求。明确的备件响应方式</w:t>
      </w:r>
      <w:r>
        <w:rPr>
          <w:rFonts w:ascii="宋体" w:hAnsi="宋体" w:eastAsia="宋体" w:cs="宋体"/>
          <w:spacing w:val="-1"/>
          <w:sz w:val="24"/>
          <w:szCs w:val="24"/>
        </w:rPr>
        <w:t>和级别定义，能够满足服务级别协议(SLA)所要求的备件支持</w:t>
      </w:r>
    </w:p>
    <w:p w14:paraId="125DAD8A">
      <w:pPr>
        <w:numPr>
          <w:ilvl w:val="0"/>
          <w:numId w:val="2"/>
        </w:numPr>
        <w:spacing w:before="125" w:line="315" w:lineRule="auto"/>
        <w:ind w:left="425" w:leftChars="0" w:right="255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明确的备件响应方式和级别定义，能够满足服务</w:t>
      </w:r>
      <w:r>
        <w:rPr>
          <w:rFonts w:ascii="宋体" w:hAnsi="宋体" w:eastAsia="宋体" w:cs="宋体"/>
          <w:spacing w:val="-2"/>
          <w:sz w:val="24"/>
          <w:szCs w:val="24"/>
        </w:rPr>
        <w:t>级别协议(SLA)所要求的备</w:t>
      </w:r>
      <w:r>
        <w:rPr>
          <w:rFonts w:ascii="宋体" w:hAnsi="宋体" w:eastAsia="宋体" w:cs="宋体"/>
          <w:spacing w:val="-10"/>
          <w:sz w:val="24"/>
          <w:szCs w:val="24"/>
        </w:rPr>
        <w:t>件支持。</w:t>
      </w:r>
    </w:p>
    <w:p w14:paraId="1F1DDEF2">
      <w:pPr>
        <w:numPr>
          <w:ilvl w:val="0"/>
          <w:numId w:val="2"/>
        </w:numPr>
        <w:spacing w:before="290" w:line="21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实施备件的供应商管理，保证备件的及时交付和备件可用性。</w:t>
      </w:r>
    </w:p>
    <w:p w14:paraId="15BEDF5E">
      <w:pPr>
        <w:numPr>
          <w:ilvl w:val="0"/>
          <w:numId w:val="2"/>
        </w:numPr>
        <w:spacing w:before="294" w:line="315" w:lineRule="auto"/>
        <w:ind w:left="425" w:leftChars="0" w:right="115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通过落实备件管理制度对备件进行入库和出库管理，提升备件管理的规范性</w:t>
      </w:r>
      <w:r>
        <w:rPr>
          <w:rFonts w:ascii="宋体" w:hAnsi="宋体" w:eastAsia="宋体" w:cs="宋体"/>
          <w:spacing w:val="-10"/>
          <w:sz w:val="24"/>
          <w:szCs w:val="24"/>
        </w:rPr>
        <w:t>和效率。</w:t>
      </w:r>
    </w:p>
    <w:p w14:paraId="457CE546">
      <w:pPr>
        <w:numPr>
          <w:ilvl w:val="0"/>
          <w:numId w:val="2"/>
        </w:numPr>
        <w:spacing w:before="292" w:line="315" w:lineRule="auto"/>
        <w:ind w:left="425" w:leftChars="0" w:right="115" w:hanging="425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4"/>
          <w:szCs w:val="24"/>
        </w:rPr>
        <w:t>定期对备件状态进行检测，实现备件的可用性管理，确保备件功能满足运维</w:t>
      </w:r>
      <w:r>
        <w:rPr>
          <w:rFonts w:ascii="宋体" w:hAnsi="宋体" w:eastAsia="宋体" w:cs="宋体"/>
          <w:spacing w:val="-5"/>
          <w:sz w:val="24"/>
          <w:szCs w:val="24"/>
        </w:rPr>
        <w:t>要求，提升备件可用率。</w:t>
      </w:r>
    </w:p>
    <w:p w14:paraId="518FDDEA">
      <w:pPr>
        <w:pStyle w:val="26"/>
        <w:bidi w:val="0"/>
      </w:pPr>
      <w:bookmarkStart w:id="4" w:name="_Toc2563"/>
      <w:r>
        <w:t>库存备件数据准确率不断提升</w:t>
      </w:r>
      <w:bookmarkEnd w:id="4"/>
    </w:p>
    <w:p w14:paraId="05D9514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76" w:firstLineChars="200"/>
        <w:textAlignment w:val="baseline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我司重新规划库房布局，制作新货架，并按用途对备件库</w:t>
      </w:r>
      <w:r>
        <w:rPr>
          <w:rFonts w:ascii="宋体" w:hAnsi="宋体" w:eastAsia="宋体" w:cs="宋体"/>
          <w:sz w:val="24"/>
          <w:szCs w:val="24"/>
        </w:rPr>
        <w:t>进行分类，对备品备件进行集中存放，统一管理。并通</w:t>
      </w:r>
      <w:r>
        <w:rPr>
          <w:rFonts w:ascii="宋体" w:hAnsi="宋体" w:eastAsia="宋体" w:cs="宋体"/>
          <w:spacing w:val="-1"/>
          <w:sz w:val="24"/>
          <w:szCs w:val="24"/>
        </w:rPr>
        <w:t>过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人力资源培训，严格执行《备品备件管理制度》、《供应商管理制度》</w:t>
      </w:r>
      <w:r>
        <w:rPr>
          <w:rFonts w:ascii="宋体" w:hAnsi="宋体" w:eastAsia="宋体" w:cs="宋体"/>
          <w:sz w:val="24"/>
          <w:szCs w:val="24"/>
        </w:rPr>
        <w:t>来协助管理，提高效率。</w:t>
      </w:r>
      <w:r>
        <w:rPr>
          <w:rFonts w:ascii="宋体" w:hAnsi="宋体" w:eastAsia="宋体" w:cs="宋体"/>
          <w:spacing w:val="-1"/>
          <w:sz w:val="24"/>
          <w:szCs w:val="24"/>
        </w:rPr>
        <w:t>把备品备件的需求、计划与使</w:t>
      </w:r>
      <w:r>
        <w:rPr>
          <w:rFonts w:ascii="宋体" w:hAnsi="宋体" w:eastAsia="宋体" w:cs="宋体"/>
          <w:sz w:val="24"/>
          <w:szCs w:val="24"/>
        </w:rPr>
        <w:t>用紧密的结合到了一起，真正做到了备品备</w:t>
      </w:r>
      <w:r>
        <w:rPr>
          <w:rFonts w:ascii="宋体" w:hAnsi="宋体" w:eastAsia="宋体" w:cs="宋体"/>
          <w:spacing w:val="-1"/>
          <w:sz w:val="24"/>
          <w:szCs w:val="24"/>
        </w:rPr>
        <w:t>件的化利用，从而达到了降</w:t>
      </w:r>
      <w:r>
        <w:rPr>
          <w:rFonts w:ascii="宋体" w:hAnsi="宋体" w:eastAsia="宋体" w:cs="宋体"/>
          <w:sz w:val="24"/>
          <w:szCs w:val="24"/>
        </w:rPr>
        <w:t>低多余库存，节约成本的要求。公司通过多年的备件</w:t>
      </w:r>
      <w:r>
        <w:rPr>
          <w:rFonts w:ascii="宋体" w:hAnsi="宋体" w:eastAsia="宋体" w:cs="宋体"/>
          <w:spacing w:val="-1"/>
          <w:sz w:val="24"/>
          <w:szCs w:val="24"/>
        </w:rPr>
        <w:t>库建设，实现备件支持的</w:t>
      </w:r>
      <w:r>
        <w:rPr>
          <w:rFonts w:ascii="宋体" w:hAnsi="宋体" w:eastAsia="宋体" w:cs="宋体"/>
          <w:sz w:val="24"/>
          <w:szCs w:val="24"/>
        </w:rPr>
        <w:t>及时响应，满足运维项目备件支持 SLA的要求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经过统计</w:t>
      </w:r>
      <w:r>
        <w:rPr>
          <w:rFonts w:ascii="宋体" w:hAnsi="宋体" w:eastAsia="宋体" w:cs="宋体"/>
          <w:spacing w:val="-1"/>
          <w:sz w:val="24"/>
          <w:szCs w:val="24"/>
        </w:rPr>
        <w:t>，2025年第一、二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和三</w:t>
      </w:r>
      <w:r>
        <w:rPr>
          <w:rFonts w:ascii="宋体" w:hAnsi="宋体" w:eastAsia="宋体" w:cs="宋体"/>
          <w:spacing w:val="-1"/>
          <w:sz w:val="24"/>
          <w:szCs w:val="24"/>
        </w:rPr>
        <w:t>季度的库存备件数据准确率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均</w:t>
      </w:r>
      <w:r>
        <w:rPr>
          <w:rFonts w:ascii="宋体" w:hAnsi="宋体" w:eastAsia="宋体" w:cs="宋体"/>
          <w:spacing w:val="-1"/>
          <w:sz w:val="24"/>
          <w:szCs w:val="24"/>
        </w:rPr>
        <w:t>达到99%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。</w:t>
      </w:r>
    </w:p>
    <w:p w14:paraId="479193EB">
      <w:pPr>
        <w:pStyle w:val="26"/>
        <w:bidi w:val="0"/>
      </w:pPr>
      <w:bookmarkStart w:id="5" w:name="_Toc25597"/>
      <w:r>
        <w:t>备件可用率不断提升</w:t>
      </w:r>
      <w:bookmarkEnd w:id="5"/>
    </w:p>
    <w:p w14:paraId="1A64699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76" w:firstLineChars="20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公司从引入ITSS标准后，已经通过每年的供应商考核对供应商名录进行优化，而且通过供应商的评价工作，让公司的供应商意识到了竞争，明显感觉供应商的服务是在提升的。</w:t>
      </w:r>
    </w:p>
    <w:p w14:paraId="2656EA8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76" w:firstLineChars="200"/>
        <w:textAlignment w:val="baseline"/>
        <w:rPr>
          <w:rFonts w:hint="default" w:ascii="宋体" w:hAnsi="宋体" w:eastAsia="宋体" w:cs="宋体"/>
          <w:sz w:val="28"/>
          <w:szCs w:val="28"/>
          <w:lang w:val="en-US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一方面加强与备件库和供应商的合作与沟通，及时了解各备品备件的库存情况。同时对公司各种主要设备编制了备件计划，主要设备的备品备件均已购回，满足了公司的各项技改任务需要，也确保了公司设备的正常运转。同时落实了公司各项新增设备采购的汇总审核工作，统一把关进一步规范了公司新增设备采购计划，在满足公司正常生产的前提下不断优化备品备件的采购，避免了设备采购的盲目性和重复性。稳步提高我司的运维效率及客户满意度。通过不断的对供应商进行评价和管理，间接保证了公司对客户提供备件更换、送修等服务过程的效率。通过不断完善的备件可用率，按照行业对备品备件的严格要求，公司运用多维度的管理，对备品备件的持续可靠性持续优化，经考核，2025年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第一、第二季度</w:t>
      </w:r>
      <w:r>
        <w:rPr>
          <w:rFonts w:ascii="宋体" w:hAnsi="宋体" w:eastAsia="宋体" w:cs="宋体"/>
          <w:spacing w:val="-1"/>
          <w:sz w:val="24"/>
          <w:szCs w:val="24"/>
        </w:rPr>
        <w:t>备件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可用率均达</w:t>
      </w:r>
      <w:r>
        <w:rPr>
          <w:rFonts w:ascii="宋体" w:hAnsi="宋体" w:eastAsia="宋体" w:cs="宋体"/>
          <w:spacing w:val="-1"/>
          <w:sz w:val="24"/>
          <w:szCs w:val="24"/>
        </w:rPr>
        <w:t>到96%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满足备件可用率≥95%的要求。第三季度备件可用率达到100%，备件可用率呈现上升趋势。</w:t>
      </w:r>
    </w:p>
    <w:sectPr>
      <w:headerReference r:id="rId9" w:type="default"/>
      <w:footerReference r:id="rId10" w:type="default"/>
      <w:pgSz w:w="11906" w:h="16839"/>
      <w:pgMar w:top="1246" w:right="1050" w:bottom="1375" w:left="1050" w:header="1231" w:footer="98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B179D9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7DC84">
    <w:pPr>
      <w:spacing w:before="177" w:line="209" w:lineRule="auto"/>
      <w:ind w:left="4057"/>
      <w:rPr>
        <w:rFonts w:ascii="宋体" w:hAnsi="宋体" w:eastAsia="宋体" w:cs="宋体"/>
        <w:sz w:val="18"/>
        <w:szCs w:val="18"/>
      </w:rPr>
    </w:pPr>
    <w:r>
      <w:pict>
        <v:shape id="_x0000_s4098" o:spid="_x0000_s4098" style="position:absolute;left:0pt;margin-left:53.2pt;margin-top:773.15pt;height:0.5pt;width:486.25pt;mso-position-horizontal-relative:page;mso-position-vertical-relative:page;z-index:251660288;mso-width-relative:page;mso-height-relative:page;" filled="f" stroked="t" coordsize="9725,10" o:allowincell="f" path="m0,5l9724,5e">
          <v:fill on="f" focussize="0,0"/>
          <v:stroke/>
          <v:imagedata o:title=""/>
          <o:lock v:ext="edit"/>
        </v:shape>
      </w:pict>
    </w: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13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2</w:t>
    </w:r>
    <w:r>
      <w:rPr>
        <w:rFonts w:ascii="Calibri" w:hAnsi="Calibri" w:eastAsia="Calibri" w:cs="Calibri"/>
        <w:spacing w:val="10"/>
        <w:sz w:val="18"/>
        <w:szCs w:val="18"/>
      </w:rPr>
      <w:t xml:space="preserve">  </w:t>
    </w:r>
    <w:r>
      <w:rPr>
        <w:rFonts w:ascii="宋体" w:hAnsi="宋体" w:eastAsia="宋体" w:cs="宋体"/>
        <w:spacing w:val="-8"/>
        <w:sz w:val="18"/>
        <w:szCs w:val="18"/>
      </w:rPr>
      <w:t>页</w:t>
    </w:r>
    <w:r>
      <w:rPr>
        <w:rFonts w:ascii="宋体" w:hAnsi="宋体" w:eastAsia="宋体" w:cs="宋体"/>
        <w:spacing w:val="6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共</w:t>
    </w:r>
    <w:r>
      <w:rPr>
        <w:rFonts w:ascii="宋体" w:hAnsi="宋体" w:eastAsia="宋体" w:cs="宋体"/>
        <w:spacing w:val="9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5</w:t>
    </w:r>
    <w:r>
      <w:rPr>
        <w:rFonts w:ascii="Calibri" w:hAnsi="Calibri" w:eastAsia="Calibri" w:cs="Calibri"/>
        <w:spacing w:val="10"/>
        <w:sz w:val="18"/>
        <w:szCs w:val="18"/>
      </w:rPr>
      <w:t xml:space="preserve"> 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B1823">
    <w:pPr>
      <w:spacing w:before="177" w:line="209" w:lineRule="auto"/>
      <w:ind w:left="4057"/>
      <w:rPr>
        <w:rFonts w:ascii="宋体" w:hAnsi="宋体" w:eastAsia="宋体" w:cs="宋体"/>
        <w:sz w:val="18"/>
        <w:szCs w:val="18"/>
      </w:rPr>
    </w:pPr>
    <w:r>
      <w:pict>
        <v:shape id="_x0000_s4100" o:spid="_x0000_s4100" style="position:absolute;left:0pt;margin-left:53.2pt;margin-top:773.15pt;height:0.5pt;width:486.25pt;mso-position-horizontal-relative:page;mso-position-vertical-relative:page;z-index:251662336;mso-width-relative:page;mso-height-relative:page;" filled="f" stroked="t" coordsize="9725,10" o:allowincell="f" path="m0,5l9724,5e">
          <v:fill on="f" focussize="0,0"/>
          <v:stroke/>
          <v:imagedata o:title=""/>
          <o:lock v:ext="edit"/>
        </v:shape>
      </w:pict>
    </w:r>
    <w:r>
      <w:rPr>
        <w:rFonts w:ascii="宋体" w:hAnsi="宋体" w:eastAsia="宋体" w:cs="宋体"/>
        <w:spacing w:val="-8"/>
        <w:sz w:val="18"/>
        <w:szCs w:val="18"/>
      </w:rPr>
      <w:t>第</w:t>
    </w:r>
    <w:r>
      <w:rPr>
        <w:rFonts w:ascii="宋体" w:hAnsi="宋体" w:eastAsia="宋体" w:cs="宋体"/>
        <w:spacing w:val="13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5</w:t>
    </w:r>
    <w:r>
      <w:rPr>
        <w:rFonts w:ascii="Calibri" w:hAnsi="Calibri" w:eastAsia="Calibri" w:cs="Calibri"/>
        <w:spacing w:val="10"/>
        <w:sz w:val="18"/>
        <w:szCs w:val="18"/>
      </w:rPr>
      <w:t xml:space="preserve">  </w:t>
    </w:r>
    <w:r>
      <w:rPr>
        <w:rFonts w:ascii="宋体" w:hAnsi="宋体" w:eastAsia="宋体" w:cs="宋体"/>
        <w:spacing w:val="-8"/>
        <w:sz w:val="18"/>
        <w:szCs w:val="18"/>
      </w:rPr>
      <w:t>页</w:t>
    </w:r>
    <w:r>
      <w:rPr>
        <w:rFonts w:ascii="宋体" w:hAnsi="宋体" w:eastAsia="宋体" w:cs="宋体"/>
        <w:spacing w:val="6"/>
        <w:sz w:val="18"/>
        <w:szCs w:val="18"/>
      </w:rPr>
      <w:t xml:space="preserve"> </w:t>
    </w:r>
    <w:r>
      <w:rPr>
        <w:rFonts w:ascii="宋体" w:hAnsi="宋体" w:eastAsia="宋体" w:cs="宋体"/>
        <w:spacing w:val="-8"/>
        <w:sz w:val="18"/>
        <w:szCs w:val="18"/>
      </w:rPr>
      <w:t>共</w:t>
    </w:r>
    <w:r>
      <w:rPr>
        <w:rFonts w:ascii="宋体" w:hAnsi="宋体" w:eastAsia="宋体" w:cs="宋体"/>
        <w:spacing w:val="9"/>
        <w:sz w:val="18"/>
        <w:szCs w:val="18"/>
      </w:rPr>
      <w:t xml:space="preserve"> </w:t>
    </w:r>
    <w:r>
      <w:rPr>
        <w:rFonts w:ascii="Calibri" w:hAnsi="Calibri" w:eastAsia="Calibri" w:cs="Calibri"/>
        <w:spacing w:val="-8"/>
        <w:sz w:val="18"/>
        <w:szCs w:val="18"/>
      </w:rPr>
      <w:t>5</w:t>
    </w:r>
    <w:r>
      <w:rPr>
        <w:rFonts w:ascii="Calibri" w:hAnsi="Calibri" w:eastAsia="Calibri" w:cs="Calibri"/>
        <w:spacing w:val="10"/>
        <w:sz w:val="18"/>
        <w:szCs w:val="18"/>
      </w:rPr>
      <w:t xml:space="preserve">  </w:t>
    </w:r>
    <w:r>
      <w:rPr>
        <w:rFonts w:ascii="宋体" w:hAnsi="宋体" w:eastAsia="宋体" w:cs="宋体"/>
        <w:spacing w:val="-8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34D43"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D39EE">
    <w:pPr>
      <w:pStyle w:val="12"/>
      <w:spacing w:line="52" w:lineRule="auto"/>
      <w:rPr>
        <w:sz w:val="2"/>
      </w:rPr>
    </w:pPr>
    <w:r>
      <w:pict>
        <v:shape id="_x0000_s4097" o:spid="_x0000_s4097" style="position:absolute;left:0pt;margin-left:52.55pt;margin-top:61.55pt;height:0.75pt;width:490.25pt;mso-position-horizontal-relative:page;mso-position-vertical-relative:page;z-index:251659264;mso-width-relative:page;mso-height-relative:page;" filled="f" stroked="t" coordsize="9805,15" o:allowincell="f" path="m0,7l9804,7e">
          <v:fill on="f" focussize="0,0"/>
          <v:stroke joinstyle="miter"/>
          <v:imagedata o:title=""/>
          <o:lock v:ext="edi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30BF7">
    <w:pPr>
      <w:pStyle w:val="12"/>
      <w:spacing w:line="52" w:lineRule="auto"/>
      <w:rPr>
        <w:sz w:val="2"/>
      </w:rPr>
    </w:pPr>
    <w:r>
      <w:pict>
        <v:shape id="_x0000_s4099" o:spid="_x0000_s4099" style="position:absolute;left:0pt;margin-left:52.55pt;margin-top:61.55pt;height:0.75pt;width:490.25pt;mso-position-horizontal-relative:page;mso-position-vertical-relative:page;z-index:251661312;mso-width-relative:page;mso-height-relative:page;" filled="f" stroked="t" coordsize="9805,15" o:allowincell="f" path="m0,7l9804,7e">
          <v:fill on="f" focussize="0,0"/>
          <v:stroke joinstyle="miter"/>
          <v:imagedata o:title=""/>
          <o:lock v:ext="edi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EE961D5"/>
    <w:multiLevelType w:val="singleLevel"/>
    <w:tmpl w:val="0EE961D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FC6923"/>
    <w:rsid w:val="0A51342A"/>
    <w:rsid w:val="0DD423A8"/>
    <w:rsid w:val="168F0A3D"/>
    <w:rsid w:val="1CA4388D"/>
    <w:rsid w:val="1EAC07D7"/>
    <w:rsid w:val="2D954F24"/>
    <w:rsid w:val="3AD354E6"/>
    <w:rsid w:val="433F02A4"/>
    <w:rsid w:val="4F726BFE"/>
    <w:rsid w:val="613852B2"/>
    <w:rsid w:val="61B9080E"/>
    <w:rsid w:val="64435D4A"/>
    <w:rsid w:val="693D1D24"/>
    <w:rsid w:val="6FCF744E"/>
    <w:rsid w:val="747B11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  <customShpInfo spid="_x0000_s4098"/>
    <customShpInfo spid="_x0000_s4099"/>
    <customShpInfo spid="_x0000_s410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1315</Words>
  <Characters>1376</Characters>
  <Lines>0</Lines>
  <Paragraphs>0</Paragraphs>
  <TotalTime>0</TotalTime>
  <ScaleCrop>false</ScaleCrop>
  <LinksUpToDate>false</LinksUpToDate>
  <CharactersWithSpaces>1380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2025-08-19T16:25:00Z</dcterms:created>
  <dc:creator>吕阳</dc:creator>
  <cp:lastModifiedBy>郝宇</cp:lastModifiedBy>
  <dcterms:modified xsi:type="dcterms:W3CDTF">2026-01-04T02:31:26Z</dcterms:modified>
  <dc:title>国核信息科技有限公司企业标准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2025-08-21T23:15:44Z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9D61F20197F4464A9A6640375146DF2F_12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