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CEB17E">
      <w:pPr>
        <w:pStyle w:val="31"/>
        <w:bidi w:val="0"/>
      </w:pPr>
      <w:bookmarkStart w:id="0" w:name="_Toc10709"/>
      <w:r>
        <w:rPr>
          <w:rFonts w:hint="eastAsia"/>
          <w:lang w:val="en-US" w:eastAsia="zh-CN"/>
        </w:rPr>
        <w:t>服务知识</w:t>
      </w:r>
      <w:r>
        <w:t>应用提升情况总结说明</w:t>
      </w:r>
      <w:bookmarkEnd w:id="0"/>
    </w:p>
    <w:p w14:paraId="4794A724">
      <w:pPr>
        <w:pStyle w:val="12"/>
        <w:spacing w:line="247" w:lineRule="auto"/>
      </w:pPr>
    </w:p>
    <w:p w14:paraId="016ED6C4">
      <w:pPr>
        <w:pStyle w:val="32"/>
        <w:bidi w:val="0"/>
      </w:pPr>
      <w:bookmarkStart w:id="1" w:name="_Toc16135"/>
      <w:r>
        <w:t>甘肃国邦信息科技有限公司</w:t>
      </w:r>
      <w:bookmarkEnd w:id="1"/>
    </w:p>
    <w:p w14:paraId="08372B08">
      <w:pPr>
        <w:spacing w:before="224" w:line="220" w:lineRule="auto"/>
        <w:ind w:left="2745"/>
        <w:rPr>
          <w:rFonts w:ascii="宋体" w:hAnsi="宋体" w:eastAsia="宋体" w:cs="宋体"/>
          <w:sz w:val="36"/>
          <w:szCs w:val="36"/>
        </w:rPr>
      </w:pPr>
      <w:r>
        <w:rPr>
          <w:rFonts w:ascii="宋体" w:hAnsi="宋体" w:eastAsia="宋体" w:cs="宋体"/>
          <w:spacing w:val="-12"/>
          <w:sz w:val="36"/>
          <w:szCs w:val="36"/>
        </w:rPr>
        <w:t>2025</w:t>
      </w:r>
      <w:r>
        <w:rPr>
          <w:rFonts w:ascii="宋体" w:hAnsi="宋体" w:eastAsia="宋体" w:cs="宋体"/>
          <w:spacing w:val="-67"/>
          <w:sz w:val="36"/>
          <w:szCs w:val="36"/>
        </w:rPr>
        <w:t xml:space="preserve"> </w:t>
      </w:r>
      <w:r>
        <w:rPr>
          <w:rFonts w:ascii="宋体" w:hAnsi="宋体" w:eastAsia="宋体" w:cs="宋体"/>
          <w:spacing w:val="-12"/>
          <w:sz w:val="36"/>
          <w:szCs w:val="36"/>
        </w:rPr>
        <w:t>年</w:t>
      </w:r>
      <w:r>
        <w:rPr>
          <w:rFonts w:hint="eastAsia" w:ascii="宋体" w:hAnsi="宋体" w:eastAsia="宋体" w:cs="宋体"/>
          <w:spacing w:val="-12"/>
          <w:sz w:val="36"/>
          <w:szCs w:val="36"/>
          <w:lang w:val="en-US" w:eastAsia="zh-CN"/>
        </w:rPr>
        <w:t>10</w:t>
      </w:r>
      <w:r>
        <w:rPr>
          <w:rFonts w:ascii="宋体" w:hAnsi="宋体" w:eastAsia="宋体" w:cs="宋体"/>
          <w:spacing w:val="-12"/>
          <w:sz w:val="36"/>
          <w:szCs w:val="36"/>
        </w:rPr>
        <w:t>月20日</w:t>
      </w:r>
    </w:p>
    <w:p w14:paraId="4C4D357A">
      <w:pPr>
        <w:spacing w:line="220" w:lineRule="auto"/>
        <w:rPr>
          <w:rFonts w:ascii="宋体" w:hAnsi="宋体" w:eastAsia="宋体" w:cs="宋体"/>
          <w:sz w:val="36"/>
          <w:szCs w:val="36"/>
        </w:rPr>
        <w:sectPr>
          <w:headerReference r:id="rId5" w:type="default"/>
          <w:footerReference r:id="rId6" w:type="default"/>
          <w:pgSz w:w="11906" w:h="16839"/>
          <w:pgMar w:top="1431" w:right="1785" w:bottom="0" w:left="1785" w:header="0" w:footer="0" w:gutter="0"/>
          <w:cols w:space="720" w:num="1"/>
        </w:sectPr>
      </w:pPr>
    </w:p>
    <w:p w14:paraId="214FE2CE">
      <w:pPr>
        <w:spacing w:before="91" w:line="220" w:lineRule="auto"/>
        <w:ind w:left="3781"/>
        <w:outlineLvl w:val="0"/>
        <w:rPr>
          <w:rFonts w:ascii="宋体" w:hAnsi="宋体" w:eastAsia="宋体" w:cs="宋体"/>
          <w:sz w:val="28"/>
          <w:szCs w:val="28"/>
        </w:rPr>
      </w:pPr>
      <w:bookmarkStart w:id="2" w:name="_Toc13366"/>
      <w:r>
        <w:rPr>
          <w:rFonts w:ascii="宋体" w:hAnsi="宋体" w:eastAsia="宋体" w:cs="宋体"/>
          <w:spacing w:val="-3"/>
          <w:sz w:val="28"/>
          <w:szCs w:val="28"/>
        </w:rPr>
        <w:t>文档信息</w:t>
      </w:r>
      <w:bookmarkEnd w:id="2"/>
    </w:p>
    <w:p w14:paraId="2EA84909">
      <w:pPr>
        <w:spacing w:line="117" w:lineRule="exact"/>
      </w:pPr>
    </w:p>
    <w:tbl>
      <w:tblPr>
        <w:tblStyle w:val="24"/>
        <w:tblW w:w="8646"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4"/>
        <w:gridCol w:w="1558"/>
        <w:gridCol w:w="2123"/>
        <w:gridCol w:w="1699"/>
        <w:gridCol w:w="1562"/>
      </w:tblGrid>
      <w:tr w14:paraId="24FA1C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704" w:type="dxa"/>
          </w:tcPr>
          <w:p w14:paraId="32C24486">
            <w:pPr>
              <w:pStyle w:val="25"/>
              <w:spacing w:before="139" w:line="220" w:lineRule="auto"/>
              <w:ind w:left="225"/>
            </w:pPr>
            <w:r>
              <w:rPr>
                <w:spacing w:val="-2"/>
              </w:rPr>
              <w:t>文档名称编号</w:t>
            </w:r>
          </w:p>
        </w:tc>
        <w:tc>
          <w:tcPr>
            <w:tcW w:w="6942" w:type="dxa"/>
            <w:gridSpan w:val="4"/>
          </w:tcPr>
          <w:p w14:paraId="01034585">
            <w:pPr>
              <w:pStyle w:val="25"/>
              <w:spacing w:before="139" w:line="220" w:lineRule="auto"/>
              <w:ind w:left="112"/>
            </w:pPr>
            <w:r>
              <w:rPr>
                <w:rFonts w:hint="eastAsia"/>
                <w:spacing w:val="-1"/>
                <w:lang w:eastAsia="zh-CN"/>
              </w:rPr>
              <w:t>服务知识</w:t>
            </w:r>
            <w:r>
              <w:rPr>
                <w:spacing w:val="-1"/>
              </w:rPr>
              <w:t>应用提升情况总结说明</w:t>
            </w:r>
          </w:p>
        </w:tc>
      </w:tr>
      <w:tr w14:paraId="43678B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704" w:type="dxa"/>
          </w:tcPr>
          <w:p w14:paraId="1236936A">
            <w:pPr>
              <w:pStyle w:val="25"/>
              <w:spacing w:before="136" w:line="220" w:lineRule="auto"/>
              <w:ind w:left="435"/>
            </w:pPr>
            <w:r>
              <w:rPr>
                <w:spacing w:val="-2"/>
              </w:rPr>
              <w:t>编制单位</w:t>
            </w:r>
          </w:p>
        </w:tc>
        <w:tc>
          <w:tcPr>
            <w:tcW w:w="6942" w:type="dxa"/>
            <w:gridSpan w:val="4"/>
          </w:tcPr>
          <w:p w14:paraId="20FE7542">
            <w:pPr>
              <w:pStyle w:val="25"/>
              <w:spacing w:before="137" w:line="219" w:lineRule="auto"/>
              <w:ind w:left="108"/>
            </w:pPr>
            <w:r>
              <w:rPr>
                <w:spacing w:val="-1"/>
              </w:rPr>
              <w:t>甘肃国邦信息科技有限公司</w:t>
            </w:r>
          </w:p>
        </w:tc>
      </w:tr>
      <w:tr w14:paraId="4F4239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704" w:type="dxa"/>
          </w:tcPr>
          <w:p w14:paraId="778CCF26">
            <w:pPr>
              <w:pStyle w:val="25"/>
              <w:spacing w:before="139" w:line="219" w:lineRule="auto"/>
              <w:ind w:left="435"/>
            </w:pPr>
            <w:r>
              <w:rPr>
                <w:spacing w:val="-2"/>
              </w:rPr>
              <w:t>文档版本</w:t>
            </w:r>
          </w:p>
        </w:tc>
        <w:tc>
          <w:tcPr>
            <w:tcW w:w="1558" w:type="dxa"/>
          </w:tcPr>
          <w:p w14:paraId="7B7BCC2C">
            <w:pPr>
              <w:pStyle w:val="25"/>
              <w:spacing w:before="139" w:line="219" w:lineRule="auto"/>
              <w:ind w:left="361"/>
            </w:pPr>
            <w:r>
              <w:rPr>
                <w:spacing w:val="-2"/>
              </w:rPr>
              <w:t>版本日期</w:t>
            </w:r>
          </w:p>
        </w:tc>
        <w:tc>
          <w:tcPr>
            <w:tcW w:w="2123" w:type="dxa"/>
          </w:tcPr>
          <w:p w14:paraId="4995E425">
            <w:pPr>
              <w:pStyle w:val="25"/>
              <w:spacing w:before="139" w:line="219" w:lineRule="auto"/>
              <w:ind w:left="646"/>
            </w:pPr>
            <w:r>
              <w:rPr>
                <w:spacing w:val="-2"/>
              </w:rPr>
              <w:t>版本说明</w:t>
            </w:r>
          </w:p>
        </w:tc>
        <w:tc>
          <w:tcPr>
            <w:tcW w:w="1699" w:type="dxa"/>
          </w:tcPr>
          <w:p w14:paraId="10929072">
            <w:pPr>
              <w:pStyle w:val="25"/>
              <w:spacing w:before="139" w:line="220" w:lineRule="auto"/>
              <w:ind w:left="594"/>
            </w:pPr>
            <w:r>
              <w:rPr>
                <w:spacing w:val="-5"/>
              </w:rPr>
              <w:t>作</w:t>
            </w:r>
            <w:r>
              <w:rPr>
                <w:spacing w:val="9"/>
              </w:rPr>
              <w:t xml:space="preserve"> </w:t>
            </w:r>
            <w:r>
              <w:rPr>
                <w:spacing w:val="-5"/>
              </w:rPr>
              <w:t>者</w:t>
            </w:r>
          </w:p>
        </w:tc>
        <w:tc>
          <w:tcPr>
            <w:tcW w:w="1562" w:type="dxa"/>
          </w:tcPr>
          <w:p w14:paraId="66D1D849">
            <w:pPr>
              <w:pStyle w:val="25"/>
              <w:spacing w:before="139" w:line="220" w:lineRule="auto"/>
              <w:ind w:left="587"/>
            </w:pPr>
            <w:r>
              <w:rPr>
                <w:spacing w:val="-5"/>
              </w:rPr>
              <w:t>审核</w:t>
            </w:r>
          </w:p>
        </w:tc>
      </w:tr>
      <w:tr w14:paraId="6F6C3A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15E406C5">
            <w:pPr>
              <w:pStyle w:val="25"/>
              <w:spacing w:before="104" w:line="239" w:lineRule="auto"/>
              <w:ind w:left="638"/>
            </w:pPr>
            <w:r>
              <w:rPr>
                <w:spacing w:val="-1"/>
              </w:rPr>
              <w:t>V1.0</w:t>
            </w:r>
          </w:p>
        </w:tc>
        <w:tc>
          <w:tcPr>
            <w:tcW w:w="1558" w:type="dxa"/>
          </w:tcPr>
          <w:p w14:paraId="587E7C2E">
            <w:pPr>
              <w:pStyle w:val="25"/>
              <w:spacing w:before="104"/>
              <w:ind w:left="362"/>
              <w:rPr>
                <w:rFonts w:hint="eastAsia" w:eastAsia="宋体"/>
                <w:lang w:val="en-US" w:eastAsia="zh-CN"/>
              </w:rPr>
            </w:pPr>
            <w:r>
              <w:rPr>
                <w:spacing w:val="-2"/>
              </w:rPr>
              <w:t>2025-</w:t>
            </w:r>
            <w:r>
              <w:rPr>
                <w:rFonts w:hint="eastAsia"/>
                <w:spacing w:val="-2"/>
                <w:lang w:val="en-US" w:eastAsia="zh-CN"/>
              </w:rPr>
              <w:t>10</w:t>
            </w:r>
            <w:r>
              <w:rPr>
                <w:spacing w:val="-2"/>
              </w:rPr>
              <w:t>-2</w:t>
            </w:r>
            <w:r>
              <w:rPr>
                <w:rFonts w:hint="eastAsia"/>
                <w:spacing w:val="-2"/>
                <w:lang w:val="en-US" w:eastAsia="zh-CN"/>
              </w:rPr>
              <w:t>0</w:t>
            </w:r>
          </w:p>
        </w:tc>
        <w:tc>
          <w:tcPr>
            <w:tcW w:w="2123" w:type="dxa"/>
          </w:tcPr>
          <w:p w14:paraId="60FD222F">
            <w:pPr>
              <w:pStyle w:val="25"/>
              <w:spacing w:before="74" w:line="219" w:lineRule="auto"/>
              <w:ind w:left="648"/>
            </w:pPr>
            <w:r>
              <w:rPr>
                <w:spacing w:val="-3"/>
              </w:rPr>
              <w:t>发布版本</w:t>
            </w:r>
          </w:p>
        </w:tc>
        <w:tc>
          <w:tcPr>
            <w:tcW w:w="1699" w:type="dxa"/>
          </w:tcPr>
          <w:p w14:paraId="547E412F">
            <w:pPr>
              <w:pStyle w:val="25"/>
              <w:spacing w:before="75" w:line="220" w:lineRule="auto"/>
              <w:ind w:left="551"/>
              <w:rPr>
                <w:rFonts w:hint="eastAsia" w:eastAsia="宋体"/>
                <w:lang w:eastAsia="zh-CN"/>
              </w:rPr>
            </w:pPr>
            <w:r>
              <w:rPr>
                <w:rFonts w:hint="eastAsia"/>
                <w:spacing w:val="-5"/>
                <w:lang w:val="en-US" w:eastAsia="zh-CN"/>
              </w:rPr>
              <w:t>胡葛鹏宇</w:t>
            </w:r>
          </w:p>
        </w:tc>
        <w:tc>
          <w:tcPr>
            <w:tcW w:w="1562" w:type="dxa"/>
          </w:tcPr>
          <w:p w14:paraId="43E7BD4C">
            <w:pPr>
              <w:pStyle w:val="25"/>
              <w:spacing w:before="74" w:line="220" w:lineRule="auto"/>
              <w:ind w:left="476"/>
            </w:pPr>
            <w:r>
              <w:rPr>
                <w:spacing w:val="-3"/>
              </w:rPr>
              <w:t>黄益溪</w:t>
            </w:r>
          </w:p>
        </w:tc>
      </w:tr>
      <w:tr w14:paraId="4903E1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4" w:type="dxa"/>
          </w:tcPr>
          <w:p w14:paraId="1BD1359F">
            <w:pPr>
              <w:rPr>
                <w:rFonts w:ascii="Arial"/>
                <w:sz w:val="21"/>
              </w:rPr>
            </w:pPr>
          </w:p>
        </w:tc>
        <w:tc>
          <w:tcPr>
            <w:tcW w:w="1558" w:type="dxa"/>
          </w:tcPr>
          <w:p w14:paraId="7B1F44AD">
            <w:pPr>
              <w:rPr>
                <w:rFonts w:ascii="Arial"/>
                <w:sz w:val="21"/>
              </w:rPr>
            </w:pPr>
          </w:p>
        </w:tc>
        <w:tc>
          <w:tcPr>
            <w:tcW w:w="2123" w:type="dxa"/>
          </w:tcPr>
          <w:p w14:paraId="73B41682">
            <w:pPr>
              <w:rPr>
                <w:rFonts w:ascii="Arial"/>
                <w:sz w:val="21"/>
              </w:rPr>
            </w:pPr>
          </w:p>
        </w:tc>
        <w:tc>
          <w:tcPr>
            <w:tcW w:w="1699" w:type="dxa"/>
          </w:tcPr>
          <w:p w14:paraId="76F170E2">
            <w:pPr>
              <w:rPr>
                <w:rFonts w:ascii="Arial"/>
                <w:sz w:val="21"/>
              </w:rPr>
            </w:pPr>
          </w:p>
        </w:tc>
        <w:tc>
          <w:tcPr>
            <w:tcW w:w="1562" w:type="dxa"/>
          </w:tcPr>
          <w:p w14:paraId="4B33B049">
            <w:pPr>
              <w:rPr>
                <w:rFonts w:ascii="Arial"/>
                <w:sz w:val="21"/>
              </w:rPr>
            </w:pPr>
          </w:p>
        </w:tc>
      </w:tr>
      <w:tr w14:paraId="3B582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704" w:type="dxa"/>
          </w:tcPr>
          <w:p w14:paraId="7107F546">
            <w:pPr>
              <w:rPr>
                <w:rFonts w:ascii="Arial"/>
                <w:sz w:val="21"/>
              </w:rPr>
            </w:pPr>
          </w:p>
        </w:tc>
        <w:tc>
          <w:tcPr>
            <w:tcW w:w="1558" w:type="dxa"/>
          </w:tcPr>
          <w:p w14:paraId="03D50F57">
            <w:pPr>
              <w:rPr>
                <w:rFonts w:ascii="Arial"/>
                <w:sz w:val="21"/>
              </w:rPr>
            </w:pPr>
          </w:p>
        </w:tc>
        <w:tc>
          <w:tcPr>
            <w:tcW w:w="2123" w:type="dxa"/>
          </w:tcPr>
          <w:p w14:paraId="0BF85846">
            <w:pPr>
              <w:rPr>
                <w:rFonts w:ascii="Arial"/>
                <w:sz w:val="21"/>
              </w:rPr>
            </w:pPr>
          </w:p>
        </w:tc>
        <w:tc>
          <w:tcPr>
            <w:tcW w:w="1699" w:type="dxa"/>
          </w:tcPr>
          <w:p w14:paraId="6B9D7481">
            <w:pPr>
              <w:rPr>
                <w:rFonts w:ascii="Arial"/>
                <w:sz w:val="21"/>
              </w:rPr>
            </w:pPr>
          </w:p>
        </w:tc>
        <w:tc>
          <w:tcPr>
            <w:tcW w:w="1562" w:type="dxa"/>
          </w:tcPr>
          <w:p w14:paraId="77C362B7">
            <w:pPr>
              <w:rPr>
                <w:rFonts w:ascii="Arial"/>
                <w:sz w:val="21"/>
              </w:rPr>
            </w:pPr>
          </w:p>
        </w:tc>
      </w:tr>
      <w:tr w14:paraId="41AF8D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589" w:hRule="atLeast"/>
        </w:trPr>
        <w:tc>
          <w:tcPr>
            <w:tcW w:w="1704" w:type="dxa"/>
          </w:tcPr>
          <w:p w14:paraId="7B499118">
            <w:pPr>
              <w:rPr>
                <w:rFonts w:ascii="Arial"/>
                <w:sz w:val="21"/>
              </w:rPr>
            </w:pPr>
          </w:p>
        </w:tc>
        <w:tc>
          <w:tcPr>
            <w:tcW w:w="1558" w:type="dxa"/>
          </w:tcPr>
          <w:p w14:paraId="0211349E">
            <w:pPr>
              <w:rPr>
                <w:rFonts w:ascii="Arial"/>
                <w:sz w:val="21"/>
              </w:rPr>
            </w:pPr>
          </w:p>
        </w:tc>
        <w:tc>
          <w:tcPr>
            <w:tcW w:w="2123" w:type="dxa"/>
          </w:tcPr>
          <w:p w14:paraId="0BEE1B6A">
            <w:pPr>
              <w:rPr>
                <w:rFonts w:ascii="Arial"/>
                <w:sz w:val="21"/>
              </w:rPr>
            </w:pPr>
          </w:p>
        </w:tc>
        <w:tc>
          <w:tcPr>
            <w:tcW w:w="1699" w:type="dxa"/>
          </w:tcPr>
          <w:p w14:paraId="741286ED">
            <w:pPr>
              <w:rPr>
                <w:rFonts w:ascii="Arial"/>
                <w:sz w:val="21"/>
              </w:rPr>
            </w:pPr>
          </w:p>
        </w:tc>
        <w:tc>
          <w:tcPr>
            <w:tcW w:w="1562" w:type="dxa"/>
          </w:tcPr>
          <w:p w14:paraId="6B950869">
            <w:pPr>
              <w:rPr>
                <w:rFonts w:ascii="Arial"/>
                <w:sz w:val="21"/>
              </w:rPr>
            </w:pPr>
          </w:p>
        </w:tc>
      </w:tr>
    </w:tbl>
    <w:p w14:paraId="70D6F6D6">
      <w:pPr>
        <w:pStyle w:val="12"/>
      </w:pPr>
    </w:p>
    <w:p w14:paraId="73D10356">
      <w:r>
        <w:br w:type="page"/>
      </w:r>
    </w:p>
    <w:sdt>
      <w:sdtPr>
        <w:rPr>
          <w:rFonts w:ascii="宋体" w:hAnsi="宋体" w:eastAsia="宋体" w:cs="Arial"/>
          <w:snapToGrid w:val="0"/>
          <w:color w:val="000000"/>
          <w:kern w:val="0"/>
          <w:sz w:val="21"/>
          <w:szCs w:val="21"/>
          <w:lang w:val="en-US" w:eastAsia="en-US" w:bidi="ar-SA"/>
        </w:rPr>
        <w:id w:val="147475748"/>
        <w:docPartObj>
          <w:docPartGallery w:val="Table of Contents"/>
          <w:docPartUnique/>
        </w:docPartObj>
      </w:sdtPr>
      <w:sdtEndPr>
        <w:rPr>
          <w:rFonts w:ascii="Arial" w:hAnsi="Arial" w:eastAsia="Arial" w:cs="Arial"/>
          <w:snapToGrid w:val="0"/>
          <w:color w:val="000000"/>
          <w:kern w:val="0"/>
          <w:sz w:val="21"/>
          <w:szCs w:val="21"/>
          <w:lang w:val="en-US" w:eastAsia="en-US" w:bidi="ar-SA"/>
        </w:rPr>
      </w:sdtEndPr>
      <w:sdtContent>
        <w:p w14:paraId="4EF805E5">
          <w:pPr>
            <w:spacing w:before="0" w:beforeLines="0" w:after="0" w:afterLines="0" w:line="240" w:lineRule="auto"/>
            <w:ind w:left="0" w:leftChars="0" w:right="0" w:rightChars="0" w:firstLine="0" w:firstLineChars="0"/>
            <w:jc w:val="center"/>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t>目录</w:t>
          </w:r>
        </w:p>
        <w:p w14:paraId="7A10C91A">
          <w:pPr>
            <w:pStyle w:val="16"/>
            <w:tabs>
              <w:tab w:val="right" w:leader="dot" w:pos="8658"/>
            </w:tabs>
          </w:pPr>
          <w:bookmarkStart w:id="11" w:name="_GoBack"/>
          <w:bookmarkEnd w:id="11"/>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TOC \o "1-3" \h \u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_Toc10709 </w:instrText>
          </w:r>
          <w:r>
            <w:rPr>
              <w:rFonts w:hint="eastAsia" w:ascii="Microsoft JhengHei" w:hAnsi="Microsoft JhengHei" w:eastAsia="Microsoft JhengHei" w:cs="Microsoft JhengHei"/>
              <w:szCs w:val="24"/>
            </w:rPr>
            <w:fldChar w:fldCharType="separate"/>
          </w:r>
          <w:r>
            <w:rPr>
              <w:rFonts w:hint="eastAsia"/>
              <w:lang w:val="en-US" w:eastAsia="zh-CN"/>
            </w:rPr>
            <w:t>服务知识</w:t>
          </w:r>
          <w:r>
            <w:t>应用提升情况总结说明</w:t>
          </w:r>
          <w:r>
            <w:tab/>
          </w:r>
          <w:r>
            <w:fldChar w:fldCharType="begin"/>
          </w:r>
          <w:r>
            <w:instrText xml:space="preserve"> PAGEREF _Toc10709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62B8B67A">
          <w:pPr>
            <w:pStyle w:val="16"/>
            <w:tabs>
              <w:tab w:val="right" w:leader="dot" w:pos="8658"/>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_Toc16135 </w:instrText>
          </w:r>
          <w:r>
            <w:rPr>
              <w:rFonts w:hint="eastAsia" w:ascii="Microsoft JhengHei" w:hAnsi="Microsoft JhengHei" w:eastAsia="Microsoft JhengHei" w:cs="Microsoft JhengHei"/>
              <w:szCs w:val="24"/>
            </w:rPr>
            <w:fldChar w:fldCharType="separate"/>
          </w:r>
          <w:r>
            <w:t>甘肃国邦信息科技有限公司</w:t>
          </w:r>
          <w:r>
            <w:tab/>
          </w:r>
          <w:r>
            <w:fldChar w:fldCharType="begin"/>
          </w:r>
          <w:r>
            <w:instrText xml:space="preserve"> PAGEREF _Toc16135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3602A8E1">
          <w:pPr>
            <w:pStyle w:val="16"/>
            <w:tabs>
              <w:tab w:val="right" w:leader="dot" w:pos="8658"/>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_Toc13366 </w:instrText>
          </w:r>
          <w:r>
            <w:rPr>
              <w:rFonts w:hint="eastAsia" w:ascii="Microsoft JhengHei" w:hAnsi="Microsoft JhengHei" w:eastAsia="Microsoft JhengHei" w:cs="Microsoft JhengHei"/>
              <w:szCs w:val="24"/>
            </w:rPr>
            <w:fldChar w:fldCharType="separate"/>
          </w:r>
          <w:r>
            <w:rPr>
              <w:rFonts w:ascii="宋体" w:hAnsi="宋体" w:eastAsia="宋体" w:cs="宋体"/>
              <w:spacing w:val="-3"/>
              <w:szCs w:val="28"/>
            </w:rPr>
            <w:t>文档信息</w:t>
          </w:r>
          <w:r>
            <w:tab/>
          </w:r>
          <w:r>
            <w:fldChar w:fldCharType="begin"/>
          </w:r>
          <w:r>
            <w:instrText xml:space="preserve"> PAGEREF _Toc13366 \h </w:instrText>
          </w:r>
          <w:r>
            <w:fldChar w:fldCharType="separate"/>
          </w:r>
          <w:r>
            <w:t>2</w:t>
          </w:r>
          <w:r>
            <w:fldChar w:fldCharType="end"/>
          </w:r>
          <w:r>
            <w:rPr>
              <w:rFonts w:hint="eastAsia" w:ascii="Microsoft JhengHei" w:hAnsi="Microsoft JhengHei" w:eastAsia="Microsoft JhengHei" w:cs="Microsoft JhengHei"/>
              <w:szCs w:val="24"/>
            </w:rPr>
            <w:fldChar w:fldCharType="end"/>
          </w:r>
        </w:p>
        <w:p w14:paraId="3503A853">
          <w:pPr>
            <w:pStyle w:val="16"/>
            <w:tabs>
              <w:tab w:val="right" w:leader="dot" w:pos="8658"/>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_Toc16710 </w:instrText>
          </w:r>
          <w:r>
            <w:rPr>
              <w:rFonts w:hint="eastAsia" w:ascii="Microsoft JhengHei" w:hAnsi="Microsoft JhengHei" w:eastAsia="Microsoft JhengHei" w:cs="Microsoft JhengHei"/>
              <w:szCs w:val="24"/>
            </w:rPr>
            <w:fldChar w:fldCharType="separate"/>
          </w:r>
          <w:r>
            <w:rPr>
              <w:rFonts w:hint="default"/>
            </w:rPr>
            <w:t xml:space="preserve">1. </w:t>
          </w:r>
          <w:r>
            <w:rPr>
              <w:rFonts w:hint="eastAsia"/>
              <w:lang w:val="en-US" w:eastAsia="zh-CN"/>
            </w:rPr>
            <w:t>服务知识</w:t>
          </w:r>
          <w:r>
            <w:t>概况</w:t>
          </w:r>
          <w:r>
            <w:tab/>
          </w:r>
          <w:r>
            <w:fldChar w:fldCharType="begin"/>
          </w:r>
          <w:r>
            <w:instrText xml:space="preserve"> PAGEREF _Toc16710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5E2BA897">
          <w:pPr>
            <w:pStyle w:val="16"/>
            <w:tabs>
              <w:tab w:val="right" w:leader="dot" w:pos="8658"/>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_Toc29550 </w:instrText>
          </w:r>
          <w:r>
            <w:rPr>
              <w:rFonts w:hint="eastAsia" w:ascii="Microsoft JhengHei" w:hAnsi="Microsoft JhengHei" w:eastAsia="Microsoft JhengHei" w:cs="Microsoft JhengHei"/>
              <w:szCs w:val="24"/>
            </w:rPr>
            <w:fldChar w:fldCharType="separate"/>
          </w:r>
          <w:r>
            <w:rPr>
              <w:rFonts w:hint="default"/>
            </w:rPr>
            <w:t xml:space="preserve">2. </w:t>
          </w:r>
          <w:r>
            <w:rPr>
              <w:rFonts w:hint="eastAsia"/>
              <w:lang w:eastAsia="zh-CN"/>
            </w:rPr>
            <w:t>服务知识</w:t>
          </w:r>
          <w:r>
            <w:t>的管理</w:t>
          </w:r>
          <w:r>
            <w:tab/>
          </w:r>
          <w:r>
            <w:fldChar w:fldCharType="begin"/>
          </w:r>
          <w:r>
            <w:instrText xml:space="preserve"> PAGEREF _Toc29550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6BB326F1">
          <w:pPr>
            <w:pStyle w:val="17"/>
            <w:tabs>
              <w:tab w:val="right" w:leader="dot" w:pos="8658"/>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_Toc13156 </w:instrText>
          </w:r>
          <w:r>
            <w:rPr>
              <w:rFonts w:hint="eastAsia" w:ascii="Microsoft JhengHei" w:hAnsi="Microsoft JhengHei" w:eastAsia="Microsoft JhengHei" w:cs="Microsoft JhengHei"/>
              <w:szCs w:val="24"/>
            </w:rPr>
            <w:fldChar w:fldCharType="separate"/>
          </w:r>
          <w:r>
            <w:rPr>
              <w:rFonts w:hint="default"/>
            </w:rPr>
            <w:t xml:space="preserve">2.1. </w:t>
          </w:r>
          <w:r>
            <w:t>知识及经验的积累</w:t>
          </w:r>
          <w:r>
            <w:tab/>
          </w:r>
          <w:r>
            <w:fldChar w:fldCharType="begin"/>
          </w:r>
          <w:r>
            <w:instrText xml:space="preserve"> PAGEREF _Toc13156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41843D6C">
          <w:pPr>
            <w:pStyle w:val="17"/>
            <w:tabs>
              <w:tab w:val="right" w:leader="dot" w:pos="8658"/>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_Toc2278 </w:instrText>
          </w:r>
          <w:r>
            <w:rPr>
              <w:rFonts w:hint="eastAsia" w:ascii="Microsoft JhengHei" w:hAnsi="Microsoft JhengHei" w:eastAsia="Microsoft JhengHei" w:cs="Microsoft JhengHei"/>
              <w:szCs w:val="24"/>
            </w:rPr>
            <w:fldChar w:fldCharType="separate"/>
          </w:r>
          <w:r>
            <w:rPr>
              <w:rFonts w:hint="default"/>
            </w:rPr>
            <w:t xml:space="preserve">2.2. </w:t>
          </w:r>
          <w:r>
            <w:t>新员工的培养</w:t>
          </w:r>
          <w:r>
            <w:tab/>
          </w:r>
          <w:r>
            <w:fldChar w:fldCharType="begin"/>
          </w:r>
          <w:r>
            <w:instrText xml:space="preserve"> PAGEREF _Toc2278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38E33005">
          <w:pPr>
            <w:pStyle w:val="17"/>
            <w:tabs>
              <w:tab w:val="right" w:leader="dot" w:pos="8658"/>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_Toc15906 </w:instrText>
          </w:r>
          <w:r>
            <w:rPr>
              <w:rFonts w:hint="eastAsia" w:ascii="Microsoft JhengHei" w:hAnsi="Microsoft JhengHei" w:eastAsia="Microsoft JhengHei" w:cs="Microsoft JhengHei"/>
              <w:szCs w:val="24"/>
            </w:rPr>
            <w:fldChar w:fldCharType="separate"/>
          </w:r>
          <w:r>
            <w:rPr>
              <w:rFonts w:hint="default"/>
            </w:rPr>
            <w:t xml:space="preserve">2.3. </w:t>
          </w:r>
          <w:r>
            <w:t>知识和经验的传承</w:t>
          </w:r>
          <w:r>
            <w:tab/>
          </w:r>
          <w:r>
            <w:fldChar w:fldCharType="begin"/>
          </w:r>
          <w:r>
            <w:instrText xml:space="preserve"> PAGEREF _Toc15906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49226F5B">
          <w:pPr>
            <w:pStyle w:val="17"/>
            <w:tabs>
              <w:tab w:val="right" w:leader="dot" w:pos="8658"/>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_Toc23385 </w:instrText>
          </w:r>
          <w:r>
            <w:rPr>
              <w:rFonts w:hint="eastAsia" w:ascii="Microsoft JhengHei" w:hAnsi="Microsoft JhengHei" w:eastAsia="Microsoft JhengHei" w:cs="Microsoft JhengHei"/>
              <w:szCs w:val="24"/>
            </w:rPr>
            <w:fldChar w:fldCharType="separate"/>
          </w:r>
          <w:r>
            <w:rPr>
              <w:rFonts w:hint="default"/>
            </w:rPr>
            <w:t xml:space="preserve">2.4. </w:t>
          </w:r>
          <w:r>
            <w:t>建设公司的文化</w:t>
          </w:r>
          <w:r>
            <w:tab/>
          </w:r>
          <w:r>
            <w:fldChar w:fldCharType="begin"/>
          </w:r>
          <w:r>
            <w:instrText xml:space="preserve"> PAGEREF _Toc23385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36EE91F1">
          <w:pPr>
            <w:pStyle w:val="17"/>
            <w:tabs>
              <w:tab w:val="right" w:leader="dot" w:pos="8658"/>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_Toc29282 </w:instrText>
          </w:r>
          <w:r>
            <w:rPr>
              <w:rFonts w:hint="eastAsia" w:ascii="Microsoft JhengHei" w:hAnsi="Microsoft JhengHei" w:eastAsia="Microsoft JhengHei" w:cs="Microsoft JhengHei"/>
              <w:szCs w:val="24"/>
            </w:rPr>
            <w:fldChar w:fldCharType="separate"/>
          </w:r>
          <w:r>
            <w:rPr>
              <w:rFonts w:hint="default"/>
            </w:rPr>
            <w:t xml:space="preserve">2.5. </w:t>
          </w:r>
          <w:r>
            <w:t>有效提升工作效率</w:t>
          </w:r>
          <w:r>
            <w:tab/>
          </w:r>
          <w:r>
            <w:fldChar w:fldCharType="begin"/>
          </w:r>
          <w:r>
            <w:instrText xml:space="preserve"> PAGEREF _Toc29282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0FC4DC45">
          <w:pPr>
            <w:pStyle w:val="17"/>
            <w:tabs>
              <w:tab w:val="right" w:leader="dot" w:pos="8658"/>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_Toc12519 </w:instrText>
          </w:r>
          <w:r>
            <w:rPr>
              <w:rFonts w:hint="eastAsia" w:ascii="Microsoft JhengHei" w:hAnsi="Microsoft JhengHei" w:eastAsia="Microsoft JhengHei" w:cs="Microsoft JhengHei"/>
              <w:szCs w:val="24"/>
            </w:rPr>
            <w:fldChar w:fldCharType="separate"/>
          </w:r>
          <w:r>
            <w:rPr>
              <w:rFonts w:hint="default"/>
              <w:lang w:val="en-US" w:eastAsia="zh-CN"/>
            </w:rPr>
            <w:t xml:space="preserve">2.6. </w:t>
          </w:r>
          <w:r>
            <w:rPr>
              <w:rFonts w:hint="eastAsia"/>
              <w:lang w:val="en-US" w:eastAsia="zh-CN"/>
            </w:rPr>
            <w:t>指标完成情况</w:t>
          </w:r>
          <w:r>
            <w:tab/>
          </w:r>
          <w:r>
            <w:fldChar w:fldCharType="begin"/>
          </w:r>
          <w:r>
            <w:instrText xml:space="preserve"> PAGEREF _Toc12519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495D76F0">
          <w:pPr>
            <w:rPr>
              <w:rFonts w:ascii="Arial" w:hAnsi="Arial" w:eastAsia="Arial" w:cs="Arial"/>
              <w:snapToGrid w:val="0"/>
              <w:color w:val="000000"/>
              <w:kern w:val="0"/>
              <w:sz w:val="21"/>
              <w:szCs w:val="21"/>
              <w:lang w:val="en-US" w:eastAsia="en-US" w:bidi="ar-SA"/>
            </w:rPr>
          </w:pPr>
          <w:r>
            <w:rPr>
              <w:rFonts w:hint="eastAsia" w:ascii="Microsoft JhengHei" w:hAnsi="Microsoft JhengHei" w:eastAsia="Microsoft JhengHei" w:cs="Microsoft JhengHei"/>
              <w:szCs w:val="24"/>
            </w:rPr>
            <w:fldChar w:fldCharType="end"/>
          </w:r>
        </w:p>
      </w:sdtContent>
    </w:sdt>
    <w:p w14:paraId="76E3C8F4">
      <w:pPr>
        <w:rPr>
          <w:rFonts w:ascii="Arial" w:hAnsi="Arial" w:eastAsia="Arial" w:cs="Arial"/>
          <w:snapToGrid w:val="0"/>
          <w:color w:val="000000"/>
          <w:kern w:val="0"/>
          <w:sz w:val="21"/>
          <w:szCs w:val="21"/>
          <w:lang w:val="en-US" w:eastAsia="en-US" w:bidi="ar-SA"/>
        </w:rPr>
        <w:sectPr>
          <w:headerReference r:id="rId7" w:type="default"/>
          <w:footerReference r:id="rId8" w:type="default"/>
          <w:pgSz w:w="11906" w:h="16839"/>
          <w:pgMar w:top="400" w:right="1624" w:bottom="1157" w:left="1624" w:header="0" w:footer="990" w:gutter="0"/>
          <w:cols w:space="720" w:num="1"/>
        </w:sectPr>
      </w:pPr>
    </w:p>
    <w:p w14:paraId="2DFC7CEE">
      <w:pPr>
        <w:pStyle w:val="26"/>
        <w:bidi w:val="0"/>
      </w:pPr>
      <w:bookmarkStart w:id="3" w:name="_Toc16710"/>
      <w:r>
        <w:rPr>
          <w:rFonts w:hint="eastAsia"/>
          <w:lang w:val="en-US" w:eastAsia="zh-CN"/>
        </w:rPr>
        <w:t>服务知识</w:t>
      </w:r>
      <w:r>
        <w:t>概况</w:t>
      </w:r>
      <w:bookmarkEnd w:id="3"/>
    </w:p>
    <w:p w14:paraId="6F3B7250">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jc w:val="left"/>
        <w:textAlignment w:val="baseline"/>
        <w:rPr>
          <w:rFonts w:ascii="宋体" w:hAnsi="宋体" w:eastAsia="宋体" w:cs="宋体"/>
          <w:sz w:val="24"/>
          <w:szCs w:val="24"/>
        </w:rPr>
      </w:pPr>
      <w:r>
        <w:rPr>
          <w:rFonts w:hint="eastAsia" w:ascii="宋体" w:hAnsi="宋体" w:eastAsia="宋体" w:cs="宋体"/>
          <w:spacing w:val="-1"/>
          <w:sz w:val="24"/>
          <w:szCs w:val="24"/>
          <w:lang w:val="en-US" w:eastAsia="zh-CN"/>
        </w:rPr>
        <w:t>服务知识</w:t>
      </w:r>
      <w:r>
        <w:rPr>
          <w:rFonts w:ascii="宋体" w:hAnsi="宋体" w:eastAsia="宋体" w:cs="宋体"/>
          <w:spacing w:val="-1"/>
          <w:sz w:val="24"/>
          <w:szCs w:val="24"/>
        </w:rPr>
        <w:t>是知识工程中结构化，易操作，易利用，全面有组织的</w:t>
      </w:r>
      <w:r>
        <w:rPr>
          <w:rFonts w:hint="eastAsia" w:ascii="宋体" w:hAnsi="宋体" w:eastAsia="宋体" w:cs="宋体"/>
          <w:sz w:val="24"/>
          <w:szCs w:val="24"/>
          <w:lang w:eastAsia="zh-CN"/>
        </w:rPr>
        <w:t>服务知识</w:t>
      </w:r>
      <w:r>
        <w:rPr>
          <w:rFonts w:ascii="宋体" w:hAnsi="宋体" w:eastAsia="宋体" w:cs="宋体"/>
          <w:sz w:val="24"/>
          <w:szCs w:val="24"/>
        </w:rPr>
        <w:t>集群，是针对某一(或某些)领域问题求解</w:t>
      </w:r>
      <w:r>
        <w:rPr>
          <w:rFonts w:ascii="宋体" w:hAnsi="宋体" w:eastAsia="宋体" w:cs="宋体"/>
          <w:spacing w:val="-1"/>
          <w:sz w:val="24"/>
          <w:szCs w:val="24"/>
        </w:rPr>
        <w:t>的需要，采用某种(或若干)</w:t>
      </w:r>
      <w:r>
        <w:rPr>
          <w:rFonts w:hint="eastAsia" w:ascii="宋体" w:hAnsi="宋体" w:eastAsia="宋体" w:cs="宋体"/>
          <w:spacing w:val="-1"/>
          <w:sz w:val="24"/>
          <w:szCs w:val="24"/>
          <w:lang w:eastAsia="zh-CN"/>
        </w:rPr>
        <w:t>服务知识</w:t>
      </w:r>
      <w:r>
        <w:rPr>
          <w:rFonts w:ascii="宋体" w:hAnsi="宋体" w:eastAsia="宋体" w:cs="宋体"/>
          <w:sz w:val="24"/>
          <w:szCs w:val="24"/>
        </w:rPr>
        <w:t>表示方式在计算机存储器中存储、组织、</w:t>
      </w:r>
      <w:r>
        <w:rPr>
          <w:rFonts w:ascii="宋体" w:hAnsi="宋体" w:eastAsia="宋体" w:cs="宋体"/>
          <w:spacing w:val="-1"/>
          <w:sz w:val="24"/>
          <w:szCs w:val="24"/>
        </w:rPr>
        <w:t>管理和使用的互相联系的</w:t>
      </w:r>
      <w:r>
        <w:rPr>
          <w:rFonts w:hint="eastAsia" w:ascii="宋体" w:hAnsi="宋体" w:eastAsia="宋体" w:cs="宋体"/>
          <w:spacing w:val="-1"/>
          <w:sz w:val="24"/>
          <w:szCs w:val="24"/>
          <w:lang w:eastAsia="zh-CN"/>
        </w:rPr>
        <w:t>服务知识</w:t>
      </w:r>
      <w:r>
        <w:rPr>
          <w:rFonts w:ascii="宋体" w:hAnsi="宋体" w:eastAsia="宋体" w:cs="宋体"/>
          <w:sz w:val="24"/>
          <w:szCs w:val="24"/>
        </w:rPr>
        <w:t>片集合。这些</w:t>
      </w:r>
      <w:r>
        <w:rPr>
          <w:rFonts w:hint="eastAsia" w:ascii="宋体" w:hAnsi="宋体" w:eastAsia="宋体" w:cs="宋体"/>
          <w:sz w:val="24"/>
          <w:szCs w:val="24"/>
          <w:lang w:val="en-US" w:eastAsia="zh-CN"/>
        </w:rPr>
        <w:t>知识</w:t>
      </w:r>
      <w:r>
        <w:rPr>
          <w:rFonts w:ascii="宋体" w:hAnsi="宋体" w:eastAsia="宋体" w:cs="宋体"/>
          <w:sz w:val="24"/>
          <w:szCs w:val="24"/>
        </w:rPr>
        <w:t>包括与领域相关的理论</w:t>
      </w:r>
      <w:r>
        <w:rPr>
          <w:rFonts w:hint="eastAsia" w:ascii="宋体" w:hAnsi="宋体" w:eastAsia="宋体" w:cs="宋体"/>
          <w:spacing w:val="-1"/>
          <w:sz w:val="24"/>
          <w:szCs w:val="24"/>
          <w:lang w:val="en-US" w:eastAsia="zh-CN"/>
        </w:rPr>
        <w:t>服务知识</w:t>
      </w:r>
      <w:r>
        <w:rPr>
          <w:rFonts w:ascii="宋体" w:hAnsi="宋体" w:eastAsia="宋体" w:cs="宋体"/>
          <w:spacing w:val="-1"/>
          <w:sz w:val="24"/>
          <w:szCs w:val="24"/>
        </w:rPr>
        <w:t>、事实数据，由专家经验</w:t>
      </w:r>
      <w:r>
        <w:rPr>
          <w:rFonts w:ascii="宋体" w:hAnsi="宋体" w:eastAsia="宋体" w:cs="宋体"/>
          <w:sz w:val="24"/>
          <w:szCs w:val="24"/>
        </w:rPr>
        <w:t>得到的启发式</w:t>
      </w:r>
      <w:r>
        <w:rPr>
          <w:rFonts w:hint="eastAsia" w:ascii="宋体" w:hAnsi="宋体" w:eastAsia="宋体" w:cs="宋体"/>
          <w:sz w:val="24"/>
          <w:szCs w:val="24"/>
          <w:lang w:val="en-US" w:eastAsia="zh-CN"/>
        </w:rPr>
        <w:t>服务知识</w:t>
      </w:r>
      <w:r>
        <w:rPr>
          <w:rFonts w:ascii="宋体" w:hAnsi="宋体" w:eastAsia="宋体" w:cs="宋体"/>
          <w:sz w:val="24"/>
          <w:szCs w:val="24"/>
        </w:rPr>
        <w:t>，如某领域内有关的定义</w:t>
      </w:r>
      <w:r>
        <w:rPr>
          <w:rFonts w:ascii="宋体" w:hAnsi="宋体" w:eastAsia="宋体" w:cs="宋体"/>
          <w:spacing w:val="-1"/>
          <w:sz w:val="24"/>
          <w:szCs w:val="24"/>
        </w:rPr>
        <w:t>、定理和运算法则以及常识性</w:t>
      </w:r>
      <w:r>
        <w:rPr>
          <w:rFonts w:hint="eastAsia" w:ascii="宋体" w:hAnsi="宋体" w:eastAsia="宋体" w:cs="宋体"/>
          <w:spacing w:val="-1"/>
          <w:sz w:val="24"/>
          <w:szCs w:val="24"/>
          <w:lang w:eastAsia="zh-CN"/>
        </w:rPr>
        <w:t>服务知识</w:t>
      </w:r>
      <w:r>
        <w:rPr>
          <w:rFonts w:ascii="宋体" w:hAnsi="宋体" w:eastAsia="宋体" w:cs="宋体"/>
          <w:spacing w:val="-10"/>
          <w:sz w:val="24"/>
          <w:szCs w:val="24"/>
        </w:rPr>
        <w:t>等。</w:t>
      </w:r>
    </w:p>
    <w:p w14:paraId="085018CA">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2" w:firstLineChars="200"/>
        <w:jc w:val="left"/>
        <w:textAlignment w:val="baseline"/>
        <w:rPr>
          <w:rFonts w:ascii="宋体" w:hAnsi="宋体" w:eastAsia="宋体" w:cs="宋体"/>
          <w:sz w:val="24"/>
          <w:szCs w:val="24"/>
        </w:rPr>
      </w:pPr>
      <w:r>
        <w:rPr>
          <w:rFonts w:ascii="宋体" w:hAnsi="宋体" w:eastAsia="宋体" w:cs="宋体"/>
          <w:spacing w:val="-2"/>
          <w:sz w:val="24"/>
          <w:szCs w:val="24"/>
        </w:rPr>
        <w:t>公司</w:t>
      </w:r>
      <w:r>
        <w:rPr>
          <w:rFonts w:hint="eastAsia" w:ascii="宋体" w:hAnsi="宋体" w:eastAsia="宋体" w:cs="宋体"/>
          <w:spacing w:val="-2"/>
          <w:sz w:val="24"/>
          <w:szCs w:val="24"/>
          <w:lang w:val="en-US" w:eastAsia="zh-CN"/>
        </w:rPr>
        <w:t>服务知识</w:t>
      </w:r>
      <w:r>
        <w:rPr>
          <w:rFonts w:ascii="宋体" w:hAnsi="宋体" w:eastAsia="宋体" w:cs="宋体"/>
          <w:spacing w:val="-2"/>
          <w:sz w:val="24"/>
          <w:szCs w:val="24"/>
        </w:rPr>
        <w:t>，其中技术知识类文档包括：技术合同、学习文档、技术方案、</w:t>
      </w:r>
      <w:r>
        <w:rPr>
          <w:rFonts w:ascii="宋体" w:hAnsi="宋体" w:eastAsia="宋体" w:cs="宋体"/>
          <w:sz w:val="24"/>
          <w:szCs w:val="24"/>
        </w:rPr>
        <w:t>问题解决方案、产品白皮书、使用手册、操作手册</w:t>
      </w:r>
      <w:r>
        <w:rPr>
          <w:rFonts w:ascii="宋体" w:hAnsi="宋体" w:eastAsia="宋体" w:cs="宋体"/>
          <w:spacing w:val="-1"/>
          <w:sz w:val="24"/>
          <w:szCs w:val="24"/>
        </w:rPr>
        <w:t>、技术类项目管理过程中各</w:t>
      </w:r>
      <w:r>
        <w:rPr>
          <w:rFonts w:ascii="宋体" w:hAnsi="宋体" w:eastAsia="宋体" w:cs="宋体"/>
          <w:spacing w:val="-2"/>
          <w:sz w:val="24"/>
          <w:szCs w:val="24"/>
        </w:rPr>
        <w:t>个环节所形成的管理文档、技术方案及其它形式的文档材料等。</w:t>
      </w:r>
    </w:p>
    <w:p w14:paraId="6D5C1DFB">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2" w:firstLineChars="200"/>
        <w:jc w:val="left"/>
        <w:textAlignment w:val="baseline"/>
        <w:rPr>
          <w:rFonts w:ascii="宋体" w:hAnsi="宋体" w:eastAsia="宋体" w:cs="宋体"/>
          <w:sz w:val="24"/>
          <w:szCs w:val="24"/>
        </w:rPr>
      </w:pPr>
      <w:r>
        <w:rPr>
          <w:rFonts w:ascii="宋体" w:hAnsi="宋体" w:eastAsia="宋体" w:cs="宋体"/>
          <w:spacing w:val="-2"/>
          <w:sz w:val="24"/>
          <w:szCs w:val="24"/>
        </w:rPr>
        <w:t>日常工作案例、技术问题、技术/用户手册及相关的说明文档都可以作为知识纳入</w:t>
      </w:r>
      <w:r>
        <w:rPr>
          <w:rFonts w:hint="eastAsia" w:ascii="宋体" w:hAnsi="宋体" w:eastAsia="宋体" w:cs="宋体"/>
          <w:spacing w:val="-2"/>
          <w:sz w:val="24"/>
          <w:szCs w:val="24"/>
          <w:lang w:val="en-US" w:eastAsia="zh-CN"/>
        </w:rPr>
        <w:t>服务知识</w:t>
      </w:r>
      <w:r>
        <w:rPr>
          <w:rFonts w:ascii="宋体" w:hAnsi="宋体" w:eastAsia="宋体" w:cs="宋体"/>
          <w:spacing w:val="-2"/>
          <w:sz w:val="24"/>
          <w:szCs w:val="24"/>
        </w:rPr>
        <w:t>。知识按照技术服务的对象的不同进行分类，大致分为基础环境、主机运维服务、存储运维服务、网络运维服务、桌面、基础软件、应用软件、</w:t>
      </w:r>
    </w:p>
    <w:p w14:paraId="0B4C6C2E">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2" w:firstLineChars="200"/>
        <w:jc w:val="left"/>
        <w:textAlignment w:val="baseline"/>
        <w:rPr>
          <w:rFonts w:ascii="宋体" w:hAnsi="宋体" w:eastAsia="宋体" w:cs="宋体"/>
          <w:sz w:val="24"/>
          <w:szCs w:val="24"/>
        </w:rPr>
      </w:pPr>
      <w:r>
        <w:rPr>
          <w:rFonts w:ascii="宋体" w:hAnsi="宋体" w:eastAsia="宋体" w:cs="宋体"/>
          <w:spacing w:val="-2"/>
          <w:sz w:val="24"/>
          <w:szCs w:val="24"/>
        </w:rPr>
        <w:t>其它知识等。服务台以及各类工程师都可以使用</w:t>
      </w:r>
      <w:r>
        <w:rPr>
          <w:rFonts w:hint="eastAsia" w:ascii="宋体" w:hAnsi="宋体" w:eastAsia="宋体" w:cs="宋体"/>
          <w:spacing w:val="-2"/>
          <w:sz w:val="24"/>
          <w:szCs w:val="24"/>
          <w:lang w:val="en-US" w:eastAsia="zh-CN"/>
        </w:rPr>
        <w:t>服务知识</w:t>
      </w:r>
      <w:r>
        <w:rPr>
          <w:rFonts w:ascii="宋体" w:hAnsi="宋体" w:eastAsia="宋体" w:cs="宋体"/>
          <w:spacing w:val="-2"/>
          <w:sz w:val="24"/>
          <w:szCs w:val="24"/>
        </w:rPr>
        <w:t>，进行知识</w:t>
      </w:r>
      <w:r>
        <w:rPr>
          <w:rFonts w:ascii="宋体" w:hAnsi="宋体" w:eastAsia="宋体" w:cs="宋体"/>
          <w:spacing w:val="-3"/>
          <w:sz w:val="24"/>
          <w:szCs w:val="24"/>
        </w:rPr>
        <w:t>搜索和查询，</w:t>
      </w:r>
      <w:r>
        <w:rPr>
          <w:rFonts w:ascii="宋体" w:hAnsi="宋体" w:eastAsia="宋体" w:cs="宋体"/>
          <w:sz w:val="24"/>
          <w:szCs w:val="24"/>
        </w:rPr>
        <w:t>并可以提交日常积累的知识。通过近几年的知识积</w:t>
      </w:r>
      <w:r>
        <w:rPr>
          <w:rFonts w:ascii="宋体" w:hAnsi="宋体" w:eastAsia="宋体" w:cs="宋体"/>
          <w:spacing w:val="-1"/>
          <w:sz w:val="24"/>
          <w:szCs w:val="24"/>
        </w:rPr>
        <w:t>累，目前公司</w:t>
      </w:r>
      <w:r>
        <w:rPr>
          <w:rFonts w:hint="eastAsia" w:ascii="宋体" w:hAnsi="宋体" w:eastAsia="宋体" w:cs="宋体"/>
          <w:spacing w:val="-1"/>
          <w:sz w:val="24"/>
          <w:szCs w:val="24"/>
          <w:lang w:eastAsia="zh-CN"/>
        </w:rPr>
        <w:t>服务知识</w:t>
      </w:r>
      <w:r>
        <w:rPr>
          <w:rFonts w:ascii="宋体" w:hAnsi="宋体" w:eastAsia="宋体" w:cs="宋体"/>
          <w:spacing w:val="-1"/>
          <w:sz w:val="24"/>
          <w:szCs w:val="24"/>
        </w:rPr>
        <w:t>知识各</w:t>
      </w:r>
      <w:r>
        <w:rPr>
          <w:rFonts w:ascii="宋体" w:hAnsi="宋体" w:eastAsia="宋体" w:cs="宋体"/>
          <w:spacing w:val="-3"/>
          <w:sz w:val="24"/>
          <w:szCs w:val="24"/>
        </w:rPr>
        <w:t>类数据560余条，为运维工作提供了有力的支持。</w:t>
      </w:r>
    </w:p>
    <w:p w14:paraId="15D423F6">
      <w:pPr>
        <w:pStyle w:val="26"/>
        <w:bidi w:val="0"/>
      </w:pPr>
      <w:bookmarkStart w:id="4" w:name="_Toc29550"/>
      <w:r>
        <w:rPr>
          <w:rFonts w:hint="eastAsia"/>
          <w:lang w:eastAsia="zh-CN"/>
        </w:rPr>
        <w:t>服务知识</w:t>
      </w:r>
      <w:r>
        <w:t>的管理</w:t>
      </w:r>
      <w:bookmarkEnd w:id="4"/>
    </w:p>
    <w:p w14:paraId="0F37951B">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68" w:firstLineChars="200"/>
        <w:jc w:val="left"/>
        <w:textAlignment w:val="baseline"/>
      </w:pPr>
      <w:r>
        <w:rPr>
          <w:rFonts w:ascii="宋体" w:hAnsi="宋体" w:eastAsia="宋体" w:cs="宋体"/>
          <w:spacing w:val="-3"/>
          <w:sz w:val="24"/>
          <w:szCs w:val="24"/>
        </w:rPr>
        <w:t>公司</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的管理是通过</w:t>
      </w:r>
      <w:r>
        <w:rPr>
          <w:rFonts w:hint="eastAsia" w:ascii="宋体" w:hAnsi="宋体" w:eastAsia="宋体" w:cs="宋体"/>
          <w:spacing w:val="-3"/>
          <w:sz w:val="24"/>
          <w:szCs w:val="24"/>
          <w:lang w:val="en-US" w:eastAsia="zh-CN"/>
        </w:rPr>
        <w:t>360安全云数字化协作平台</w:t>
      </w:r>
      <w:r>
        <w:rPr>
          <w:rFonts w:ascii="宋体" w:hAnsi="宋体" w:eastAsia="宋体" w:cs="宋体"/>
          <w:spacing w:val="-3"/>
          <w:sz w:val="24"/>
          <w:szCs w:val="24"/>
        </w:rPr>
        <w:t>的</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管理模块。在工单建立的过程中，可以从</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中搜索匹配的相关知识，提高了运维工程师的故障处理效率。在工单关闭时，运维工程师可以将好的解决经验转换为知识，供其他运维人员使用。通过</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管理功能，IT部门主管可以方便的了解每位工程师的知识贡献排名，确保知识流传工作可以正常运转。</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按照多个级别进行分类，分类信息将和事件模块，问题模块，配置模块保持一致，方便用户快捷检索。</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管理员可以设定知识共享范围，只有在该范围内的支持人员可以共享该知识条目。</w:t>
      </w:r>
    </w:p>
    <w:p w14:paraId="43524F01">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68" w:firstLineChars="200"/>
        <w:jc w:val="left"/>
        <w:textAlignment w:val="baseline"/>
        <w:rPr>
          <w:rFonts w:ascii="宋体" w:hAnsi="宋体" w:eastAsia="宋体" w:cs="宋体"/>
          <w:spacing w:val="-3"/>
          <w:sz w:val="24"/>
          <w:szCs w:val="24"/>
        </w:rPr>
      </w:pPr>
      <w:r>
        <w:rPr>
          <w:rFonts w:hint="eastAsia" w:ascii="宋体" w:hAnsi="宋体" w:eastAsia="宋体" w:cs="宋体"/>
          <w:spacing w:val="-3"/>
          <w:sz w:val="24"/>
          <w:szCs w:val="24"/>
          <w:lang w:val="en-US" w:eastAsia="zh-CN"/>
        </w:rPr>
        <w:t>处置方案建议生成对应的服务知识。</w:t>
      </w:r>
      <w:r>
        <w:rPr>
          <w:rFonts w:ascii="宋体" w:hAnsi="宋体" w:eastAsia="宋体" w:cs="宋体"/>
          <w:spacing w:val="-3"/>
          <w:sz w:val="24"/>
          <w:szCs w:val="24"/>
        </w:rPr>
        <w:t>ITSS对</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的管理要求，实现知识生命周期的有序管理。对公司的运维服务有几方面提升:</w:t>
      </w:r>
    </w:p>
    <w:p w14:paraId="0B3B6EA1">
      <w:pPr>
        <w:pStyle w:val="28"/>
        <w:bidi w:val="0"/>
      </w:pPr>
      <w:bookmarkStart w:id="5" w:name="_Toc13156"/>
      <w:r>
        <w:t>知识及经验的积累</w:t>
      </w:r>
      <w:bookmarkEnd w:id="5"/>
    </w:p>
    <w:p w14:paraId="604FF1AC">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68" w:firstLineChars="200"/>
        <w:jc w:val="left"/>
        <w:textAlignment w:val="baseline"/>
        <w:rPr>
          <w:rFonts w:ascii="宋体" w:hAnsi="宋体" w:eastAsia="宋体" w:cs="宋体"/>
          <w:spacing w:val="-3"/>
          <w:sz w:val="24"/>
          <w:szCs w:val="24"/>
        </w:rPr>
      </w:pPr>
      <w:r>
        <w:rPr>
          <w:rFonts w:ascii="宋体" w:hAnsi="宋体" w:eastAsia="宋体" w:cs="宋体"/>
          <w:spacing w:val="-3"/>
          <w:sz w:val="24"/>
          <w:szCs w:val="24"/>
        </w:rPr>
        <w:t>将存在于每个员工身上的有用的方法和技能征集上来。对于一些业务骨干和技术能手来说他们是不愿意将自己的知识技能传给其他员工的。通过</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的建设可以将他们的方法技能上传到企业的</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里，并且详细注明这些方法技能的作者，这样就能可以极大地增强这些骨干员工的荣誉感，并且通过知识系统，可以做到铁打的营盘，流水的兵。公司知识体系的构建，帮助公司获得高门槛和弹性竞争力，从而使得这些知识技能能够存在企业的</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里有助于在迅速复制。</w:t>
      </w:r>
    </w:p>
    <w:p w14:paraId="6332A20B">
      <w:pPr>
        <w:pStyle w:val="28"/>
        <w:bidi w:val="0"/>
      </w:pPr>
      <w:bookmarkStart w:id="6" w:name="_Toc2278"/>
      <w:r>
        <w:t>新员工的培养</w:t>
      </w:r>
      <w:bookmarkEnd w:id="6"/>
    </w:p>
    <w:p w14:paraId="37E25852">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68" w:firstLineChars="200"/>
        <w:jc w:val="left"/>
        <w:textAlignment w:val="baseline"/>
        <w:rPr>
          <w:rFonts w:ascii="宋体" w:hAnsi="宋体" w:eastAsia="宋体" w:cs="宋体"/>
          <w:spacing w:val="-3"/>
          <w:sz w:val="24"/>
          <w:szCs w:val="24"/>
        </w:rPr>
      </w:pPr>
      <w:r>
        <w:rPr>
          <w:rFonts w:ascii="宋体" w:hAnsi="宋体" w:eastAsia="宋体" w:cs="宋体"/>
          <w:spacing w:val="-3"/>
          <w:sz w:val="24"/>
          <w:szCs w:val="24"/>
        </w:rPr>
        <w:t>基于运维服务团队的人员流动比较大，长时间培训不现实等情况，运维人员都是从日常工作积累中成长起来的。</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是运维服务能力建设和提高的基石，不仅可以为新员工提供所需要的知识和技能，还提供互相交流和学习的平台。</w:t>
      </w:r>
    </w:p>
    <w:p w14:paraId="6CFBAFC3">
      <w:pPr>
        <w:pStyle w:val="28"/>
        <w:bidi w:val="0"/>
      </w:pPr>
      <w:bookmarkStart w:id="7" w:name="_Toc15906"/>
      <w:r>
        <w:t>知识和经验的传承</w:t>
      </w:r>
      <w:bookmarkEnd w:id="7"/>
    </w:p>
    <w:p w14:paraId="43CF5172">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68" w:firstLineChars="200"/>
        <w:jc w:val="left"/>
        <w:textAlignment w:val="baseline"/>
        <w:rPr>
          <w:rFonts w:ascii="宋体" w:hAnsi="宋体" w:eastAsia="宋体" w:cs="宋体"/>
          <w:spacing w:val="-3"/>
          <w:sz w:val="24"/>
          <w:szCs w:val="24"/>
        </w:rPr>
      </w:pPr>
      <w:r>
        <w:rPr>
          <w:rFonts w:ascii="宋体" w:hAnsi="宋体" w:eastAsia="宋体" w:cs="宋体"/>
          <w:spacing w:val="-3"/>
          <w:sz w:val="24"/>
          <w:szCs w:val="24"/>
        </w:rPr>
        <w:t>市场经济时代的到来，使得人才流动成为了常态。有的离职员工通过若干年在工作中的摸爬滚打，不仅掌握了这个岗位所应具备的能力，有的甚至自己有一套行之有效的技能和方法。他们离职后这些独特的技能和方法也会随之不复存在。如果将他们所掌握的技能和方法存入企业的</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中，即使人离开了企业，但是他所创造出的工作技能和方法依然可以继续为企业的经营生产服务，将员工离职给企业造成的损失降到最低。</w:t>
      </w:r>
    </w:p>
    <w:p w14:paraId="5916169A">
      <w:pPr>
        <w:pStyle w:val="28"/>
        <w:bidi w:val="0"/>
      </w:pPr>
      <w:bookmarkStart w:id="8" w:name="_Toc23385"/>
      <w:r>
        <w:t>建设公司的文化</w:t>
      </w:r>
      <w:bookmarkEnd w:id="8"/>
    </w:p>
    <w:p w14:paraId="28C32F65">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68" w:firstLineChars="200"/>
        <w:jc w:val="left"/>
        <w:textAlignment w:val="baseline"/>
        <w:rPr>
          <w:rFonts w:ascii="宋体" w:hAnsi="宋体" w:eastAsia="宋体" w:cs="宋体"/>
          <w:spacing w:val="-3"/>
          <w:sz w:val="24"/>
          <w:szCs w:val="24"/>
        </w:rPr>
      </w:pPr>
      <w:r>
        <w:rPr>
          <w:rFonts w:ascii="宋体" w:hAnsi="宋体" w:eastAsia="宋体" w:cs="宋体"/>
          <w:spacing w:val="-3"/>
          <w:sz w:val="24"/>
          <w:szCs w:val="24"/>
        </w:rPr>
        <w:t>运维服务业务目标和市场定位不同，培训投入的侧重点也大不相同。</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的有效利用可以帮助运维服务人员学到处理问题的技巧和方法，减少犯同样错误的可能。</w:t>
      </w:r>
    </w:p>
    <w:p w14:paraId="4977421A">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68" w:firstLineChars="200"/>
        <w:jc w:val="left"/>
        <w:textAlignment w:val="baseline"/>
        <w:rPr>
          <w:rFonts w:ascii="宋体" w:hAnsi="宋体" w:eastAsia="宋体" w:cs="宋体"/>
          <w:spacing w:val="-3"/>
          <w:sz w:val="24"/>
          <w:szCs w:val="24"/>
        </w:rPr>
      </w:pPr>
      <w:r>
        <w:rPr>
          <w:rFonts w:ascii="宋体" w:hAnsi="宋体" w:eastAsia="宋体" w:cs="宋体"/>
          <w:spacing w:val="-3"/>
          <w:sz w:val="24"/>
          <w:szCs w:val="24"/>
        </w:rPr>
        <w:t>同时通过知识的互动分享，可以让员工有更多的成就感；员工可以发布个人工作经验和总结，促使员工的互动和相互认同获得成长性。</w:t>
      </w:r>
    </w:p>
    <w:p w14:paraId="6F66B998">
      <w:pPr>
        <w:pStyle w:val="28"/>
        <w:bidi w:val="0"/>
      </w:pPr>
      <w:bookmarkStart w:id="9" w:name="_Toc29282"/>
      <w:r>
        <w:t>有效提升工作效率</w:t>
      </w:r>
      <w:bookmarkEnd w:id="9"/>
    </w:p>
    <w:p w14:paraId="50B8CE6A">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68" w:firstLineChars="200"/>
        <w:jc w:val="left"/>
        <w:textAlignment w:val="baseline"/>
        <w:rPr>
          <w:rFonts w:ascii="宋体" w:hAnsi="宋体" w:eastAsia="宋体" w:cs="宋体"/>
          <w:spacing w:val="-3"/>
          <w:sz w:val="24"/>
          <w:szCs w:val="24"/>
        </w:rPr>
      </w:pPr>
      <w:r>
        <w:rPr>
          <w:rFonts w:ascii="宋体" w:hAnsi="宋体" w:eastAsia="宋体" w:cs="宋体"/>
          <w:spacing w:val="-3"/>
          <w:sz w:val="24"/>
          <w:szCs w:val="24"/>
        </w:rPr>
        <w:t>对服务台人员或者一线人员来说，建设</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的目的就是实用。当需要知识时，能够快速地查找，高效地应用。服务台人员接到客户的报障后，</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会自动分析提交事件的关键词，查找统计，分析最贴近的方案并推荐给支持人员，大大节省支持人员的时间，通过内置的</w:t>
      </w:r>
      <w:r>
        <w:rPr>
          <w:rFonts w:hint="eastAsia" w:ascii="宋体" w:hAnsi="宋体" w:eastAsia="宋体" w:cs="宋体"/>
          <w:spacing w:val="-3"/>
          <w:sz w:val="24"/>
          <w:szCs w:val="24"/>
          <w:lang w:eastAsia="zh-CN"/>
        </w:rPr>
        <w:t>服务知识</w:t>
      </w:r>
      <w:r>
        <w:rPr>
          <w:rFonts w:ascii="宋体" w:hAnsi="宋体" w:eastAsia="宋体" w:cs="宋体"/>
          <w:spacing w:val="-3"/>
          <w:sz w:val="24"/>
          <w:szCs w:val="24"/>
        </w:rPr>
        <w:t>，提升故障解决效率。另外，将问题的解决方案，发布成已知错误作为知识，就可以随时供事件处理查找和参考。</w:t>
      </w:r>
    </w:p>
    <w:p w14:paraId="4037B548">
      <w:pPr>
        <w:pStyle w:val="28"/>
        <w:bidi w:val="0"/>
        <w:rPr>
          <w:rFonts w:hint="default"/>
          <w:lang w:val="en-US" w:eastAsia="zh-CN"/>
        </w:rPr>
      </w:pPr>
      <w:bookmarkStart w:id="10" w:name="_Toc12519"/>
      <w:r>
        <w:rPr>
          <w:rFonts w:hint="eastAsia"/>
          <w:lang w:val="en-US" w:eastAsia="zh-CN"/>
        </w:rPr>
        <w:t>指标完成情况</w:t>
      </w:r>
      <w:bookmarkEnd w:id="10"/>
    </w:p>
    <w:p w14:paraId="47435C00">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68" w:firstLineChars="200"/>
        <w:jc w:val="left"/>
        <w:textAlignment w:val="baseline"/>
        <w:rPr>
          <w:rFonts w:hint="default" w:ascii="宋体" w:hAnsi="宋体" w:eastAsia="宋体" w:cs="宋体"/>
          <w:spacing w:val="-3"/>
          <w:sz w:val="24"/>
          <w:szCs w:val="24"/>
          <w:lang w:val="en-US" w:eastAsia="zh-CN"/>
        </w:rPr>
      </w:pPr>
      <w:r>
        <w:rPr>
          <w:rFonts w:hint="eastAsia" w:ascii="宋体" w:hAnsi="宋体" w:eastAsia="宋体" w:cs="宋体"/>
          <w:spacing w:val="-3"/>
          <w:sz w:val="24"/>
          <w:szCs w:val="24"/>
          <w:lang w:val="en-US" w:eastAsia="zh-CN"/>
        </w:rPr>
        <w:t>经统计，2025年第一、二和三季度知识录入条数分别为56、48条、40条，前三季度均满足新增知识条目≥40条的指标要求。</w:t>
      </w:r>
    </w:p>
    <w:sectPr>
      <w:headerReference r:id="rId9" w:type="default"/>
      <w:footerReference r:id="rId10" w:type="default"/>
      <w:pgSz w:w="11906" w:h="16839"/>
      <w:pgMar w:top="400" w:right="948" w:bottom="885" w:left="966" w:header="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4AC0F">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BA74DF">
    <w:pPr>
      <w:spacing w:line="178" w:lineRule="auto"/>
      <w:ind w:left="4289"/>
      <w:rPr>
        <w:rFonts w:ascii="Cambria" w:hAnsi="Cambria" w:eastAsia="Cambria" w:cs="Cambria"/>
        <w:sz w:val="18"/>
        <w:szCs w:val="18"/>
      </w:rPr>
    </w:pPr>
    <w:r>
      <w:rPr>
        <w:rFonts w:ascii="Cambria" w:hAnsi="Cambria" w:eastAsia="Cambria" w:cs="Cambria"/>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60112F">
    <w:pPr>
      <w:spacing w:line="176" w:lineRule="auto"/>
      <w:ind w:left="4947"/>
      <w:rPr>
        <w:rFonts w:ascii="Cambria" w:hAnsi="Cambria" w:eastAsia="Cambria" w:cs="Cambria"/>
        <w:sz w:val="18"/>
        <w:szCs w:val="18"/>
      </w:rPr>
    </w:pPr>
    <w:r>
      <w:rPr>
        <w:rFonts w:ascii="Cambria" w:hAnsi="Cambria" w:eastAsia="Cambria" w:cs="Cambria"/>
        <w:sz w:val="18"/>
        <w:szCs w:val="18"/>
      </w:rPr>
      <w:t>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438233">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98F75">
    <w:pPr>
      <w:pStyle w:val="12"/>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D160D">
    <w:pPr>
      <w:pStyle w:val="12"/>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4586940"/>
    <w:rsid w:val="06742A00"/>
    <w:rsid w:val="069C62F3"/>
    <w:rsid w:val="0B226B74"/>
    <w:rsid w:val="0B655D05"/>
    <w:rsid w:val="12152F8F"/>
    <w:rsid w:val="13516249"/>
    <w:rsid w:val="1573694A"/>
    <w:rsid w:val="17DA1252"/>
    <w:rsid w:val="197B7F92"/>
    <w:rsid w:val="1A3B37AF"/>
    <w:rsid w:val="263749FA"/>
    <w:rsid w:val="290D481F"/>
    <w:rsid w:val="32911D66"/>
    <w:rsid w:val="38F60B75"/>
    <w:rsid w:val="39E419DE"/>
    <w:rsid w:val="452F216C"/>
    <w:rsid w:val="4B0D06CC"/>
    <w:rsid w:val="51AF590D"/>
    <w:rsid w:val="5625176D"/>
    <w:rsid w:val="56A35DEE"/>
    <w:rsid w:val="57984065"/>
    <w:rsid w:val="57B41ECF"/>
    <w:rsid w:val="6E494CC8"/>
    <w:rsid w:val="7E7C4C4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7"/>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1889</Words>
  <Characters>1941</Characters>
  <Lines>0</Lines>
  <Paragraphs>0</Paragraphs>
  <TotalTime>0</TotalTime>
  <ScaleCrop>false</ScaleCrop>
  <LinksUpToDate>false</LinksUpToDate>
  <CharactersWithSpaces>1983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2025-08-15T15:14:00Z</dcterms:created>
  <dc:creator>健 张</dc:creator>
  <cp:lastModifiedBy>郝宇</cp:lastModifiedBy>
  <dcterms:modified xsi:type="dcterms:W3CDTF">2026-01-04T02:21:53Z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2025-08-21T23:13:37Z</vt:filetime>
  </property>
  <property fmtid="{D5CDD505-2E9C-101B-9397-08002B2CF9AE}" pid="3" name="CRO">
    <vt:lpwstr>wqlLaW5nc29mdCBQREYgdG8gV1BTIDExNQ</vt:lpwstr>
  </property>
  <property fmtid="{D5CDD505-2E9C-101B-9397-08002B2CF9AE}" pid="4" name="ICV">
    <vt:lpwstr>A1008F9BB68447CABCE7A15A42A94F38_12</vt:lpwstr>
  </property>
  <property fmtid="{D5CDD505-2E9C-101B-9397-08002B2CF9AE}" pid="5" name="KSOProductBuildVer">
    <vt:lpwstr>2052-12.1.0.24034</vt:lpwstr>
  </property>
  <property fmtid="{D5CDD505-2E9C-101B-9397-08002B2CF9AE}" pid="6" name="KSOTemplateDocerSaveRecord">
    <vt:lpwstr>eyJoZGlkIjoiMDY5NmFjMmM4ZTljMGJiZDAxN2JmYTc0NGI0NmFiNDgiLCJ1c2VySWQiOiIxMDc1MzgyOSJ9</vt:lpwstr>
  </property>
</Properties>
</file>