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3D496E">
      <w:pPr>
        <w:pStyle w:val="12"/>
        <w:spacing w:line="260" w:lineRule="auto"/>
      </w:pPr>
    </w:p>
    <w:p w14:paraId="364A7027">
      <w:pPr>
        <w:pStyle w:val="26"/>
        <w:bidi w:val="0"/>
        <w:rPr>
          <w:rFonts w:hint="default"/>
          <w:lang w:val="en-US" w:eastAsia="zh-CN"/>
        </w:rPr>
      </w:pPr>
      <w:bookmarkStart w:id="0" w:name="_Toc17554"/>
      <w:r>
        <w:rPr>
          <w:rFonts w:hint="eastAsia"/>
          <w:lang w:val="en-US" w:eastAsia="zh-CN"/>
        </w:rPr>
        <w:t>临夏回族自治州中医医院“智慧银医”项目-实施</w:t>
      </w:r>
      <w:bookmarkEnd w:id="0"/>
      <w:r>
        <w:rPr>
          <w:rFonts w:hint="eastAsia"/>
          <w:lang w:val="en-US" w:eastAsia="zh-CN"/>
        </w:rPr>
        <w:t>计划</w:t>
      </w:r>
    </w:p>
    <w:p w14:paraId="794872C3">
      <w:pPr>
        <w:bidi w:val="0"/>
      </w:pPr>
    </w:p>
    <w:p w14:paraId="48C2E5AC">
      <w:pPr>
        <w:pStyle w:val="27"/>
        <w:bidi w:val="0"/>
      </w:pPr>
      <w:bookmarkStart w:id="1" w:name="_Toc6957"/>
      <w:r>
        <w:t>甘肃国邦信息科技有限公司</w:t>
      </w:r>
      <w:bookmarkEnd w:id="1"/>
    </w:p>
    <w:p w14:paraId="7E59F2C8">
      <w:pPr>
        <w:spacing w:before="275"/>
        <w:ind w:left="3285"/>
        <w:rPr>
          <w:rFonts w:ascii="宋体" w:hAnsi="宋体" w:eastAsia="宋体" w:cs="宋体"/>
          <w:spacing w:val="-2"/>
          <w:sz w:val="36"/>
          <w:szCs w:val="36"/>
        </w:rPr>
      </w:pPr>
      <w:r>
        <w:rPr>
          <w:rFonts w:ascii="宋体" w:hAnsi="宋体" w:eastAsia="宋体" w:cs="宋体"/>
          <w:spacing w:val="-2"/>
          <w:sz w:val="36"/>
          <w:szCs w:val="36"/>
        </w:rPr>
        <w:t>202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5</w:t>
      </w:r>
      <w:r>
        <w:rPr>
          <w:rFonts w:ascii="宋体" w:hAnsi="宋体" w:eastAsia="宋体" w:cs="宋体"/>
          <w:spacing w:val="-2"/>
          <w:sz w:val="36"/>
          <w:szCs w:val="36"/>
        </w:rPr>
        <w:t>-01-04</w:t>
      </w:r>
    </w:p>
    <w:p w14:paraId="1A17B4B4">
      <w:pPr>
        <w:rPr>
          <w:rFonts w:ascii="宋体" w:hAnsi="宋体" w:eastAsia="宋体" w:cs="宋体"/>
          <w:spacing w:val="-2"/>
          <w:sz w:val="36"/>
          <w:szCs w:val="36"/>
        </w:rPr>
      </w:pPr>
      <w:r>
        <w:rPr>
          <w:rFonts w:ascii="宋体" w:hAnsi="宋体" w:eastAsia="宋体" w:cs="宋体"/>
          <w:spacing w:val="-2"/>
          <w:sz w:val="36"/>
          <w:szCs w:val="36"/>
        </w:rPr>
        <w:br w:type="page"/>
      </w:r>
    </w:p>
    <w:p w14:paraId="3BE5FFB8">
      <w:pPr>
        <w:spacing w:before="69" w:line="220" w:lineRule="auto"/>
        <w:ind w:left="3954"/>
        <w:outlineLvl w:val="0"/>
        <w:rPr>
          <w:rFonts w:ascii="宋体" w:hAnsi="宋体" w:eastAsia="宋体" w:cs="宋体"/>
          <w:sz w:val="21"/>
          <w:szCs w:val="21"/>
        </w:rPr>
      </w:pPr>
      <w:bookmarkStart w:id="2" w:name="_Toc8147"/>
      <w:bookmarkStart w:id="3" w:name="_Toc7401"/>
      <w:r>
        <w:rPr>
          <w:rFonts w:ascii="宋体" w:hAnsi="宋体" w:eastAsia="宋体" w:cs="宋体"/>
          <w:spacing w:val="-2"/>
          <w:sz w:val="21"/>
          <w:szCs w:val="21"/>
        </w:rPr>
        <w:t>文档信息</w:t>
      </w:r>
      <w:bookmarkEnd w:id="2"/>
      <w:bookmarkEnd w:id="3"/>
    </w:p>
    <w:p w14:paraId="43CF8608">
      <w:pPr>
        <w:spacing w:line="16" w:lineRule="exact"/>
      </w:pPr>
    </w:p>
    <w:tbl>
      <w:tblPr>
        <w:tblStyle w:val="24"/>
        <w:tblW w:w="824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5"/>
        <w:gridCol w:w="1906"/>
        <w:gridCol w:w="1476"/>
        <w:gridCol w:w="1608"/>
      </w:tblGrid>
      <w:tr w14:paraId="19B968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02DBC678">
            <w:pPr>
              <w:pStyle w:val="25"/>
              <w:spacing w:before="19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6545" w:type="dxa"/>
            <w:gridSpan w:val="4"/>
          </w:tcPr>
          <w:p w14:paraId="43D550CB">
            <w:pPr>
              <w:pStyle w:val="25"/>
              <w:spacing w:before="200" w:line="218" w:lineRule="auto"/>
              <w:ind w:left="108"/>
            </w:pPr>
            <w:r>
              <w:rPr>
                <w:rFonts w:hint="eastAsia"/>
                <w:spacing w:val="-1"/>
                <w:lang w:val="en-US" w:eastAsia="zh-CN"/>
              </w:rPr>
              <w:t>项目实施计划</w:t>
            </w:r>
            <w:r>
              <w:rPr>
                <w:spacing w:val="-1"/>
              </w:rPr>
              <w:t>（GSGB-ITSS-</w:t>
            </w:r>
            <w:r>
              <w:rPr>
                <w:rFonts w:hint="eastAsia"/>
                <w:spacing w:val="-1"/>
                <w:lang w:val="en-US" w:eastAsia="zh-CN"/>
              </w:rPr>
              <w:t>XMSSJH</w:t>
            </w:r>
            <w:r>
              <w:rPr>
                <w:spacing w:val="-1"/>
              </w:rPr>
              <w:t>）</w:t>
            </w:r>
          </w:p>
        </w:tc>
      </w:tr>
      <w:tr w14:paraId="6CE306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683F9C62">
            <w:pPr>
              <w:pStyle w:val="25"/>
              <w:spacing w:before="19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6545" w:type="dxa"/>
            <w:gridSpan w:val="4"/>
          </w:tcPr>
          <w:p w14:paraId="298CDD2B">
            <w:pPr>
              <w:pStyle w:val="25"/>
              <w:spacing w:before="197" w:line="219" w:lineRule="auto"/>
              <w:ind w:left="108"/>
            </w:pPr>
            <w:r>
              <w:rPr>
                <w:spacing w:val="-1"/>
              </w:rPr>
              <w:t>甘肃国邦信息科技有限公司</w:t>
            </w:r>
          </w:p>
        </w:tc>
      </w:tr>
      <w:tr w14:paraId="212A11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73FD13CB">
            <w:pPr>
              <w:pStyle w:val="25"/>
              <w:spacing w:before="199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5" w:type="dxa"/>
          </w:tcPr>
          <w:p w14:paraId="4453EC2D">
            <w:pPr>
              <w:pStyle w:val="25"/>
              <w:spacing w:before="199" w:line="219" w:lineRule="auto"/>
              <w:ind w:left="359"/>
            </w:pPr>
            <w:r>
              <w:rPr>
                <w:spacing w:val="-2"/>
              </w:rPr>
              <w:t>版本日期</w:t>
            </w:r>
          </w:p>
        </w:tc>
        <w:tc>
          <w:tcPr>
            <w:tcW w:w="1906" w:type="dxa"/>
          </w:tcPr>
          <w:p w14:paraId="5DBB51B0">
            <w:pPr>
              <w:pStyle w:val="25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476" w:type="dxa"/>
          </w:tcPr>
          <w:p w14:paraId="57A7C91E">
            <w:pPr>
              <w:pStyle w:val="25"/>
              <w:spacing w:before="199" w:line="220" w:lineRule="auto"/>
              <w:ind w:left="575"/>
              <w:jc w:val="left"/>
            </w:pPr>
            <w:r>
              <w:rPr>
                <w:spacing w:val="-3"/>
              </w:rPr>
              <w:t>作者</w:t>
            </w:r>
          </w:p>
        </w:tc>
        <w:tc>
          <w:tcPr>
            <w:tcW w:w="1608" w:type="dxa"/>
          </w:tcPr>
          <w:p w14:paraId="7123BF33">
            <w:pPr>
              <w:pStyle w:val="25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 w14:paraId="49EF82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07FDBD2B">
            <w:pPr>
              <w:pStyle w:val="25"/>
              <w:spacing w:before="163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5" w:type="dxa"/>
          </w:tcPr>
          <w:p w14:paraId="204F4CEF">
            <w:pPr>
              <w:pStyle w:val="25"/>
              <w:spacing w:before="163"/>
              <w:ind w:left="361"/>
            </w:pPr>
            <w:r>
              <w:rPr>
                <w:spacing w:val="-2"/>
              </w:rPr>
              <w:t>20</w:t>
            </w:r>
            <w:r>
              <w:rPr>
                <w:rFonts w:hint="eastAsia" w:eastAsia="宋体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-1-4</w:t>
            </w:r>
          </w:p>
        </w:tc>
        <w:tc>
          <w:tcPr>
            <w:tcW w:w="1906" w:type="dxa"/>
          </w:tcPr>
          <w:p w14:paraId="3B8CDB1F">
            <w:pPr>
              <w:pStyle w:val="25"/>
              <w:spacing w:before="133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476" w:type="dxa"/>
          </w:tcPr>
          <w:p w14:paraId="19F3F7ED">
            <w:pPr>
              <w:pStyle w:val="25"/>
              <w:spacing w:before="134" w:line="220" w:lineRule="auto"/>
              <w:ind w:left="48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胡葛鹏宇</w:t>
            </w:r>
          </w:p>
        </w:tc>
        <w:tc>
          <w:tcPr>
            <w:tcW w:w="1608" w:type="dxa"/>
          </w:tcPr>
          <w:p w14:paraId="75055F09">
            <w:pPr>
              <w:pStyle w:val="25"/>
              <w:spacing w:before="133" w:line="220" w:lineRule="auto"/>
              <w:ind w:left="672"/>
            </w:pPr>
            <w:r>
              <w:rPr>
                <w:spacing w:val="-3"/>
              </w:rPr>
              <w:t>黄益溪</w:t>
            </w:r>
          </w:p>
        </w:tc>
      </w:tr>
      <w:tr w14:paraId="1FB80B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11AFCCE0">
            <w:pPr>
              <w:pStyle w:val="25"/>
              <w:spacing w:before="164" w:line="239" w:lineRule="auto"/>
              <w:ind w:left="638"/>
            </w:pPr>
          </w:p>
        </w:tc>
        <w:tc>
          <w:tcPr>
            <w:tcW w:w="1555" w:type="dxa"/>
          </w:tcPr>
          <w:p w14:paraId="087A7199">
            <w:pPr>
              <w:pStyle w:val="25"/>
              <w:spacing w:before="164"/>
              <w:ind w:left="361"/>
            </w:pPr>
          </w:p>
        </w:tc>
        <w:tc>
          <w:tcPr>
            <w:tcW w:w="1906" w:type="dxa"/>
          </w:tcPr>
          <w:p w14:paraId="1379C907">
            <w:pPr>
              <w:pStyle w:val="25"/>
              <w:spacing w:before="134" w:line="219" w:lineRule="auto"/>
              <w:ind w:left="737"/>
            </w:pPr>
          </w:p>
        </w:tc>
        <w:tc>
          <w:tcPr>
            <w:tcW w:w="1476" w:type="dxa"/>
          </w:tcPr>
          <w:p w14:paraId="79CE1020">
            <w:pPr>
              <w:pStyle w:val="25"/>
              <w:spacing w:before="135" w:line="220" w:lineRule="auto"/>
              <w:ind w:left="480"/>
            </w:pPr>
          </w:p>
        </w:tc>
        <w:tc>
          <w:tcPr>
            <w:tcW w:w="1608" w:type="dxa"/>
          </w:tcPr>
          <w:p w14:paraId="4F300CB4">
            <w:pPr>
              <w:pStyle w:val="25"/>
              <w:spacing w:before="134" w:line="220" w:lineRule="auto"/>
              <w:ind w:left="672"/>
            </w:pPr>
          </w:p>
        </w:tc>
      </w:tr>
      <w:tr w14:paraId="003845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2866C34F">
            <w:pPr>
              <w:pStyle w:val="25"/>
              <w:spacing w:before="165" w:line="239" w:lineRule="auto"/>
              <w:ind w:left="638"/>
            </w:pPr>
          </w:p>
        </w:tc>
        <w:tc>
          <w:tcPr>
            <w:tcW w:w="1555" w:type="dxa"/>
          </w:tcPr>
          <w:p w14:paraId="59DE2D63">
            <w:pPr>
              <w:pStyle w:val="25"/>
              <w:spacing w:before="165"/>
              <w:ind w:left="361"/>
            </w:pPr>
          </w:p>
        </w:tc>
        <w:tc>
          <w:tcPr>
            <w:tcW w:w="1906" w:type="dxa"/>
          </w:tcPr>
          <w:p w14:paraId="705755B1">
            <w:pPr>
              <w:pStyle w:val="25"/>
              <w:spacing w:before="135" w:line="219" w:lineRule="auto"/>
              <w:ind w:left="737"/>
            </w:pPr>
          </w:p>
        </w:tc>
        <w:tc>
          <w:tcPr>
            <w:tcW w:w="1476" w:type="dxa"/>
          </w:tcPr>
          <w:p w14:paraId="025962A0">
            <w:pPr>
              <w:pStyle w:val="25"/>
              <w:spacing w:before="136" w:line="220" w:lineRule="auto"/>
              <w:ind w:left="480"/>
            </w:pPr>
          </w:p>
        </w:tc>
        <w:tc>
          <w:tcPr>
            <w:tcW w:w="1608" w:type="dxa"/>
          </w:tcPr>
          <w:p w14:paraId="757B6D38">
            <w:pPr>
              <w:pStyle w:val="25"/>
              <w:spacing w:before="135" w:line="220" w:lineRule="auto"/>
              <w:ind w:left="672"/>
            </w:pPr>
          </w:p>
        </w:tc>
      </w:tr>
      <w:tr w14:paraId="409056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1FFB01DB">
            <w:pPr>
              <w:pStyle w:val="25"/>
              <w:spacing w:before="166" w:line="239" w:lineRule="auto"/>
              <w:ind w:left="638"/>
            </w:pPr>
          </w:p>
        </w:tc>
        <w:tc>
          <w:tcPr>
            <w:tcW w:w="1555" w:type="dxa"/>
          </w:tcPr>
          <w:p w14:paraId="153D98A4">
            <w:pPr>
              <w:pStyle w:val="25"/>
              <w:spacing w:before="166"/>
              <w:ind w:left="361"/>
            </w:pPr>
          </w:p>
        </w:tc>
        <w:tc>
          <w:tcPr>
            <w:tcW w:w="1906" w:type="dxa"/>
          </w:tcPr>
          <w:p w14:paraId="5A38F3A3">
            <w:pPr>
              <w:pStyle w:val="25"/>
              <w:spacing w:before="136" w:line="219" w:lineRule="auto"/>
              <w:ind w:left="737"/>
            </w:pPr>
          </w:p>
        </w:tc>
        <w:tc>
          <w:tcPr>
            <w:tcW w:w="1476" w:type="dxa"/>
          </w:tcPr>
          <w:p w14:paraId="0E9DCC44">
            <w:pPr>
              <w:pStyle w:val="25"/>
              <w:spacing w:before="137" w:line="220" w:lineRule="auto"/>
              <w:ind w:left="480"/>
            </w:pPr>
          </w:p>
        </w:tc>
        <w:tc>
          <w:tcPr>
            <w:tcW w:w="1608" w:type="dxa"/>
          </w:tcPr>
          <w:p w14:paraId="461B3EAE">
            <w:pPr>
              <w:pStyle w:val="25"/>
              <w:spacing w:before="136" w:line="220" w:lineRule="auto"/>
              <w:ind w:left="672"/>
            </w:pPr>
          </w:p>
        </w:tc>
      </w:tr>
      <w:tr w14:paraId="6EB902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7A8CDFEC">
            <w:pPr>
              <w:rPr>
                <w:rFonts w:ascii="Arial"/>
                <w:sz w:val="21"/>
              </w:rPr>
            </w:pPr>
          </w:p>
        </w:tc>
        <w:tc>
          <w:tcPr>
            <w:tcW w:w="1555" w:type="dxa"/>
          </w:tcPr>
          <w:p w14:paraId="19233A25">
            <w:pPr>
              <w:rPr>
                <w:rFonts w:ascii="Arial"/>
                <w:sz w:val="21"/>
              </w:rPr>
            </w:pPr>
          </w:p>
        </w:tc>
        <w:tc>
          <w:tcPr>
            <w:tcW w:w="1906" w:type="dxa"/>
          </w:tcPr>
          <w:p w14:paraId="64284439">
            <w:pPr>
              <w:rPr>
                <w:rFonts w:ascii="Arial"/>
                <w:sz w:val="21"/>
              </w:rPr>
            </w:pPr>
          </w:p>
        </w:tc>
        <w:tc>
          <w:tcPr>
            <w:tcW w:w="1476" w:type="dxa"/>
          </w:tcPr>
          <w:p w14:paraId="579B1E7B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</w:tcPr>
          <w:p w14:paraId="547F760E">
            <w:pPr>
              <w:rPr>
                <w:rFonts w:ascii="Arial"/>
                <w:sz w:val="21"/>
              </w:rPr>
            </w:pPr>
          </w:p>
        </w:tc>
      </w:tr>
    </w:tbl>
    <w:p w14:paraId="07B4EA70">
      <w:pPr>
        <w:spacing w:before="275"/>
        <w:ind w:left="3285"/>
        <w:rPr>
          <w:rFonts w:ascii="宋体" w:hAnsi="宋体" w:eastAsia="宋体" w:cs="宋体"/>
          <w:spacing w:val="-2"/>
          <w:sz w:val="36"/>
          <w:szCs w:val="36"/>
        </w:rPr>
      </w:pPr>
    </w:p>
    <w:p w14:paraId="5212E560">
      <w:pPr>
        <w:pStyle w:val="12"/>
        <w:spacing w:line="244" w:lineRule="auto"/>
      </w:pPr>
    </w:p>
    <w:p w14:paraId="362D497D">
      <w:pPr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z w:val="28"/>
          <w:szCs w:val="28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6258"/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snapToGrid w:val="0"/>
          <w:color w:val="000000"/>
          <w:kern w:val="0"/>
          <w:sz w:val="21"/>
          <w:szCs w:val="20"/>
          <w:lang w:val="en-US" w:eastAsia="en-US" w:bidi="ar-SA"/>
        </w:rPr>
      </w:sdtEndPr>
      <w:sdtContent>
        <w:p w14:paraId="74B5145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77AAA50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 w:val="20"/>
              <w:szCs w:val="20"/>
            </w:rPr>
            <w:fldChar w:fldCharType="begin"/>
          </w:r>
          <w:r>
            <w:rPr>
              <w:rFonts w:ascii="Calibri" w:hAnsi="Calibri" w:eastAsia="Calibri" w:cs="Calibri"/>
              <w:sz w:val="20"/>
              <w:szCs w:val="20"/>
            </w:rPr>
            <w:instrText xml:space="preserve">TOC \o "1-3" \h \u </w:instrText>
          </w:r>
          <w:r>
            <w:rPr>
              <w:rFonts w:ascii="Calibri" w:hAnsi="Calibri" w:eastAsia="Calibri" w:cs="Calibri"/>
              <w:sz w:val="20"/>
              <w:szCs w:val="20"/>
            </w:rPr>
            <w:fldChar w:fldCharType="separate"/>
          </w: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_Toc17554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eastAsia"/>
              <w:lang w:val="en-US" w:eastAsia="zh-CN"/>
            </w:rPr>
            <w:t>临夏回族自治州中医医院“智慧银医”项目-实施方案</w:t>
          </w:r>
          <w:r>
            <w:tab/>
          </w:r>
          <w:r>
            <w:fldChar w:fldCharType="begin"/>
          </w:r>
          <w:r>
            <w:instrText xml:space="preserve"> PAGEREF _Toc17554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9833A9A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_Toc6957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t>甘肃国邦信息科技有限公司</w:t>
          </w:r>
          <w:r>
            <w:tab/>
          </w:r>
          <w:r>
            <w:fldChar w:fldCharType="begin"/>
          </w:r>
          <w:r>
            <w:instrText xml:space="preserve"> PAGEREF _Toc6957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023FBABC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_Toc8147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ascii="宋体" w:hAnsi="宋体" w:eastAsia="宋体" w:cs="宋体"/>
              <w:spacing w:val="-2"/>
              <w:szCs w:val="21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_Toc8147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7B3E32D1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_Toc11946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项目概述</w:t>
          </w:r>
          <w:r>
            <w:tab/>
          </w:r>
          <w:r>
            <w:fldChar w:fldCharType="begin"/>
          </w:r>
          <w:r>
            <w:instrText xml:space="preserve"> PAGEREF _Toc11946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42F8B24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_Toc18748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rPr>
              <w:rFonts w:hint="eastAsia"/>
            </w:rPr>
            <w:t>项目背景</w:t>
          </w:r>
          <w:r>
            <w:tab/>
          </w:r>
          <w:r>
            <w:fldChar w:fldCharType="begin"/>
          </w:r>
          <w:r>
            <w:instrText xml:space="preserve"> PAGEREF _Toc18748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09E19717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_Toc3059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rPr>
              <w:rFonts w:hint="eastAsia"/>
            </w:rPr>
            <w:t>项目目标</w:t>
          </w:r>
          <w:r>
            <w:tab/>
          </w:r>
          <w:r>
            <w:fldChar w:fldCharType="begin"/>
          </w:r>
          <w:r>
            <w:instrText xml:space="preserve"> PAGEREF _Toc3059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1C2F452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_Toc5495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rPr>
              <w:rFonts w:hint="eastAsia"/>
            </w:rPr>
            <w:t>实施原则</w:t>
          </w:r>
          <w:r>
            <w:tab/>
          </w:r>
          <w:r>
            <w:fldChar w:fldCharType="begin"/>
          </w:r>
          <w:r>
            <w:instrText xml:space="preserve"> PAGEREF _Toc5495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9FB13B6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_Toc10531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实施范围与内容</w:t>
          </w:r>
          <w:r>
            <w:tab/>
          </w:r>
          <w:r>
            <w:fldChar w:fldCharType="begin"/>
          </w:r>
          <w:r>
            <w:instrText xml:space="preserve"> PAGEREF _Toc10531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2A95E318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_Toc11748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</w:rPr>
            <w:t>实施阶段与计划</w:t>
          </w:r>
          <w:r>
            <w:tab/>
          </w:r>
          <w:r>
            <w:fldChar w:fldCharType="begin"/>
          </w:r>
          <w:r>
            <w:instrText xml:space="preserve"> PAGEREF _Toc11748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566F1E43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_Toc12036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第一阶段：项目启动与规划（第1-2周）</w:t>
          </w:r>
          <w:r>
            <w:tab/>
          </w:r>
          <w:r>
            <w:fldChar w:fldCharType="begin"/>
          </w:r>
          <w:r>
            <w:instrText xml:space="preserve"> PAGEREF _Toc12036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ABBE7A7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_Toc20842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第二阶段：系统设计与开发（第3-8周）</w:t>
          </w:r>
          <w:r>
            <w:tab/>
          </w:r>
          <w:r>
            <w:fldChar w:fldCharType="begin"/>
          </w:r>
          <w:r>
            <w:instrText xml:space="preserve"> PAGEREF _Toc20842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F96F755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_Toc15646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第三阶段：部署与集成（第9-12周）</w:t>
          </w:r>
          <w:r>
            <w:tab/>
          </w:r>
          <w:r>
            <w:fldChar w:fldCharType="begin"/>
          </w:r>
          <w:r>
            <w:instrText xml:space="preserve"> PAGEREF _Toc15646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FA2C625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_Toc29886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</w:rPr>
            <w:t>第四阶段：测试与培训（第13-14周）</w:t>
          </w:r>
          <w:r>
            <w:tab/>
          </w:r>
          <w:r>
            <w:fldChar w:fldCharType="begin"/>
          </w:r>
          <w:r>
            <w:instrText xml:space="preserve"> PAGEREF _Toc29886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20642843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_Toc17236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3.5. </w:t>
          </w:r>
          <w:r>
            <w:rPr>
              <w:rFonts w:hint="eastAsia"/>
            </w:rPr>
            <w:t>第五阶段：上线与运维支持（第15周起）</w:t>
          </w:r>
          <w:r>
            <w:tab/>
          </w:r>
          <w:r>
            <w:fldChar w:fldCharType="begin"/>
          </w:r>
          <w:r>
            <w:instrText xml:space="preserve"> PAGEREF _Toc17236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5CE8A1FB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_Toc1567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</w:rPr>
            <w:t>技术实施方案</w:t>
          </w:r>
          <w:r>
            <w:tab/>
          </w:r>
          <w:r>
            <w:fldChar w:fldCharType="begin"/>
          </w:r>
          <w:r>
            <w:instrText xml:space="preserve"> PAGEREF _Toc1567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37BD7236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_Toc17740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rPr>
              <w:rFonts w:hint="eastAsia"/>
            </w:rPr>
            <w:t>系统架构设计</w:t>
          </w:r>
          <w:r>
            <w:tab/>
          </w:r>
          <w:r>
            <w:fldChar w:fldCharType="begin"/>
          </w:r>
          <w:r>
            <w:instrText xml:space="preserve"> PAGEREF _Toc17740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21B39D74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_Toc30602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rPr>
              <w:rFonts w:hint="eastAsia"/>
            </w:rPr>
            <w:t>接口对接方案</w:t>
          </w:r>
          <w:r>
            <w:tab/>
          </w:r>
          <w:r>
            <w:fldChar w:fldCharType="begin"/>
          </w:r>
          <w:r>
            <w:instrText xml:space="preserve"> PAGEREF _Toc30602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214656D9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_Toc15925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rPr>
              <w:rFonts w:hint="eastAsia"/>
            </w:rPr>
            <w:t>安全实施方案</w:t>
          </w:r>
          <w:r>
            <w:tab/>
          </w:r>
          <w:r>
            <w:fldChar w:fldCharType="begin"/>
          </w:r>
          <w:r>
            <w:instrText xml:space="preserve"> PAGEREF _Toc15925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6D38CDE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_Toc20396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rPr>
              <w:rFonts w:hint="eastAsia"/>
            </w:rPr>
            <w:t>性能保障措施</w:t>
          </w:r>
          <w:r>
            <w:tab/>
          </w:r>
          <w:r>
            <w:fldChar w:fldCharType="begin"/>
          </w:r>
          <w:r>
            <w:instrText xml:space="preserve"> PAGEREF _Toc20396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0AAC5A4D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_Toc1813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</w:rPr>
            <w:t>项目管理与组织架构</w:t>
          </w:r>
          <w:r>
            <w:tab/>
          </w:r>
          <w:r>
            <w:fldChar w:fldCharType="begin"/>
          </w:r>
          <w:r>
            <w:instrText xml:space="preserve"> PAGEREF _Toc1813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2ED7E1C9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_Toc31947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rPr>
              <w:rFonts w:hint="eastAsia"/>
            </w:rPr>
            <w:t>项目组织架构</w:t>
          </w:r>
          <w:r>
            <w:tab/>
          </w:r>
          <w:r>
            <w:fldChar w:fldCharType="begin"/>
          </w:r>
          <w:r>
            <w:instrText xml:space="preserve"> PAGEREF _Toc31947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52BDF108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_Toc7368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rPr>
              <w:rFonts w:hint="eastAsia"/>
            </w:rPr>
            <w:t>质量控制措施</w:t>
          </w:r>
          <w:r>
            <w:tab/>
          </w:r>
          <w:r>
            <w:fldChar w:fldCharType="begin"/>
          </w:r>
          <w:r>
            <w:instrText xml:space="preserve"> PAGEREF _Toc7368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F340219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_Toc31397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rPr>
              <w:rFonts w:hint="eastAsia"/>
            </w:rPr>
            <w:t>风险管理</w:t>
          </w:r>
          <w:r>
            <w:tab/>
          </w:r>
          <w:r>
            <w:fldChar w:fldCharType="begin"/>
          </w:r>
          <w:r>
            <w:instrText xml:space="preserve"> PAGEREF _Toc31397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70B5E179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_Toc9218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rPr>
              <w:rFonts w:hint="eastAsia"/>
            </w:rPr>
            <w:t>培训与支持计划</w:t>
          </w:r>
          <w:r>
            <w:tab/>
          </w:r>
          <w:r>
            <w:fldChar w:fldCharType="begin"/>
          </w:r>
          <w:r>
            <w:instrText xml:space="preserve"> PAGEREF _Toc9218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F9458E2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_Toc10688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rPr>
              <w:rFonts w:hint="eastAsia"/>
            </w:rPr>
            <w:t>培训内容</w:t>
          </w:r>
          <w:r>
            <w:tab/>
          </w:r>
          <w:r>
            <w:fldChar w:fldCharType="begin"/>
          </w:r>
          <w:r>
            <w:instrText xml:space="preserve"> PAGEREF _Toc10688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95EB412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_Toc29424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rPr>
              <w:rFonts w:hint="eastAsia"/>
            </w:rPr>
            <w:t>培训方式</w:t>
          </w:r>
          <w:r>
            <w:tab/>
          </w:r>
          <w:r>
            <w:fldChar w:fldCharType="begin"/>
          </w:r>
          <w:r>
            <w:instrText xml:space="preserve"> PAGEREF _Toc29424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77F700B4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_Toc10322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6.3. </w:t>
          </w:r>
          <w:r>
            <w:rPr>
              <w:rFonts w:hint="eastAsia"/>
            </w:rPr>
            <w:t>运维支持</w:t>
          </w:r>
          <w:r>
            <w:tab/>
          </w:r>
          <w:r>
            <w:fldChar w:fldCharType="begin"/>
          </w:r>
          <w:r>
            <w:instrText xml:space="preserve"> PAGEREF _Toc10322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04F60D80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_Toc13514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rPr>
              <w:rFonts w:hint="eastAsia"/>
            </w:rPr>
            <w:t>验收标准与交付物</w:t>
          </w:r>
          <w:r>
            <w:tab/>
          </w:r>
          <w:r>
            <w:fldChar w:fldCharType="begin"/>
          </w:r>
          <w:r>
            <w:instrText xml:space="preserve"> PAGEREF _Toc13514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31375165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_Toc11066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7.1. </w:t>
          </w:r>
          <w:r>
            <w:rPr>
              <w:rFonts w:hint="eastAsia"/>
            </w:rPr>
            <w:t>验收标准</w:t>
          </w:r>
          <w:r>
            <w:tab/>
          </w:r>
          <w:r>
            <w:fldChar w:fldCharType="begin"/>
          </w:r>
          <w:r>
            <w:instrText xml:space="preserve"> PAGEREF _Toc11066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45F6301B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_Toc20302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7.2. </w:t>
          </w:r>
          <w:r>
            <w:rPr>
              <w:rFonts w:hint="eastAsia"/>
            </w:rPr>
            <w:t>交付物清单</w:t>
          </w:r>
          <w:r>
            <w:tab/>
          </w:r>
          <w:r>
            <w:fldChar w:fldCharType="begin"/>
          </w:r>
          <w:r>
            <w:instrText xml:space="preserve"> PAGEREF _Toc20302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5D9BF1C7">
          <w:pPr>
            <w:spacing w:line="228" w:lineRule="auto"/>
            <w:rPr>
              <w:rFonts w:ascii="Calibri" w:hAnsi="Calibri" w:eastAsia="Calibri" w:cs="Calibri"/>
              <w:snapToGrid w:val="0"/>
              <w:color w:val="000000"/>
              <w:kern w:val="0"/>
              <w:sz w:val="21"/>
              <w:szCs w:val="20"/>
              <w:lang w:val="en-US" w:eastAsia="en-US" w:bidi="ar-SA"/>
            </w:rPr>
          </w:pPr>
          <w:r>
            <w:rPr>
              <w:rFonts w:ascii="Calibri" w:hAnsi="Calibri" w:eastAsia="Calibri" w:cs="Calibri"/>
              <w:szCs w:val="20"/>
            </w:rPr>
            <w:fldChar w:fldCharType="end"/>
          </w:r>
        </w:p>
      </w:sdtContent>
    </w:sdt>
    <w:p w14:paraId="2AA0CBC4">
      <w:pPr>
        <w:spacing w:line="228" w:lineRule="auto"/>
        <w:rPr>
          <w:rFonts w:ascii="Calibri" w:hAnsi="Calibri" w:eastAsia="Calibri" w:cs="Calibri"/>
          <w:snapToGrid w:val="0"/>
          <w:color w:val="000000"/>
          <w:kern w:val="0"/>
          <w:sz w:val="21"/>
          <w:szCs w:val="20"/>
          <w:lang w:val="en-US" w:eastAsia="en-US" w:bidi="ar-SA"/>
        </w:rPr>
        <w:sectPr>
          <w:pgSz w:w="11906" w:h="16838"/>
          <w:pgMar w:top="1431" w:right="1785" w:bottom="0" w:left="1785" w:header="0" w:footer="0" w:gutter="0"/>
          <w:cols w:space="720" w:num="1"/>
        </w:sectPr>
      </w:pPr>
    </w:p>
    <w:p w14:paraId="35AB98AE">
      <w:pPr>
        <w:pStyle w:val="28"/>
        <w:bidi w:val="0"/>
        <w:rPr>
          <w:rFonts w:hint="eastAsia"/>
        </w:rPr>
      </w:pPr>
      <w:bookmarkStart w:id="4" w:name="bookmark11"/>
      <w:bookmarkEnd w:id="4"/>
      <w:r>
        <w:rPr>
          <w:rFonts w:hint="eastAsia"/>
        </w:rPr>
        <w:t>项目概述</w:t>
      </w:r>
    </w:p>
    <w:p w14:paraId="240C9DE7">
      <w:pPr>
        <w:pStyle w:val="30"/>
        <w:bidi w:val="0"/>
        <w:rPr>
          <w:rFonts w:hint="eastAsia"/>
        </w:rPr>
      </w:pPr>
      <w:r>
        <w:rPr>
          <w:rFonts w:hint="eastAsia"/>
        </w:rPr>
        <w:t>项目背景</w:t>
      </w:r>
    </w:p>
    <w:p w14:paraId="0C7A59F0">
      <w:pPr>
        <w:pStyle w:val="29"/>
        <w:bidi w:val="0"/>
        <w:rPr>
          <w:rFonts w:hint="eastAsia"/>
        </w:rPr>
      </w:pPr>
      <w:r>
        <w:rPr>
          <w:rFonts w:hint="eastAsia"/>
        </w:rPr>
        <w:t>本计划依据《临夏回族自治州中医医院“智慧银医”项目需求分析报告》与《产品规格说明书》编制，旨在指导“智慧银医”项目的有序实施。项目旨在通过建设统一支付结算平台、门诊及住院自助服务系统，优化患者就医流程，提升医院服务效率与管理水平，全面落实国家“互联网+医疗健康”便民惠民政策。</w:t>
      </w:r>
    </w:p>
    <w:p w14:paraId="43DBD872">
      <w:pPr>
        <w:pStyle w:val="30"/>
        <w:bidi w:val="0"/>
        <w:rPr>
          <w:rFonts w:hint="eastAsia"/>
        </w:rPr>
      </w:pPr>
      <w:r>
        <w:rPr>
          <w:rFonts w:hint="eastAsia"/>
        </w:rPr>
        <w:t>项目目标</w:t>
      </w:r>
    </w:p>
    <w:p w14:paraId="279BD25D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业务目标：实现门诊、住院全流程自助服务，显著减少患者排队时间，缓解窗口压力。</w:t>
      </w:r>
    </w:p>
    <w:p w14:paraId="435B6423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技术目标：建成稳定、安全、高效的“智慧银医”平台，实现与院内HIS、医保等核心系统的无缝对接。</w:t>
      </w:r>
    </w:p>
    <w:p w14:paraId="5DB40E44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管理目标：建立统一的支付对账与财务管理系统，实现资金流、信息流的闭环管理。</w:t>
      </w:r>
    </w:p>
    <w:p w14:paraId="324A0657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体验目标：为患者提供多渠道支付、一站式自助服务的便捷就医体验。</w:t>
      </w:r>
    </w:p>
    <w:p w14:paraId="2FDD3FA7">
      <w:pPr>
        <w:pStyle w:val="30"/>
        <w:bidi w:val="0"/>
        <w:rPr>
          <w:rFonts w:hint="eastAsia"/>
        </w:rPr>
      </w:pPr>
      <w:r>
        <w:rPr>
          <w:rFonts w:hint="eastAsia"/>
        </w:rPr>
        <w:t>项目实施范围</w:t>
      </w:r>
    </w:p>
    <w:p w14:paraId="62918707">
      <w:pPr>
        <w:pStyle w:val="29"/>
        <w:bidi w:val="0"/>
        <w:rPr>
          <w:rFonts w:hint="eastAsia"/>
        </w:rPr>
      </w:pPr>
      <w:r>
        <w:rPr>
          <w:rFonts w:hint="eastAsia"/>
        </w:rPr>
        <w:t>本项目实施范围涵盖以下内容：</w:t>
      </w:r>
    </w:p>
    <w:p w14:paraId="585A2A93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软件系统开发与部署：统一支付结算平台、门诊自助服务系统、住院自助服务系统。</w:t>
      </w:r>
    </w:p>
    <w:p w14:paraId="1431E1FA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硬件设备采购与安装：门诊/住院自助服务终端及相关外设（读卡器、打印机等）。</w:t>
      </w:r>
    </w:p>
    <w:p w14:paraId="70282B13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系统集成与对接：与医院现有HIS系统、省/市医保平台进行接口开发与联调。</w:t>
      </w:r>
    </w:p>
    <w:p w14:paraId="3C8DFA57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全院网络与安全加固：确保系统在内网环境下的安全、稳定运行。</w:t>
      </w:r>
    </w:p>
    <w:p w14:paraId="215EBD9E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培训与上线支持：针对医院管理员、财务人员、导诊人员及运维人员进行系统培训。</w:t>
      </w:r>
    </w:p>
    <w:p w14:paraId="7C66807C">
      <w:pPr>
        <w:pStyle w:val="30"/>
        <w:bidi w:val="0"/>
        <w:rPr>
          <w:rFonts w:hint="eastAsia"/>
        </w:rPr>
      </w:pPr>
      <w:r>
        <w:rPr>
          <w:rFonts w:hint="eastAsia"/>
        </w:rPr>
        <w:t>关键交付成果</w:t>
      </w:r>
    </w:p>
    <w:p w14:paraId="623B8FC9">
      <w:pPr>
        <w:pStyle w:val="29"/>
        <w:bidi w:val="0"/>
        <w:rPr>
          <w:rFonts w:hint="eastAsia"/>
        </w:rPr>
      </w:pPr>
      <w:r>
        <w:rPr>
          <w:rFonts w:hint="eastAsia"/>
        </w:rPr>
        <w:t>可正式运行的“智慧银医”软件系统平台。</w:t>
      </w:r>
    </w:p>
    <w:p w14:paraId="69397EE4">
      <w:pPr>
        <w:pStyle w:val="29"/>
        <w:bidi w:val="0"/>
        <w:rPr>
          <w:rFonts w:hint="eastAsia"/>
        </w:rPr>
      </w:pPr>
      <w:r>
        <w:rPr>
          <w:rFonts w:hint="eastAsia"/>
        </w:rPr>
        <w:t>部署完毕并投入使用的自助服务终端设备。</w:t>
      </w:r>
    </w:p>
    <w:p w14:paraId="7C02ACAC">
      <w:pPr>
        <w:pStyle w:val="29"/>
        <w:bidi w:val="0"/>
        <w:rPr>
          <w:rFonts w:hint="eastAsia"/>
        </w:rPr>
      </w:pPr>
      <w:r>
        <w:rPr>
          <w:rFonts w:hint="eastAsia"/>
        </w:rPr>
        <w:t>全套项目文档（开发文档、部署手册、用户操作手册、培训材料）。</w:t>
      </w:r>
    </w:p>
    <w:p w14:paraId="560D4E26">
      <w:pPr>
        <w:pStyle w:val="29"/>
        <w:bidi w:val="0"/>
        <w:rPr>
          <w:rFonts w:hint="eastAsia"/>
        </w:rPr>
      </w:pPr>
      <w:r>
        <w:rPr>
          <w:rFonts w:hint="eastAsia"/>
        </w:rPr>
        <w:t>通过验收测试并完成上线切换。</w:t>
      </w:r>
    </w:p>
    <w:p w14:paraId="2F59AACA">
      <w:pPr>
        <w:pStyle w:val="29"/>
        <w:bidi w:val="0"/>
        <w:rPr>
          <w:rFonts w:hint="eastAsia"/>
        </w:rPr>
      </w:pPr>
      <w:r>
        <w:rPr>
          <w:rFonts w:hint="eastAsia"/>
        </w:rPr>
        <w:t>完成关键用户培训并提供初期运维支持。</w:t>
      </w:r>
    </w:p>
    <w:p w14:paraId="0329CDD0">
      <w:pPr>
        <w:pStyle w:val="28"/>
        <w:bidi w:val="0"/>
        <w:rPr>
          <w:rFonts w:hint="eastAsia"/>
        </w:rPr>
      </w:pPr>
      <w:r>
        <w:rPr>
          <w:rFonts w:hint="eastAsia"/>
        </w:rPr>
        <w:t>项目组织与职责</w:t>
      </w:r>
    </w:p>
    <w:tbl>
      <w:tblPr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5"/>
        <w:gridCol w:w="2543"/>
        <w:gridCol w:w="4896"/>
      </w:tblGrid>
      <w:tr w14:paraId="34838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E056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角色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687F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所属单位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9CB0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主要职责</w:t>
            </w:r>
          </w:p>
        </w:tc>
      </w:tr>
      <w:tr w14:paraId="485CB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1029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项目领导小组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11B8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院方/国邦科技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1AC6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项目重大决策、资源协调、关键问题裁决。</w:t>
            </w:r>
          </w:p>
        </w:tc>
      </w:tr>
      <w:tr w14:paraId="3F3C3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C3DA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项目经理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68D2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国邦科技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A035F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全面负责项目计划、执行、监控、交付及团队管理。</w:t>
            </w:r>
          </w:p>
        </w:tc>
      </w:tr>
      <w:tr w14:paraId="32265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2A7C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院方项目负责人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49BE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临夏州中医医院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52FE3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协调院内资源，审核业务需求，监督项目质量与进度。</w:t>
            </w:r>
          </w:p>
        </w:tc>
      </w:tr>
      <w:tr w14:paraId="7D809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C8C6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运维部经理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C0D4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国邦科技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F473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负责系统架构设计、技术攻关、开发质量管理。</w:t>
            </w:r>
          </w:p>
        </w:tc>
      </w:tr>
      <w:tr w14:paraId="4D239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3B0A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研发部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2EA0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国邦科技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22A9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负责系统设计、编码、单元测试、集成测试。</w:t>
            </w:r>
          </w:p>
        </w:tc>
      </w:tr>
      <w:tr w14:paraId="3385F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0CE4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运维部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7CFE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国邦科技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842B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负责环境部署、系统配置、数据迁移、上线切换。</w:t>
            </w:r>
          </w:p>
        </w:tc>
      </w:tr>
      <w:tr w14:paraId="01084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38F8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HIS系统接口人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21DC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临夏州中医医院/HIS厂商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58E2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提供HIS接口规范，配合接口联调与测试。</w:t>
            </w:r>
          </w:p>
        </w:tc>
      </w:tr>
      <w:tr w14:paraId="47C07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1DCE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院方关键用户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71FF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临夏州中医医院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4FF54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参与需求确认、功能测试、接受培训，反馈使用意见。</w:t>
            </w:r>
          </w:p>
        </w:tc>
      </w:tr>
      <w:tr w14:paraId="78ABF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C3E2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运维支持团队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5E31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国邦科技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B63B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提供上线后运维支持、问题处理及系统优化。</w:t>
            </w:r>
          </w:p>
        </w:tc>
      </w:tr>
    </w:tbl>
    <w:p w14:paraId="454FC7CD">
      <w:pPr>
        <w:pStyle w:val="29"/>
        <w:rPr>
          <w:rFonts w:hint="eastAsia"/>
        </w:rPr>
      </w:pPr>
    </w:p>
    <w:p w14:paraId="6ECFC3A8">
      <w:pPr>
        <w:pStyle w:val="28"/>
        <w:bidi w:val="0"/>
        <w:rPr>
          <w:rFonts w:hint="eastAsia"/>
        </w:rPr>
      </w:pPr>
      <w:r>
        <w:rPr>
          <w:rFonts w:hint="eastAsia"/>
        </w:rPr>
        <w:t>项目实施详细计划</w:t>
      </w:r>
    </w:p>
    <w:p w14:paraId="72517CB0">
      <w:pPr>
        <w:pStyle w:val="29"/>
        <w:bidi w:val="0"/>
        <w:rPr>
          <w:rFonts w:hint="eastAsia"/>
        </w:rPr>
      </w:pPr>
      <w:r>
        <w:rPr>
          <w:rFonts w:hint="eastAsia"/>
        </w:rPr>
        <w:t>本项目总周期预计为 16周，分为五个主要阶段。</w:t>
      </w:r>
    </w:p>
    <w:p w14:paraId="59A59727">
      <w:pPr>
        <w:pStyle w:val="30"/>
        <w:bidi w:val="0"/>
        <w:rPr>
          <w:rFonts w:hint="eastAsia"/>
        </w:rPr>
      </w:pPr>
      <w:r>
        <w:rPr>
          <w:rFonts w:hint="eastAsia"/>
        </w:rPr>
        <w:t>项目启动与准备</w:t>
      </w:r>
    </w:p>
    <w:p w14:paraId="1BBB7F85">
      <w:pPr>
        <w:pStyle w:val="29"/>
        <w:bidi w:val="0"/>
        <w:rPr>
          <w:rFonts w:hint="default"/>
        </w:rPr>
      </w:pPr>
      <w:r>
        <w:t>目标</w:t>
      </w:r>
      <w:r>
        <w:rPr>
          <w:rFonts w:hint="default"/>
        </w:rPr>
        <w:t>：完成项目团队组建，明确项目目标与范围，确认技术及接口方案。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3"/>
        <w:gridCol w:w="2513"/>
        <w:gridCol w:w="1685"/>
        <w:gridCol w:w="2395"/>
        <w:gridCol w:w="1017"/>
      </w:tblGrid>
      <w:tr w14:paraId="74284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6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C6E5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任务序号</w:t>
            </w:r>
          </w:p>
        </w:tc>
        <w:tc>
          <w:tcPr>
            <w:tcW w:w="251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8F8E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工作内容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0678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责任方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9B27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产出物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6EED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计划周期</w:t>
            </w:r>
          </w:p>
        </w:tc>
      </w:tr>
      <w:tr w14:paraId="3357A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BCA2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1.1</w:t>
            </w:r>
          </w:p>
        </w:tc>
        <w:tc>
          <w:tcPr>
            <w:tcW w:w="251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4B5E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召开项目启动会，宣布项目章程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D870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国邦/院方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3520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《项目启动会纪要》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31848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第1周</w:t>
            </w:r>
          </w:p>
        </w:tc>
      </w:tr>
      <w:tr w14:paraId="7A78F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4A43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1.2</w:t>
            </w:r>
          </w:p>
        </w:tc>
        <w:tc>
          <w:tcPr>
            <w:tcW w:w="251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D3E7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组建项目团队，明确沟通机制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1FE4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国邦/院方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DB5A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《项目组织与沟通计划》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0112E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第1周</w:t>
            </w:r>
          </w:p>
        </w:tc>
      </w:tr>
      <w:tr w14:paraId="1D09E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A834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1.3</w:t>
            </w:r>
          </w:p>
        </w:tc>
        <w:tc>
          <w:tcPr>
            <w:tcW w:w="251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F338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深化需求调研，确认业务流程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B360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国邦/院方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A396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《业务需求确认书》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52A35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第1-2周</w:t>
            </w:r>
          </w:p>
        </w:tc>
      </w:tr>
      <w:tr w14:paraId="47CE4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555D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1.4</w:t>
            </w:r>
          </w:p>
        </w:tc>
        <w:tc>
          <w:tcPr>
            <w:tcW w:w="251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E1CF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确认HIS、医保系统接口技术方案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58F1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国邦/院方/HIS厂商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C5E8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《系统接口技术规格说明书》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7DD2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第2周</w:t>
            </w:r>
          </w:p>
        </w:tc>
      </w:tr>
      <w:tr w14:paraId="4CABD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86A8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1.5</w:t>
            </w:r>
          </w:p>
        </w:tc>
        <w:tc>
          <w:tcPr>
            <w:tcW w:w="251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3266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制定详细项目管理计划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43C9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国邦科技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66B3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《项目实施计划》(本文档)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2512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第2周</w:t>
            </w:r>
          </w:p>
        </w:tc>
      </w:tr>
    </w:tbl>
    <w:p w14:paraId="2140570B">
      <w:pPr>
        <w:pStyle w:val="29"/>
        <w:bidi w:val="0"/>
        <w:rPr>
          <w:rFonts w:hint="eastAsia"/>
        </w:rPr>
      </w:pPr>
    </w:p>
    <w:p w14:paraId="07D0D138">
      <w:pPr>
        <w:pStyle w:val="30"/>
        <w:bidi w:val="0"/>
        <w:rPr>
          <w:rFonts w:hint="eastAsia"/>
        </w:rPr>
      </w:pPr>
      <w:r>
        <w:rPr>
          <w:rFonts w:hint="eastAsia"/>
        </w:rPr>
        <w:t>系统设计与开发</w:t>
      </w:r>
    </w:p>
    <w:p w14:paraId="490FBFA7">
      <w:pPr>
        <w:pStyle w:val="29"/>
        <w:bidi w:val="0"/>
        <w:rPr>
          <w:rFonts w:hint="default"/>
        </w:rPr>
      </w:pPr>
      <w:r>
        <w:t>目标</w:t>
      </w:r>
      <w:r>
        <w:rPr>
          <w:rFonts w:hint="default"/>
        </w:rPr>
        <w:t>：完成系统详细设计、软件开发、单元测试及内部集成。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3"/>
        <w:gridCol w:w="3194"/>
        <w:gridCol w:w="984"/>
        <w:gridCol w:w="2034"/>
        <w:gridCol w:w="984"/>
      </w:tblGrid>
      <w:tr w14:paraId="2805C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73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0924F3">
            <w:pPr>
              <w:rPr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任务序号</w:t>
            </w:r>
          </w:p>
        </w:tc>
        <w:tc>
          <w:tcPr>
            <w:tcW w:w="319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645E5A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工作内容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970933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责任方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1B90A8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产出物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01E5F9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计划周期</w:t>
            </w:r>
          </w:p>
        </w:tc>
      </w:tr>
      <w:tr w14:paraId="17104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BCF0AB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2.1</w:t>
            </w:r>
          </w:p>
        </w:tc>
        <w:tc>
          <w:tcPr>
            <w:tcW w:w="319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FAB751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系统详细设计（数据库、界面、架构）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0AEFBB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国邦科技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8AC020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《系统详细设计说明书》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51F2AAF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第3-4周</w:t>
            </w:r>
          </w:p>
        </w:tc>
      </w:tr>
      <w:tr w14:paraId="0CC8D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B0D176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2.2</w:t>
            </w:r>
          </w:p>
        </w:tc>
        <w:tc>
          <w:tcPr>
            <w:tcW w:w="319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C29546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统一支付平台开发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37E8AE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国邦科技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12A030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统一支付平台模块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127407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第4-7周</w:t>
            </w:r>
          </w:p>
        </w:tc>
      </w:tr>
      <w:tr w14:paraId="1121C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649D7E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2.3</w:t>
            </w:r>
          </w:p>
        </w:tc>
        <w:tc>
          <w:tcPr>
            <w:tcW w:w="319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DE4132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门诊/住院自助服务系统开发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4D5D5E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国邦科技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10F2C9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自助服务系统软件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5AC2DF6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第5-8周</w:t>
            </w:r>
          </w:p>
        </w:tc>
      </w:tr>
      <w:tr w14:paraId="4828B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20E403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2.4</w:t>
            </w:r>
          </w:p>
        </w:tc>
        <w:tc>
          <w:tcPr>
            <w:tcW w:w="319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4E6293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与HIS、医保模拟环境接口开发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9A2857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国邦科技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6CE5F3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接口程序代码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8B73C47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第6-8周</w:t>
            </w:r>
          </w:p>
        </w:tc>
      </w:tr>
      <w:tr w14:paraId="5CC6A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B06610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2.5</w:t>
            </w:r>
          </w:p>
        </w:tc>
        <w:tc>
          <w:tcPr>
            <w:tcW w:w="319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C5DADC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系统内部集成与单元测试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DD0924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国邦科技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BACC1A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《单元测试报告》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4407D57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第7-8周</w:t>
            </w:r>
          </w:p>
        </w:tc>
      </w:tr>
    </w:tbl>
    <w:p w14:paraId="14CA05B4">
      <w:pPr>
        <w:pStyle w:val="30"/>
        <w:bidi w:val="0"/>
        <w:rPr>
          <w:rFonts w:hint="eastAsia"/>
        </w:rPr>
      </w:pPr>
      <w:r>
        <w:rPr>
          <w:rFonts w:hint="eastAsia"/>
        </w:rPr>
        <w:t>集成测试与用户培训</w:t>
      </w:r>
    </w:p>
    <w:p w14:paraId="31A017BE">
      <w:pPr>
        <w:pStyle w:val="29"/>
        <w:bidi w:val="0"/>
      </w:pPr>
      <w:r>
        <w:rPr>
          <w:rFonts w:hint="default"/>
        </w:rPr>
        <w:t>目标：在模拟/测试环境中完成系统集成测试，并对关键用户进行培训。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3"/>
        <w:gridCol w:w="2800"/>
        <w:gridCol w:w="1130"/>
        <w:gridCol w:w="2660"/>
        <w:gridCol w:w="1050"/>
      </w:tblGrid>
      <w:tr w14:paraId="34576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33" w:type="dxa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4C23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任务序号</w:t>
            </w:r>
          </w:p>
        </w:tc>
        <w:tc>
          <w:tcPr>
            <w:tcW w:w="2800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B569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工作内容</w:t>
            </w:r>
          </w:p>
        </w:tc>
        <w:tc>
          <w:tcPr>
            <w:tcW w:w="1130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1019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责任方</w:t>
            </w:r>
          </w:p>
        </w:tc>
        <w:tc>
          <w:tcPr>
            <w:tcW w:w="2660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9514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产出物</w:t>
            </w:r>
          </w:p>
        </w:tc>
        <w:tc>
          <w:tcPr>
            <w:tcW w:w="1050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7CEC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计划周期</w:t>
            </w:r>
          </w:p>
        </w:tc>
      </w:tr>
      <w:tr w14:paraId="40331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33" w:type="dxa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1B0A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3.1</w:t>
            </w:r>
          </w:p>
        </w:tc>
        <w:tc>
          <w:tcPr>
            <w:tcW w:w="2800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ECB4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搭建与生产环境一致的测试环境</w:t>
            </w:r>
          </w:p>
        </w:tc>
        <w:tc>
          <w:tcPr>
            <w:tcW w:w="1130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B015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国邦科技</w:t>
            </w:r>
          </w:p>
        </w:tc>
        <w:tc>
          <w:tcPr>
            <w:tcW w:w="2660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B7D5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项目测试环境</w:t>
            </w:r>
          </w:p>
        </w:tc>
        <w:tc>
          <w:tcPr>
            <w:tcW w:w="1050" w:type="dxa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6F60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第9周</w:t>
            </w:r>
          </w:p>
        </w:tc>
      </w:tr>
      <w:tr w14:paraId="09E36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33" w:type="dxa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430D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3.2</w:t>
            </w:r>
          </w:p>
        </w:tc>
        <w:tc>
          <w:tcPr>
            <w:tcW w:w="2800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A584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自助终端硬件设备到货、验收</w:t>
            </w:r>
          </w:p>
        </w:tc>
        <w:tc>
          <w:tcPr>
            <w:tcW w:w="1130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72CF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国邦/院方</w:t>
            </w:r>
          </w:p>
        </w:tc>
        <w:tc>
          <w:tcPr>
            <w:tcW w:w="2660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831C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《硬件设备验收单》</w:t>
            </w:r>
          </w:p>
        </w:tc>
        <w:tc>
          <w:tcPr>
            <w:tcW w:w="1050" w:type="dxa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6A7D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第9周</w:t>
            </w:r>
          </w:p>
        </w:tc>
      </w:tr>
      <w:tr w14:paraId="1E937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33" w:type="dxa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775C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3.3</w:t>
            </w:r>
          </w:p>
        </w:tc>
        <w:tc>
          <w:tcPr>
            <w:tcW w:w="2800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5A5E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系统集成测试（SIT）</w:t>
            </w:r>
          </w:p>
        </w:tc>
        <w:tc>
          <w:tcPr>
            <w:tcW w:w="1130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D8D7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国邦/院方关键用户</w:t>
            </w:r>
          </w:p>
        </w:tc>
        <w:tc>
          <w:tcPr>
            <w:tcW w:w="2660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5134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《系统集成测试报告》</w:t>
            </w:r>
          </w:p>
        </w:tc>
        <w:tc>
          <w:tcPr>
            <w:tcW w:w="1050" w:type="dxa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6B68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第10周</w:t>
            </w:r>
          </w:p>
        </w:tc>
      </w:tr>
      <w:tr w14:paraId="5953A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33" w:type="dxa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449D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3.4</w:t>
            </w:r>
          </w:p>
        </w:tc>
        <w:tc>
          <w:tcPr>
            <w:tcW w:w="2800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3137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用户验收测试（UAT）准备与执行</w:t>
            </w:r>
          </w:p>
        </w:tc>
        <w:tc>
          <w:tcPr>
            <w:tcW w:w="1130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09A9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院方关键用户/国邦</w:t>
            </w:r>
          </w:p>
        </w:tc>
        <w:tc>
          <w:tcPr>
            <w:tcW w:w="2660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63BB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《用户验收测试报告》</w:t>
            </w:r>
          </w:p>
        </w:tc>
        <w:tc>
          <w:tcPr>
            <w:tcW w:w="1050" w:type="dxa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061A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第10-11周</w:t>
            </w:r>
          </w:p>
        </w:tc>
      </w:tr>
      <w:tr w14:paraId="240FF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33" w:type="dxa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EBEE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3.5</w:t>
            </w:r>
          </w:p>
        </w:tc>
        <w:tc>
          <w:tcPr>
            <w:tcW w:w="2800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AA90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编制用户操作手册、培训教材</w:t>
            </w:r>
          </w:p>
        </w:tc>
        <w:tc>
          <w:tcPr>
            <w:tcW w:w="1130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6738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国邦科技</w:t>
            </w:r>
          </w:p>
        </w:tc>
        <w:tc>
          <w:tcPr>
            <w:tcW w:w="2660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C257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《用户操作手册》、《培训课件》</w:t>
            </w:r>
          </w:p>
        </w:tc>
        <w:tc>
          <w:tcPr>
            <w:tcW w:w="1050" w:type="dxa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266C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第10周</w:t>
            </w:r>
          </w:p>
        </w:tc>
      </w:tr>
      <w:tr w14:paraId="74A05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33" w:type="dxa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4E4E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3.6</w:t>
            </w:r>
          </w:p>
        </w:tc>
        <w:tc>
          <w:tcPr>
            <w:tcW w:w="2800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0E14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关键用户操作培训</w:t>
            </w:r>
          </w:p>
        </w:tc>
        <w:tc>
          <w:tcPr>
            <w:tcW w:w="1130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4D47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国邦科技/院方</w:t>
            </w:r>
          </w:p>
        </w:tc>
        <w:tc>
          <w:tcPr>
            <w:tcW w:w="2660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0A3D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《培训签到表》、《培训反馈记录》</w:t>
            </w:r>
          </w:p>
        </w:tc>
        <w:tc>
          <w:tcPr>
            <w:tcW w:w="1050" w:type="dxa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0C44A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第11周</w:t>
            </w:r>
          </w:p>
        </w:tc>
      </w:tr>
    </w:tbl>
    <w:p w14:paraId="462B65D4">
      <w:pPr>
        <w:pStyle w:val="30"/>
        <w:bidi w:val="0"/>
        <w:rPr>
          <w:rFonts w:hint="eastAsia"/>
        </w:rPr>
      </w:pPr>
      <w:r>
        <w:rPr>
          <w:rFonts w:hint="eastAsia"/>
        </w:rPr>
        <w:t>上线部署与试运行</w:t>
      </w:r>
    </w:p>
    <w:p w14:paraId="415DF431">
      <w:pPr>
        <w:pStyle w:val="18"/>
        <w:keepNext w:val="0"/>
        <w:keepLines w:val="0"/>
        <w:widowControl/>
        <w:suppressLineNumbers w:val="0"/>
        <w:shd w:val="clear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2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目标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：系统在生产环境部署上线，并进入试运行阶段。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0"/>
        <w:gridCol w:w="3084"/>
        <w:gridCol w:w="1175"/>
        <w:gridCol w:w="2184"/>
        <w:gridCol w:w="1107"/>
      </w:tblGrid>
      <w:tr w14:paraId="5A45B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C507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任务序号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B95A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工作内容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8A28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责任方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C5DC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产出物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332F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计划周期</w:t>
            </w:r>
          </w:p>
        </w:tc>
      </w:tr>
      <w:tr w14:paraId="03C08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5421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4.1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C1F7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制定详细上线部署与回滚方案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5F2B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国邦科技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8BF7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《系统上线部署方案》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7AAE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第12周</w:t>
            </w:r>
          </w:p>
        </w:tc>
      </w:tr>
      <w:tr w14:paraId="50D22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91D2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4.2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6D48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生产环境软硬件部署与初始化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CEF1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国邦科技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C516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生产环境系统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D5533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第12-13周</w:t>
            </w:r>
          </w:p>
        </w:tc>
      </w:tr>
      <w:tr w14:paraId="6E55E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3BE8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4.3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1BCA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历史数据迁移（如需）与系统切换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27B3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国邦/院方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19B1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上线切换完成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27922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第13周</w:t>
            </w:r>
          </w:p>
        </w:tc>
      </w:tr>
      <w:tr w14:paraId="08E2E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9BE4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4.4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1AA2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系统正式上线，开始试运行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354E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国邦/院方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CFD0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系统上线发布公告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51DAE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第13周</w:t>
            </w:r>
          </w:p>
        </w:tc>
      </w:tr>
      <w:tr w14:paraId="538ED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E8A3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4.5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5C3A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上线初期现场支持与问题排查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1A2F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国邦科技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EAC7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《上线问题跟踪日志》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C78AD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第13-14周</w:t>
            </w:r>
          </w:p>
        </w:tc>
      </w:tr>
    </w:tbl>
    <w:p w14:paraId="219DB9DD">
      <w:pPr>
        <w:pStyle w:val="29"/>
        <w:rPr>
          <w:rFonts w:hint="eastAsia"/>
        </w:rPr>
      </w:pPr>
    </w:p>
    <w:p w14:paraId="53195E7D">
      <w:pPr>
        <w:pStyle w:val="30"/>
        <w:bidi w:val="0"/>
        <w:rPr>
          <w:rFonts w:hint="eastAsia"/>
        </w:rPr>
      </w:pPr>
      <w:r>
        <w:rPr>
          <w:rFonts w:hint="eastAsia"/>
        </w:rPr>
        <w:t>项目验收与运维移交</w:t>
      </w:r>
    </w:p>
    <w:p w14:paraId="156D2920">
      <w:pPr>
        <w:pStyle w:val="29"/>
        <w:bidi w:val="0"/>
      </w:pPr>
      <w:r>
        <w:rPr>
          <w:rFonts w:hint="default"/>
        </w:rPr>
        <w:t>目标：项目通过正式验收，系统进入正式运维期。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3"/>
        <w:gridCol w:w="2582"/>
        <w:gridCol w:w="1228"/>
        <w:gridCol w:w="2774"/>
        <w:gridCol w:w="976"/>
      </w:tblGrid>
      <w:tr w14:paraId="7920B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13" w:type="dxa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8841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任务序号</w:t>
            </w:r>
          </w:p>
        </w:tc>
        <w:tc>
          <w:tcPr>
            <w:tcW w:w="2582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1222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工作内容</w:t>
            </w:r>
          </w:p>
        </w:tc>
        <w:tc>
          <w:tcPr>
            <w:tcW w:w="1228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C942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责任方</w:t>
            </w:r>
          </w:p>
        </w:tc>
        <w:tc>
          <w:tcPr>
            <w:tcW w:w="2774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8021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产出物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6402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计划周期</w:t>
            </w:r>
          </w:p>
        </w:tc>
      </w:tr>
      <w:tr w14:paraId="0124E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3" w:type="dxa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1611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5.1</w:t>
            </w:r>
          </w:p>
        </w:tc>
        <w:tc>
          <w:tcPr>
            <w:tcW w:w="2582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83AC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试运行问题修复与系统优化</w:t>
            </w:r>
          </w:p>
        </w:tc>
        <w:tc>
          <w:tcPr>
            <w:tcW w:w="1228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794B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国邦科技</w:t>
            </w:r>
          </w:p>
        </w:tc>
        <w:tc>
          <w:tcPr>
            <w:tcW w:w="2774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BE5F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《试运行问题总结与优化报告》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5E356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第15周</w:t>
            </w:r>
          </w:p>
        </w:tc>
      </w:tr>
      <w:tr w14:paraId="5602E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3" w:type="dxa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8A6F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5.2</w:t>
            </w:r>
          </w:p>
        </w:tc>
        <w:tc>
          <w:tcPr>
            <w:tcW w:w="2582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2DC1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整理并提交全部项目交付物</w:t>
            </w:r>
          </w:p>
        </w:tc>
        <w:tc>
          <w:tcPr>
            <w:tcW w:w="1228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2CD6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国邦科技</w:t>
            </w:r>
          </w:p>
        </w:tc>
        <w:tc>
          <w:tcPr>
            <w:tcW w:w="2774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7713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完整项目交付物清单及文件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0EAFB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第15周</w:t>
            </w:r>
          </w:p>
        </w:tc>
      </w:tr>
      <w:tr w14:paraId="0A5DA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3" w:type="dxa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D083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5.3</w:t>
            </w:r>
          </w:p>
        </w:tc>
        <w:tc>
          <w:tcPr>
            <w:tcW w:w="2582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73BF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项目终验评审会</w:t>
            </w:r>
          </w:p>
        </w:tc>
        <w:tc>
          <w:tcPr>
            <w:tcW w:w="1228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2E9B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国邦/院方</w:t>
            </w:r>
          </w:p>
        </w:tc>
        <w:tc>
          <w:tcPr>
            <w:tcW w:w="2774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AD74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《项目终验报告》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F3B9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第16周</w:t>
            </w:r>
          </w:p>
        </w:tc>
      </w:tr>
      <w:tr w14:paraId="01F3C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3" w:type="dxa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D973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5.4</w:t>
            </w:r>
          </w:p>
        </w:tc>
        <w:tc>
          <w:tcPr>
            <w:tcW w:w="2582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F951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签署项目验收合格证书</w:t>
            </w:r>
          </w:p>
        </w:tc>
        <w:tc>
          <w:tcPr>
            <w:tcW w:w="1228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CFAA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国邦/院方</w:t>
            </w:r>
          </w:p>
        </w:tc>
        <w:tc>
          <w:tcPr>
            <w:tcW w:w="2774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B7F8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《项目验收合格证书》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F22F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第16周</w:t>
            </w:r>
          </w:p>
        </w:tc>
      </w:tr>
      <w:tr w14:paraId="05B1E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3" w:type="dxa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7306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5.5</w:t>
            </w:r>
          </w:p>
        </w:tc>
        <w:tc>
          <w:tcPr>
            <w:tcW w:w="2582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1C70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项目总结与知识转移，进入质保运维期</w:t>
            </w:r>
          </w:p>
        </w:tc>
        <w:tc>
          <w:tcPr>
            <w:tcW w:w="1228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B846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国邦科技</w:t>
            </w:r>
          </w:p>
        </w:tc>
        <w:tc>
          <w:tcPr>
            <w:tcW w:w="2774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A2B0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《项目总结报告》、《运维服务交接单》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DC297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第16周</w:t>
            </w:r>
          </w:p>
        </w:tc>
      </w:tr>
    </w:tbl>
    <w:p w14:paraId="7ED032F2">
      <w:pPr>
        <w:pStyle w:val="28"/>
        <w:bidi w:val="0"/>
        <w:rPr>
          <w:rFonts w:hint="eastAsia"/>
        </w:rPr>
      </w:pPr>
      <w:r>
        <w:rPr>
          <w:rFonts w:hint="eastAsia"/>
        </w:rPr>
        <w:t>沟通管理计划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8"/>
        <w:gridCol w:w="1345"/>
        <w:gridCol w:w="3010"/>
        <w:gridCol w:w="2900"/>
      </w:tblGrid>
      <w:tr w14:paraId="14EDF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F15D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会议类型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4091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频率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6DE7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参加人员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7E9C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目标</w:t>
            </w:r>
          </w:p>
        </w:tc>
      </w:tr>
      <w:tr w14:paraId="0C8A9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5BBF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项目周例会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1212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每周一次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5205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项目经理、院方负责人、各小组长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7F63D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同步进展、识别风险、解决问题</w:t>
            </w:r>
          </w:p>
        </w:tc>
      </w:tr>
      <w:tr w14:paraId="48136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FFBC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技术专题会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C0F1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按需召开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2AE2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技术负责人、开发、测试、HIS接口人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8B13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讨论并决策技术方案与接口问题</w:t>
            </w:r>
          </w:p>
        </w:tc>
      </w:tr>
      <w:tr w14:paraId="073FB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9831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阶段评审会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EE31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每阶段结束时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DAFB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项目领导小组、项目核心成员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9B822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评审阶段成果，决策是否进入下一阶段</w:t>
            </w:r>
          </w:p>
        </w:tc>
      </w:tr>
      <w:tr w14:paraId="1D82D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6092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上线部署协调会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D277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上线前后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1E65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项目全体实施人员、院方相关科室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2D2A5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部署任务协调、应急预案确认</w:t>
            </w:r>
          </w:p>
        </w:tc>
      </w:tr>
    </w:tbl>
    <w:p w14:paraId="7F488DC5">
      <w:pPr>
        <w:pStyle w:val="28"/>
        <w:bidi w:val="0"/>
        <w:rPr>
          <w:rFonts w:hint="eastAsia"/>
        </w:rPr>
      </w:pPr>
      <w:r>
        <w:rPr>
          <w:rFonts w:hint="eastAsia"/>
        </w:rPr>
        <w:t>风险管理计划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7"/>
        <w:gridCol w:w="1907"/>
        <w:gridCol w:w="789"/>
        <w:gridCol w:w="860"/>
        <w:gridCol w:w="4090"/>
      </w:tblGrid>
      <w:tr w14:paraId="780BEC7C">
        <w:tblPrEx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0405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风险类别</w:t>
            </w:r>
          </w:p>
        </w:tc>
        <w:tc>
          <w:tcPr>
            <w:tcW w:w="190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A73A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风险</w:t>
            </w: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描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述</w:t>
            </w:r>
          </w:p>
        </w:tc>
        <w:tc>
          <w:tcPr>
            <w:tcW w:w="78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58E3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概率</w:t>
            </w:r>
          </w:p>
        </w:tc>
        <w:tc>
          <w:tcPr>
            <w:tcW w:w="86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B6BD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影响</w:t>
            </w:r>
          </w:p>
        </w:tc>
        <w:tc>
          <w:tcPr>
            <w:tcW w:w="409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EEA2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应对措施</w:t>
            </w:r>
          </w:p>
        </w:tc>
      </w:tr>
      <w:tr w14:paraId="597CD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20F3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技术风险</w:t>
            </w:r>
          </w:p>
        </w:tc>
        <w:tc>
          <w:tcPr>
            <w:tcW w:w="190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1E79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HIS系统接口开发延迟或异常</w:t>
            </w:r>
          </w:p>
        </w:tc>
        <w:tc>
          <w:tcPr>
            <w:tcW w:w="78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CCC0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86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5585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4090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BEC0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提前介入，与HIS厂商建立联合调试机制；制定备选数据交换方案。</w:t>
            </w:r>
          </w:p>
        </w:tc>
      </w:tr>
      <w:tr w14:paraId="64B05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08B8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需求风险</w:t>
            </w:r>
          </w:p>
        </w:tc>
        <w:tc>
          <w:tcPr>
            <w:tcW w:w="190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D3B3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上线后用户提出重大需求变更</w:t>
            </w:r>
          </w:p>
        </w:tc>
        <w:tc>
          <w:tcPr>
            <w:tcW w:w="78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EAE2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86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F1D8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4090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9EE20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严格执行变更控制流程；明确项目范围，对重大变更纳入后期迭代。</w:t>
            </w:r>
          </w:p>
        </w:tc>
      </w:tr>
      <w:tr w14:paraId="6AC9D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168B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实施风险</w:t>
            </w:r>
          </w:p>
        </w:tc>
        <w:tc>
          <w:tcPr>
            <w:tcW w:w="190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F2D1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上线切换期间影响医院正常业务</w:t>
            </w:r>
          </w:p>
        </w:tc>
        <w:tc>
          <w:tcPr>
            <w:tcW w:w="78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471B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86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B020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4090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2A69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制定详尽的离线应急预案和回滚方案；选择业务低峰期（如周末夜间）进行切换。</w:t>
            </w:r>
          </w:p>
        </w:tc>
      </w:tr>
      <w:tr w14:paraId="7DA20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9263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人力资源风险</w:t>
            </w:r>
          </w:p>
        </w:tc>
        <w:tc>
          <w:tcPr>
            <w:tcW w:w="190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563B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关键技术人员或用户代表变动</w:t>
            </w:r>
          </w:p>
        </w:tc>
        <w:tc>
          <w:tcPr>
            <w:tcW w:w="78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F03C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86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AB8F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4090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F5E07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确保项目文档齐全；建立AB角备份机制；加强团队内部知识共享。</w:t>
            </w:r>
          </w:p>
        </w:tc>
      </w:tr>
    </w:tbl>
    <w:p w14:paraId="26761BC6">
      <w:pPr>
        <w:pStyle w:val="29"/>
        <w:rPr>
          <w:rFonts w:hint="eastAsia"/>
        </w:rPr>
      </w:pPr>
    </w:p>
    <w:p w14:paraId="219D3129">
      <w:pPr>
        <w:pStyle w:val="28"/>
        <w:bidi w:val="0"/>
        <w:rPr>
          <w:rFonts w:hint="eastAsia"/>
        </w:rPr>
      </w:pPr>
      <w:r>
        <w:rPr>
          <w:rFonts w:hint="eastAsia"/>
        </w:rPr>
        <w:t>质量保证与验收标准</w:t>
      </w:r>
    </w:p>
    <w:p w14:paraId="1B880DA9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eastAsia"/>
        </w:rPr>
      </w:pPr>
      <w:bookmarkStart w:id="5" w:name="_GoBack"/>
      <w:r>
        <w:rPr>
          <w:rFonts w:hint="eastAsia"/>
        </w:rPr>
        <w:t>功能符合性：系统功能必须100%满足《产品规格说明书》中定义的需求。</w:t>
      </w:r>
    </w:p>
    <w:p w14:paraId="79D17171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性能达标：关键交易响应时间需满足“千万级数据查询≤2秒”等性能指标。</w:t>
      </w:r>
    </w:p>
    <w:p w14:paraId="75D6A718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安全合规：通过基础的安全扫描，确保无高风险漏洞；权限控制、日志审计等功能完备。</w:t>
      </w:r>
    </w:p>
    <w:p w14:paraId="70ACB539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文档完整性：交付全部约定的文档，内容准确、完整。</w:t>
      </w:r>
    </w:p>
    <w:p w14:paraId="79E89CC7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用户培训：关键用户培训覆盖率达100%，培训考核合格。</w:t>
      </w:r>
    </w:p>
    <w:p w14:paraId="2C9DC0E0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eastAsia"/>
        </w:rPr>
        <w:t>试运行稳定：系统试运行期间，无重大（P0/P1级）故障发生，业务连续运行稳定。</w:t>
      </w:r>
    </w:p>
    <w:bookmarkEnd w:id="5"/>
    <w:sectPr>
      <w:headerReference r:id="rId5" w:type="default"/>
      <w:pgSz w:w="11906" w:h="16838"/>
      <w:pgMar w:top="400" w:right="1740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5A11AA">
    <w:pPr>
      <w:pStyle w:val="12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4D536B8"/>
    <w:multiLevelType w:val="singleLevel"/>
    <w:tmpl w:val="B4D536B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44F63152"/>
    <w:multiLevelType w:val="singleLevel"/>
    <w:tmpl w:val="44F6315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4B76FB70"/>
    <w:multiLevelType w:val="singleLevel"/>
    <w:tmpl w:val="4B76FB7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3B643A"/>
    <w:rsid w:val="010A5E21"/>
    <w:rsid w:val="01376D9B"/>
    <w:rsid w:val="03F23D2C"/>
    <w:rsid w:val="04073203"/>
    <w:rsid w:val="04190023"/>
    <w:rsid w:val="04E83035"/>
    <w:rsid w:val="062A4F87"/>
    <w:rsid w:val="06812F53"/>
    <w:rsid w:val="06E8731C"/>
    <w:rsid w:val="0865674A"/>
    <w:rsid w:val="088210AA"/>
    <w:rsid w:val="08B17BE1"/>
    <w:rsid w:val="09465165"/>
    <w:rsid w:val="0A037FC9"/>
    <w:rsid w:val="0E6A6868"/>
    <w:rsid w:val="0FA1450C"/>
    <w:rsid w:val="10866BAD"/>
    <w:rsid w:val="16873D30"/>
    <w:rsid w:val="172A3039"/>
    <w:rsid w:val="19464D98"/>
    <w:rsid w:val="198F2C96"/>
    <w:rsid w:val="1A3366A8"/>
    <w:rsid w:val="1B7C7BDB"/>
    <w:rsid w:val="1CBB4733"/>
    <w:rsid w:val="1D48246B"/>
    <w:rsid w:val="1E5B61CE"/>
    <w:rsid w:val="1FBE6A14"/>
    <w:rsid w:val="20986000"/>
    <w:rsid w:val="22482F0D"/>
    <w:rsid w:val="228201CD"/>
    <w:rsid w:val="22943A5C"/>
    <w:rsid w:val="232474D6"/>
    <w:rsid w:val="23EC3D11"/>
    <w:rsid w:val="25E20C40"/>
    <w:rsid w:val="26802C75"/>
    <w:rsid w:val="27186243"/>
    <w:rsid w:val="27A42993"/>
    <w:rsid w:val="290556B4"/>
    <w:rsid w:val="2A0E0598"/>
    <w:rsid w:val="2B7C7221"/>
    <w:rsid w:val="2C6C4D47"/>
    <w:rsid w:val="2CF25F4F"/>
    <w:rsid w:val="2E530C6F"/>
    <w:rsid w:val="2EF02962"/>
    <w:rsid w:val="322664D2"/>
    <w:rsid w:val="33574D5E"/>
    <w:rsid w:val="342002E1"/>
    <w:rsid w:val="360B0081"/>
    <w:rsid w:val="36CE4427"/>
    <w:rsid w:val="385B709E"/>
    <w:rsid w:val="395C1C6F"/>
    <w:rsid w:val="3A8B7453"/>
    <w:rsid w:val="3B300A0F"/>
    <w:rsid w:val="3C6A5B02"/>
    <w:rsid w:val="3CF63839"/>
    <w:rsid w:val="3DA46DF1"/>
    <w:rsid w:val="3DF32A45"/>
    <w:rsid w:val="3E3D0FF4"/>
    <w:rsid w:val="3E720C9E"/>
    <w:rsid w:val="3E8C122A"/>
    <w:rsid w:val="3ECD432C"/>
    <w:rsid w:val="3EEA2F2A"/>
    <w:rsid w:val="3F2A1578"/>
    <w:rsid w:val="3FE931E1"/>
    <w:rsid w:val="3FF12096"/>
    <w:rsid w:val="3FFD4EDF"/>
    <w:rsid w:val="407451A1"/>
    <w:rsid w:val="42731488"/>
    <w:rsid w:val="42B04734"/>
    <w:rsid w:val="42ED2FE9"/>
    <w:rsid w:val="430976F7"/>
    <w:rsid w:val="43372AFC"/>
    <w:rsid w:val="434D31F4"/>
    <w:rsid w:val="45230F44"/>
    <w:rsid w:val="4597548E"/>
    <w:rsid w:val="45AC08C1"/>
    <w:rsid w:val="45CA13BF"/>
    <w:rsid w:val="464A3349"/>
    <w:rsid w:val="47AB62D1"/>
    <w:rsid w:val="47E1141E"/>
    <w:rsid w:val="480E1DCD"/>
    <w:rsid w:val="481D3E1B"/>
    <w:rsid w:val="495D254A"/>
    <w:rsid w:val="49EE011A"/>
    <w:rsid w:val="4F471CD3"/>
    <w:rsid w:val="523F4EE3"/>
    <w:rsid w:val="531E0F9C"/>
    <w:rsid w:val="534A1D91"/>
    <w:rsid w:val="53E73A84"/>
    <w:rsid w:val="56064CB0"/>
    <w:rsid w:val="570E7A86"/>
    <w:rsid w:val="57633CE5"/>
    <w:rsid w:val="598F49A2"/>
    <w:rsid w:val="59C1070F"/>
    <w:rsid w:val="5A0E1D6B"/>
    <w:rsid w:val="5BBB1A7E"/>
    <w:rsid w:val="5D651636"/>
    <w:rsid w:val="5D740137"/>
    <w:rsid w:val="5DD74D90"/>
    <w:rsid w:val="5E9F7435"/>
    <w:rsid w:val="5FDC0215"/>
    <w:rsid w:val="606C1599"/>
    <w:rsid w:val="61475B62"/>
    <w:rsid w:val="6223037D"/>
    <w:rsid w:val="62582A4B"/>
    <w:rsid w:val="62AF447A"/>
    <w:rsid w:val="63391F7B"/>
    <w:rsid w:val="63666773"/>
    <w:rsid w:val="63A23524"/>
    <w:rsid w:val="64557053"/>
    <w:rsid w:val="654E74BF"/>
    <w:rsid w:val="66B477F6"/>
    <w:rsid w:val="66CA7019"/>
    <w:rsid w:val="67544B35"/>
    <w:rsid w:val="67F85DF9"/>
    <w:rsid w:val="683706DE"/>
    <w:rsid w:val="6ABE50E7"/>
    <w:rsid w:val="6B197DF0"/>
    <w:rsid w:val="6BB67B6C"/>
    <w:rsid w:val="6BD44496"/>
    <w:rsid w:val="6F410095"/>
    <w:rsid w:val="70946B31"/>
    <w:rsid w:val="71F46A46"/>
    <w:rsid w:val="725E0484"/>
    <w:rsid w:val="72A05985"/>
    <w:rsid w:val="74AF5AA0"/>
    <w:rsid w:val="75475CD9"/>
    <w:rsid w:val="75C94940"/>
    <w:rsid w:val="76592168"/>
    <w:rsid w:val="77C16248"/>
    <w:rsid w:val="781C344D"/>
    <w:rsid w:val="785176A8"/>
    <w:rsid w:val="78E52D65"/>
    <w:rsid w:val="790C1713"/>
    <w:rsid w:val="7A080AFF"/>
    <w:rsid w:val="7A996FD7"/>
    <w:rsid w:val="7ADE49EA"/>
    <w:rsid w:val="7B5178B1"/>
    <w:rsid w:val="7E3275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1832</Words>
  <Characters>2008</Characters>
  <Lines>0</Lines>
  <Paragraphs>0</Paragraphs>
  <TotalTime>0</TotalTime>
  <ScaleCrop>false</ScaleCrop>
  <LinksUpToDate>false</LinksUpToDate>
  <CharactersWithSpaces>2125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2025-08-21T08:48:00Z</dcterms:created>
  <dc:creator>18442</dc:creator>
  <cp:lastModifiedBy>郝宇</cp:lastModifiedBy>
  <dcterms:modified xsi:type="dcterms:W3CDTF">2026-01-03T03:08:20Z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2025-08-21T16:43:54Z</vt:filetime>
  </property>
  <property fmtid="{D5CDD505-2E9C-101B-9397-08002B2CF9AE}" pid="3" name="CRO">
    <vt:lpwstr>wqlLaW5nc29mdCBQREYgdG8gV1BTIDExNQ</vt:lpwstr>
  </property>
  <property fmtid="{D5CDD505-2E9C-101B-9397-08002B2CF9AE}" pid="4" name="ICV">
    <vt:lpwstr>22E2BC15CE804118916ED915060B47E6_12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