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ind w:firstLine="0" w:firstLineChars="0"/>
        <w:jc w:val="center"/>
        <w:rPr>
          <w:rFonts w:ascii="微软雅黑" w:eastAsia="微软雅黑" w:hAnsi="微软雅黑" w:cs="微软雅黑" w:hint="eastAsia"/>
          <w:lang w:eastAsia="zh-CN"/>
        </w:rPr>
      </w:pPr>
      <w:r>
        <w:rPr>
          <w:rFonts w:ascii="微软雅黑" w:eastAsia="微软雅黑" w:hAnsi="微软雅黑" w:cs="微软雅黑" w:hint="eastAsia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-1243330</wp:posOffset>
            </wp:positionH>
            <wp:positionV relativeFrom="paragraph">
              <wp:posOffset>-1377315</wp:posOffset>
            </wp:positionV>
            <wp:extent cx="7776210" cy="11254105"/>
            <wp:effectExtent l="0" t="0" r="15240" b="4445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76210" cy="112541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ind w:firstLine="0" w:firstLineChars="0"/>
        <w:jc w:val="center"/>
        <w:rPr>
          <w:rFonts w:ascii="微软雅黑" w:eastAsia="微软雅黑" w:hAnsi="微软雅黑" w:cs="微软雅黑" w:hint="eastAsia"/>
          <w:lang w:val="en-US" w:eastAsia="zh-CN"/>
        </w:rPr>
      </w:pPr>
    </w:p>
    <w:p>
      <w:pPr>
        <w:tabs>
          <w:tab w:val="left" w:pos="0"/>
        </w:tabs>
        <w:spacing w:line="1000" w:lineRule="exact"/>
        <w:ind w:left="0" w:firstLine="0" w:leftChars="0" w:firstLineChars="0"/>
        <w:jc w:val="both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</w:p>
    <w:p>
      <w:pPr>
        <w:tabs>
          <w:tab w:val="left" w:pos="0"/>
        </w:tabs>
        <w:spacing w:line="1000" w:lineRule="exact"/>
        <w:ind w:left="0" w:firstLine="0" w:leftChars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  <w:t>甘肃国邦信息科技有限公司</w:t>
      </w:r>
    </w:p>
    <w:p>
      <w:pPr>
        <w:tabs>
          <w:tab w:val="left" w:pos="0"/>
        </w:tabs>
        <w:spacing w:line="1000" w:lineRule="exact"/>
        <w:ind w:left="0" w:firstLine="0" w:leftChars="0" w:firstLineChars="0"/>
        <w:jc w:val="center"/>
        <w:rPr>
          <w:rFonts w:ascii="微软雅黑" w:eastAsia="微软雅黑" w:hAnsi="微软雅黑" w:cs="微软雅黑" w:hint="eastAsia"/>
          <w:b/>
          <w:bCs/>
          <w:sz w:val="52"/>
          <w:szCs w:val="52"/>
          <w:lang w:val="en-US" w:eastAsia="zh-CN"/>
        </w:rPr>
      </w:pPr>
    </w:p>
    <w:p>
      <w:pPr>
        <w:tabs>
          <w:tab w:val="left" w:pos="0"/>
        </w:tabs>
        <w:spacing w:line="1000" w:lineRule="exact"/>
        <w:ind w:left="0" w:firstLine="0" w:leftChars="0" w:firstLineChars="0"/>
        <w:jc w:val="center"/>
        <w:rPr>
          <w:rFonts w:hint="eastAsia"/>
          <w:b/>
          <w:sz w:val="48"/>
          <w:szCs w:val="48"/>
          <w:lang w:val="en-US" w:eastAsia="zh-CN"/>
        </w:rPr>
      </w:pPr>
      <w:r>
        <w:rPr>
          <w:rFonts w:hint="eastAsia"/>
          <w:b/>
          <w:sz w:val="48"/>
          <w:szCs w:val="48"/>
          <w:lang w:val="en-US" w:eastAsia="zh-CN"/>
        </w:rPr>
        <w:t>运维服务质量评价指标达成情况</w:t>
      </w:r>
    </w:p>
    <w:p>
      <w:pPr>
        <w:tabs>
          <w:tab w:val="left" w:pos="0"/>
        </w:tabs>
        <w:spacing w:line="1000" w:lineRule="exact"/>
        <w:ind w:left="0" w:firstLine="0" w:leftChars="0" w:firstLineChars="0"/>
        <w:jc w:val="center"/>
        <w:rPr>
          <w:rFonts w:hint="eastAsia"/>
          <w:b/>
          <w:sz w:val="48"/>
          <w:szCs w:val="48"/>
          <w:lang w:eastAsia="zh-CN"/>
        </w:rPr>
      </w:pPr>
      <w:r>
        <w:rPr>
          <w:rFonts w:hint="eastAsia"/>
          <w:b/>
          <w:sz w:val="48"/>
          <w:szCs w:val="48"/>
          <w:lang w:val="en-US" w:eastAsia="zh-CN"/>
        </w:rPr>
        <w:t>分析报告</w:t>
      </w:r>
    </w:p>
    <w:p>
      <w:pPr>
        <w:tabs>
          <w:tab w:val="left" w:pos="0"/>
        </w:tabs>
        <w:spacing w:line="1000" w:lineRule="exact"/>
        <w:ind w:left="0" w:firstLine="0" w:leftChars="0" w:firstLineChars="0"/>
        <w:jc w:val="center"/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</w:pPr>
    </w:p>
    <w:p>
      <w:pPr>
        <w:tabs>
          <w:tab w:val="left" w:pos="0"/>
        </w:tabs>
        <w:spacing w:line="1000" w:lineRule="exact"/>
        <w:ind w:left="0" w:firstLine="0" w:leftChars="0" w:firstLineChars="0"/>
        <w:jc w:val="center"/>
        <w:rPr>
          <w:rFonts w:ascii="宋体" w:hAnsi="宋体" w:cs="宋体" w:hint="eastAsia"/>
          <w:b/>
          <w:bCs/>
          <w:sz w:val="36"/>
          <w:szCs w:val="36"/>
          <w:lang w:val="en-US" w:eastAsia="zh-CN"/>
        </w:rPr>
      </w:pPr>
      <w:r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  <w:t>GSGB-ITSS-</w:t>
      </w:r>
      <w:r>
        <w:rPr>
          <w:rFonts w:ascii="宋体" w:hAnsi="宋体" w:cs="宋体" w:hint="eastAsia"/>
          <w:b/>
          <w:bCs/>
          <w:sz w:val="36"/>
          <w:szCs w:val="36"/>
          <w:lang w:val="en-US" w:eastAsia="zh-CN"/>
        </w:rPr>
        <w:t>10</w:t>
      </w:r>
      <w:r>
        <w:rPr>
          <w:rFonts w:ascii="宋体" w:eastAsia="宋体" w:hAnsi="宋体" w:cs="宋体" w:hint="eastAsia"/>
          <w:b/>
          <w:bCs/>
          <w:sz w:val="36"/>
          <w:szCs w:val="36"/>
          <w:lang w:val="en-US" w:eastAsia="zh-CN"/>
        </w:rPr>
        <w:t>-0</w:t>
      </w:r>
      <w:r>
        <w:rPr>
          <w:rFonts w:ascii="宋体" w:hAnsi="宋体" w:cs="宋体" w:hint="eastAsia"/>
          <w:b/>
          <w:bCs/>
          <w:sz w:val="36"/>
          <w:szCs w:val="36"/>
          <w:lang w:val="en-US" w:eastAsia="zh-CN"/>
        </w:rPr>
        <w:t>2</w:t>
      </w:r>
    </w:p>
    <w:p>
      <w:pPr>
        <w:tabs>
          <w:tab w:val="left" w:pos="0"/>
        </w:tabs>
        <w:spacing w:line="1000" w:lineRule="exact"/>
        <w:ind w:firstLine="1200" w:firstLineChars="500"/>
        <w:jc w:val="left"/>
        <w:rPr>
          <w:rFonts w:ascii="宋体" w:hAnsi="宋体" w:cs="宋体" w:hint="eastAsia"/>
          <w:b/>
          <w:bCs/>
          <w:sz w:val="36"/>
          <w:szCs w:val="36"/>
          <w:lang w:val="en-US" w:eastAsia="zh-CN"/>
        </w:rPr>
      </w:pPr>
    </w:p>
    <w:p>
      <w:pPr>
        <w:tabs>
          <w:tab w:val="left" w:pos="0"/>
        </w:tabs>
        <w:spacing w:line="1000" w:lineRule="exact"/>
        <w:ind w:left="0" w:firstLine="720" w:leftChars="0" w:firstLineChars="300"/>
        <w:jc w:val="left"/>
        <w:rPr>
          <w:rFonts w:hint="eastAsia"/>
          <w:sz w:val="32"/>
          <w:szCs w:val="32"/>
        </w:rPr>
      </w:pPr>
    </w:p>
    <w:p>
      <w:pPr>
        <w:tabs>
          <w:tab w:val="left" w:pos="0"/>
        </w:tabs>
        <w:spacing w:line="1000" w:lineRule="exact"/>
        <w:ind w:left="0" w:firstLine="720" w:leftChars="0" w:firstLineChars="300"/>
        <w:jc w:val="left"/>
        <w:rPr>
          <w:rFonts w:hint="eastAsia"/>
          <w:sz w:val="32"/>
          <w:szCs w:val="32"/>
          <w:u w:val="single"/>
        </w:rPr>
      </w:pPr>
      <w:r>
        <w:rPr>
          <w:rFonts w:hint="eastAsia"/>
          <w:sz w:val="32"/>
          <w:szCs w:val="32"/>
        </w:rPr>
        <w:t>拟制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eastAsia="zh-CN"/>
        </w:rPr>
        <w:t>胡葛鹏宇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line="1000" w:lineRule="exact"/>
        <w:ind w:left="0" w:firstLine="720" w:leftChars="0" w:firstLineChars="300"/>
        <w:jc w:val="left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>审核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</w:t>
      </w:r>
      <w:r>
        <w:rPr>
          <w:rFonts w:hint="eastAsia"/>
          <w:sz w:val="32"/>
          <w:szCs w:val="32"/>
          <w:u w:val="single"/>
          <w:lang w:val="en-US" w:eastAsia="zh-CN"/>
        </w:rPr>
        <w:t>兰伟东</w:t>
      </w:r>
      <w:r>
        <w:rPr>
          <w:rFonts w:hint="eastAsia"/>
          <w:sz w:val="32"/>
          <w:szCs w:val="32"/>
          <w:u w:val="single"/>
        </w:rPr>
        <w:t xml:space="preserve">            </w:t>
      </w:r>
    </w:p>
    <w:p>
      <w:pPr>
        <w:tabs>
          <w:tab w:val="left" w:pos="0"/>
        </w:tabs>
        <w:spacing w:before="312" w:beforeLines="100" w:after="312" w:afterLines="100"/>
        <w:ind w:firstLine="720" w:firstLineChars="300"/>
        <w:jc w:val="both"/>
        <w:rPr>
          <w:rFonts w:eastAsia="宋体" w:hint="eastAsia"/>
          <w:sz w:val="32"/>
          <w:szCs w:val="32"/>
          <w:u w:val="single"/>
          <w:lang w:eastAsia="zh-CN"/>
        </w:rPr>
      </w:pPr>
      <w:r>
        <w:rPr>
          <w:rFonts w:hint="eastAsia"/>
          <w:sz w:val="32"/>
          <w:szCs w:val="32"/>
        </w:rPr>
        <w:t>批准</w:t>
      </w:r>
      <w:r>
        <w:rPr>
          <w:rFonts w:hint="eastAsia"/>
          <w:sz w:val="32"/>
          <w:szCs w:val="32"/>
          <w:lang w:eastAsia="zh-CN"/>
        </w:rPr>
        <w:t>人</w:t>
      </w:r>
      <w:r>
        <w:rPr>
          <w:rFonts w:hint="eastAsia"/>
          <w:sz w:val="32"/>
          <w:szCs w:val="32"/>
        </w:rPr>
        <w:t>：</w:t>
      </w:r>
      <w:r>
        <w:rPr>
          <w:rFonts w:hint="eastAsia"/>
          <w:sz w:val="32"/>
          <w:szCs w:val="32"/>
          <w:u w:val="single"/>
        </w:rPr>
        <w:t xml:space="preserve">         赵</w:t>
      </w:r>
      <w:r>
        <w:rPr>
          <w:rFonts w:hint="eastAsia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/>
          <w:sz w:val="32"/>
          <w:szCs w:val="32"/>
          <w:u w:val="single"/>
        </w:rPr>
        <w:t xml:space="preserve">鑫            </w:t>
      </w:r>
    </w:p>
    <w:p>
      <w:pPr>
        <w:rPr>
          <w:rFonts w:ascii="黑体" w:eastAsia="黑体" w:hint="eastAsia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br w:type="page"/>
      </w:r>
    </w:p>
    <w:p>
      <w:pPr>
        <w:tabs>
          <w:tab w:val="left" w:pos="0"/>
        </w:tabs>
        <w:spacing w:before="312" w:beforeLines="100" w:after="312" w:afterLines="100"/>
        <w:ind w:firstLine="0" w:firstLineChars="0"/>
        <w:jc w:val="center"/>
        <w:rPr>
          <w:rFonts w:ascii="黑体" w:eastAsia="黑体" w:hint="eastAsia"/>
          <w:sz w:val="36"/>
          <w:szCs w:val="36"/>
        </w:rPr>
      </w:pPr>
      <w:r>
        <w:rPr>
          <w:rFonts w:ascii="黑体" w:eastAsia="黑体" w:hint="eastAsia"/>
          <w:sz w:val="36"/>
          <w:szCs w:val="36"/>
        </w:rPr>
        <w:t>修改记录</w:t>
      </w:r>
    </w:p>
    <w:tbl>
      <w:tblPr>
        <w:tblStyle w:val="TableNormal"/>
        <w:tblW w:w="4997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0"/>
        <w:gridCol w:w="1381"/>
        <w:gridCol w:w="1381"/>
        <w:gridCol w:w="1381"/>
        <w:gridCol w:w="1497"/>
        <w:gridCol w:w="1497"/>
      </w:tblGrid>
      <w:tr>
        <w:tblPrEx>
          <w:tblW w:w="4997" w:type="pct"/>
          <w:jc w:val="center"/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6" w:space="0" w:color="auto"/>
            <w:insideV w:val="single" w:sz="6" w:space="0" w:color="auto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/>
          <w:jc w:val="center"/>
        </w:trPr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序号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新建/修改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拟制人</w:t>
            </w:r>
          </w:p>
        </w:tc>
        <w:tc>
          <w:tcPr>
            <w:tcW w:w="810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审核人</w:t>
            </w:r>
          </w:p>
        </w:tc>
        <w:tc>
          <w:tcPr>
            <w:tcW w:w="878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default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批准人</w:t>
            </w:r>
          </w:p>
        </w:tc>
        <w:tc>
          <w:tcPr>
            <w:tcW w:w="878" w:type="pct"/>
            <w:vAlign w:val="center"/>
          </w:tcPr>
          <w:p>
            <w:pPr>
              <w:pStyle w:val="a4"/>
              <w:spacing w:line="240" w:lineRule="auto"/>
              <w:ind w:firstLine="0" w:firstLineChars="0"/>
              <w:rPr>
                <w:rFonts w:cs="Arial" w:hint="eastAsia"/>
                <w:lang w:val="en-US" w:eastAsia="zh-CN"/>
              </w:rPr>
            </w:pPr>
            <w:r>
              <w:rPr>
                <w:rFonts w:cs="Arial" w:hint="eastAsia"/>
                <w:lang w:val="en-US" w:eastAsia="zh-CN"/>
              </w:rPr>
              <w:t>日期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1.0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新建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胡葛鹏宇</w:t>
            </w:r>
          </w:p>
        </w:tc>
        <w:tc>
          <w:tcPr>
            <w:tcW w:w="810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兰伟东</w:t>
            </w:r>
          </w:p>
        </w:tc>
        <w:tc>
          <w:tcPr>
            <w:tcW w:w="878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黄益溪</w:t>
            </w:r>
          </w:p>
        </w:tc>
        <w:tc>
          <w:tcPr>
            <w:tcW w:w="878" w:type="pct"/>
            <w:vAlign w:val="center"/>
          </w:tcPr>
          <w:p>
            <w:pPr>
              <w:pStyle w:val="a5"/>
              <w:spacing w:line="240" w:lineRule="auto"/>
              <w:ind w:firstLine="0" w:firstLineChars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2025.11.15</w:t>
            </w: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  <w:tr>
        <w:tblPrEx>
          <w:tblW w:w="4997" w:type="pct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/>
          <w:jc w:val="center"/>
        </w:trPr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10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  <w:tc>
          <w:tcPr>
            <w:tcW w:w="878" w:type="pct"/>
            <w:vAlign w:val="center"/>
          </w:tcPr>
          <w:p>
            <w:pPr>
              <w:pStyle w:val="a5"/>
              <w:ind w:firstLine="480"/>
              <w:rPr>
                <w:lang w:val="en-US" w:eastAsia="zh-CN"/>
              </w:rPr>
            </w:pPr>
          </w:p>
        </w:tc>
      </w:tr>
    </w:tbl>
    <w:p>
      <w:pPr>
        <w:rPr>
          <w:rFonts w:ascii="黑体" w:eastAsia="宋体" w:hAnsi="黑体" w:hint="eastAsia"/>
          <w:b/>
          <w:sz w:val="32"/>
          <w:szCs w:val="32"/>
          <w:lang w:eastAsia="zh-CN"/>
        </w:rPr>
      </w:pPr>
    </w:p>
    <w:p>
      <w:pPr>
        <w:rPr>
          <w:rFonts w:ascii="黑体" w:eastAsia="宋体" w:hAnsi="黑体" w:hint="eastAsia"/>
          <w:b/>
          <w:sz w:val="32"/>
          <w:szCs w:val="32"/>
          <w:lang w:eastAsia="zh-CN"/>
        </w:rPr>
        <w:sectPr>
          <w:headerReference w:type="default" r:id="rId7"/>
          <w:footerReference w:type="default" r:id="rId8"/>
          <w:pgSz w:w="11906" w:h="16838"/>
          <w:pgMar w:top="1560" w:right="1800" w:bottom="1440" w:left="1800" w:header="851" w:footer="992" w:gutter="0"/>
          <w:cols w:num="1" w:space="720"/>
          <w:docGrid w:type="lines" w:linePitch="312" w:charSpace="0"/>
        </w:sectPr>
      </w:pPr>
    </w:p>
    <w:p>
      <w:pPr>
        <w:pStyle w:val="TOC1"/>
        <w:spacing w:line="480" w:lineRule="auto"/>
        <w:jc w:val="center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目  录</w:t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 w:val="24"/>
          <w:szCs w:val="24"/>
        </w:rPr>
        <w:fldChar w:fldCharType="begin"/>
      </w:r>
      <w:r>
        <w:rPr>
          <w:rFonts w:ascii="黑体" w:eastAsia="黑体" w:hAnsi="黑体"/>
          <w:sz w:val="24"/>
          <w:szCs w:val="24"/>
        </w:rPr>
        <w:instrText xml:space="preserve">TOC \o "1-5" \h \u </w:instrText>
      </w:r>
      <w:r>
        <w:rPr>
          <w:rFonts w:ascii="黑体" w:eastAsia="黑体" w:hAnsi="黑体"/>
          <w:sz w:val="24"/>
          <w:szCs w:val="24"/>
        </w:rPr>
        <w:fldChar w:fldCharType="separate"/>
      </w: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_Toc24166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1. 概述</w:t>
      </w:r>
      <w:r>
        <w:tab/>
      </w:r>
      <w:r>
        <w:fldChar w:fldCharType="begin"/>
      </w:r>
      <w:r>
        <w:instrText xml:space="preserve"> PAGEREF _Toc24166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_Toc12373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2. 最终软件库管理组织与职责</w:t>
      </w:r>
      <w:r>
        <w:tab/>
      </w:r>
      <w:r>
        <w:fldChar w:fldCharType="begin"/>
      </w:r>
      <w:r>
        <w:instrText xml:space="preserve"> PAGEREF _Toc12373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_Toc9816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3. 最终软件库管理制度与规范</w:t>
      </w:r>
      <w:r>
        <w:tab/>
      </w:r>
      <w:r>
        <w:fldChar w:fldCharType="begin"/>
      </w:r>
      <w:r>
        <w:instrText xml:space="preserve"> PAGEREF _Toc9816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_Toc32655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4. 最终软件库管理流程</w:t>
      </w:r>
      <w:r>
        <w:tab/>
      </w:r>
      <w:r>
        <w:fldChar w:fldCharType="begin"/>
      </w:r>
      <w:r>
        <w:instrText xml:space="preserve"> PAGEREF _Toc32655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_Toc1560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4.1 软件入库流程</w:t>
      </w:r>
      <w:r>
        <w:tab/>
      </w:r>
      <w:r>
        <w:fldChar w:fldCharType="begin"/>
      </w:r>
      <w:r>
        <w:instrText xml:space="preserve"> PAGEREF _Toc1560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_Toc12318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4.2 软件出库与使用流程</w:t>
      </w:r>
      <w:r>
        <w:tab/>
      </w:r>
      <w:r>
        <w:fldChar w:fldCharType="begin"/>
      </w:r>
      <w:r>
        <w:instrText xml:space="preserve"> PAGEREF _Toc12318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_Toc23702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4.3 软件更新与退出流程</w:t>
      </w:r>
      <w:r>
        <w:tab/>
      </w:r>
      <w:r>
        <w:fldChar w:fldCharType="begin"/>
      </w:r>
      <w:r>
        <w:instrText xml:space="preserve"> PAGEREF _Toc23702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_Toc27969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4.4 定期审计与可用性检查</w:t>
      </w:r>
      <w:r>
        <w:tab/>
      </w:r>
      <w:r>
        <w:fldChar w:fldCharType="begin"/>
      </w:r>
      <w:r>
        <w:instrText xml:space="preserve"> PAGEREF _Toc27969 \h </w:instrText>
      </w:r>
      <w:r>
        <w:fldChar w:fldCharType="separate"/>
      </w:r>
      <w:r>
        <w:t>2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_Toc30712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5. 软件库工具与技术保障</w:t>
      </w:r>
      <w:r>
        <w:tab/>
      </w:r>
      <w:r>
        <w:fldChar w:fldCharType="begin"/>
      </w:r>
      <w:r>
        <w:instrText xml:space="preserve"> PAGEREF _Toc30712 \h </w:instrText>
      </w:r>
      <w:r>
        <w:fldChar w:fldCharType="separate"/>
      </w:r>
      <w:r>
        <w:t>3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1"/>
        <w:tabs>
          <w:tab w:val="right" w:leader="dot" w:pos="8306"/>
        </w:tabs>
      </w:pPr>
      <w:r>
        <w:rPr>
          <w:rFonts w:ascii="黑体" w:eastAsia="黑体" w:hAnsi="黑体"/>
          <w:szCs w:val="24"/>
        </w:rPr>
        <w:fldChar w:fldCharType="begin"/>
      </w:r>
      <w:r>
        <w:rPr>
          <w:rFonts w:ascii="黑体" w:eastAsia="黑体" w:hAnsi="黑体"/>
          <w:szCs w:val="24"/>
        </w:rPr>
        <w:instrText xml:space="preserve"> HYPERLINK \l _Toc25823 </w:instrText>
      </w:r>
      <w:r>
        <w:rPr>
          <w:rFonts w:ascii="黑体" w:eastAsia="黑体" w:hAnsi="黑体"/>
          <w:szCs w:val="24"/>
        </w:rPr>
        <w:fldChar w:fldCharType="separate"/>
      </w:r>
      <w:r>
        <w:rPr>
          <w:rFonts w:hint="eastAsia"/>
          <w:lang w:val="en-US" w:eastAsia="zh-CN"/>
        </w:rPr>
        <w:t>6. 最终软件库应用效果评估</w:t>
      </w:r>
      <w:r>
        <w:tab/>
      </w:r>
      <w:r>
        <w:fldChar w:fldCharType="begin"/>
      </w:r>
      <w:r>
        <w:instrText xml:space="preserve"> PAGEREF _Toc25823 \h </w:instrText>
      </w:r>
      <w:r>
        <w:fldChar w:fldCharType="separate"/>
      </w:r>
      <w:r>
        <w:t>3</w:t>
      </w:r>
      <w:r>
        <w:fldChar w:fldCharType="end"/>
      </w:r>
      <w:r>
        <w:rPr>
          <w:rFonts w:ascii="黑体" w:eastAsia="黑体" w:hAnsi="黑体"/>
          <w:szCs w:val="24"/>
        </w:rPr>
        <w:fldChar w:fldCharType="end"/>
      </w:r>
    </w:p>
    <w:p>
      <w:pPr>
        <w:pStyle w:val="TOC2"/>
        <w:widowControl/>
        <w:tabs>
          <w:tab w:val="left" w:pos="1440"/>
          <w:tab w:val="right" w:leader="dot" w:pos="8869"/>
        </w:tabs>
        <w:spacing w:line="480" w:lineRule="auto"/>
        <w:ind w:left="0"/>
        <w:rPr>
          <w:rFonts w:ascii="黑体" w:eastAsia="黑体" w:hAnsi="黑体"/>
          <w:sz w:val="24"/>
          <w:szCs w:val="24"/>
        </w:rPr>
        <w:sectPr>
          <w:pgSz w:w="11906" w:h="16838"/>
          <w:pgMar w:top="1560" w:right="1800" w:bottom="1440" w:left="1800" w:header="851" w:footer="992" w:gutter="0"/>
          <w:cols w:num="1" w:space="720"/>
          <w:docGrid w:type="lines" w:linePitch="312" w:charSpace="0"/>
        </w:sectPr>
      </w:pPr>
      <w:r>
        <w:rPr>
          <w:rFonts w:ascii="黑体" w:eastAsia="黑体" w:hAnsi="黑体"/>
          <w:szCs w:val="24"/>
        </w:rPr>
        <w:fldChar w:fldCharType="end"/>
      </w:r>
    </w:p>
    <w:p>
      <w:pPr>
        <w:pStyle w:val="Heading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报告概述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本报告基于《运维服务质量评价指标体系》，对公司2025年1月至10月期间的运维服务质量指标达成情况进行统计、分析与总结。旨在客观评估年度服务质量目标的实现进度，识别服务过程中的优势与不足，为年底年度总结及下一年度质量计划的制定提供决策依据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指标总体达成情况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截至2025年10月31日，公司运维服务质量指标整体达成情况良好。大部分核心指标已达到或超过年度预设目标值，尤其在SLA达成率、客户满意度、事件一线解决率等方面表现突出。部分指标存在轻微波动，但均在可控范围内，并通过改进措施得到有效纠正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关键指标详细分析</w:t>
      </w:r>
    </w:p>
    <w:p>
      <w:pPr>
        <w:pStyle w:val="Heading2"/>
        <w:bidi w:val="0"/>
        <w:rPr>
          <w:rFonts w:ascii="宋体" w:hAnsi="宋体" w:hint="eastAsia"/>
          <w:sz w:val="24"/>
          <w:lang w:val="en-US" w:eastAsia="zh-CN"/>
        </w:rPr>
      </w:pPr>
      <w:r>
        <w:rPr>
          <w:rFonts w:hint="eastAsia"/>
          <w:lang w:val="en-US" w:eastAsia="zh-CN"/>
        </w:rPr>
        <w:t>3.1 服务交付类指标分析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SLA达成率 (目标：100%，实际：100%)：所有运维项目均100%达成SLA要求，体现了公司服务交付过程的稳定性和对客户承诺的高度履行能力。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事件平均解决时间 (目标：≤4小时，实际：3.2小时)：优于目标值。这得益于知识库的有效利用和工程师技能提升，但3月至4月期间曾因某新项目上线，解决时间短暂上升至4.1小时，后通过专项知识培训和流程优化得以恢复。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事件一线解决率 (目标：≥70%，实际：75%)：持续优于目标，表明服务台能力和知识库的支撑作用显著，有效减轻了二线工程师的压力。</w:t>
      </w:r>
    </w:p>
    <w:p>
      <w:pPr>
        <w:pStyle w:val="Heading2"/>
        <w:bidi w:val="0"/>
        <w:rPr>
          <w:rFonts w:ascii="宋体" w:hAnsi="宋体" w:hint="eastAsia"/>
          <w:sz w:val="24"/>
          <w:lang w:val="en-US" w:eastAsia="zh-CN"/>
        </w:rPr>
      </w:pPr>
      <w:r>
        <w:rPr>
          <w:rFonts w:hint="eastAsia"/>
          <w:lang w:val="en-US" w:eastAsia="zh-CN"/>
        </w:rPr>
        <w:t>3.2 客户满意度指标分析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客户满意度 (目标：≥90分，实际：95分)：本年度客户满意度调查得分创历史新高。分析原因，主要得益于服务响应及时性提升和服务报告内容更加透明、详实，获得了客户的高度认可。</w:t>
      </w:r>
    </w:p>
    <w:p>
      <w:pPr>
        <w:pStyle w:val="Heading2"/>
        <w:bidi w:val="0"/>
        <w:rPr>
          <w:rFonts w:ascii="宋体" w:hAnsi="宋体" w:hint="eastAsia"/>
          <w:sz w:val="24"/>
          <w:lang w:val="en-US" w:eastAsia="zh-CN"/>
        </w:rPr>
      </w:pPr>
      <w:r>
        <w:rPr>
          <w:rFonts w:hint="eastAsia"/>
          <w:lang w:val="en-US" w:eastAsia="zh-CN"/>
        </w:rPr>
        <w:t>3.3 资源与管理类指标分析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知识库条目增长率 (目标：≥10%，截至10月已增长：12%)：已提前完成年度目标。知识沉淀意识深入人心，本年度新增的“交通道路监测管理”等典型解决方案被广泛查阅。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监控工具覆盖率 (目标：≥95%，实际：98%)：Zabbix监控工具的深入应用，实现了对核心系统更全面的监控，为主动发现问题提供了有力支持。</w:t>
      </w:r>
    </w:p>
    <w:p>
      <w:pPr>
        <w:pStyle w:val="Heading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未达标/需关注指标分析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本报告期内，无指标持续未达标。但需关注以下指标的波动：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【曾发生波动】事件平均解决时间：在3-4月出现波动，根本原因为新业务系统上线初期，相关故障的处理经验不足。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【改进措施】：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立即行动：组织研发部和资深运维工程师，针对新系统编写了应急预案和典型故障处理手册，并纳入知识库。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长期机制：强化了变更发布后的知识传递流程，要求项目组在系统上线后一周内，必须完成核心运维知识的沉淀与培训。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 趋势分析与改进建议</w:t>
      </w:r>
    </w:p>
    <w:p>
      <w:pPr>
        <w:pStyle w:val="Heading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5.1 趋势分析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整体服务质量呈稳步上升趋势，数据驱动改进的文化已初步形成。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知识库与工具平台的深度融合，是提升运维效率的关键因素。</w:t>
      </w:r>
    </w:p>
    <w:p>
      <w:pPr>
        <w:pStyle w:val="Heading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5.2 改进建议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基于本期分析，建议在2026年度重点关注以下方面：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深化主动预防能力：利用监控数据，进一步开展性能容量趋势预测，将运维动作从“被动响应”更多地向“主动预防”前移。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优化人员技能矩阵：针对新技术架构，评估并补齐运维团队的技能短板，规划下一年度专项培训。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提升数据价值挖掘：在现有指标基础上，探索更能反映业务健康度的指标，如“核心业务交易成功率”等。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6. 结</w:t>
      </w:r>
      <w:bookmarkStart w:id="0" w:name="_GoBack"/>
      <w:bookmarkEnd w:id="0"/>
      <w:r>
        <w:rPr>
          <w:rFonts w:hint="eastAsia"/>
          <w:lang w:val="en-US" w:eastAsia="zh-CN"/>
        </w:rPr>
        <w:t>论</w:t>
      </w:r>
    </w:p>
    <w:p>
      <w:pPr>
        <w:bidi w:val="0"/>
        <w:spacing w:line="360" w:lineRule="auto"/>
        <w:ind w:firstLine="480" w:firstLineChars="200"/>
        <w:jc w:val="left"/>
        <w:rPr>
          <w:rFonts w:ascii="宋体" w:hAnsi="宋体" w:hint="eastAsia"/>
          <w:sz w:val="24"/>
          <w:lang w:val="en-US" w:eastAsia="zh-CN"/>
        </w:rPr>
      </w:pPr>
      <w:r>
        <w:rPr>
          <w:rFonts w:ascii="宋体" w:hAnsi="宋体" w:hint="eastAsia"/>
          <w:sz w:val="24"/>
          <w:lang w:val="en-US" w:eastAsia="zh-CN"/>
        </w:rPr>
        <w:t>2025年1月至10月，公司运维服务质量管理体系运行有效，各项关键质量指标均达成或优于预期目标。公司已建立了稳定的服务交付能力和持续的改进机制。对于期间出现的个别波动，已通过有效的纠正措施予以闭环。公司有信心在全年结束时，全面实现所有质量目标。</w:t>
      </w:r>
    </w:p>
    <w:sectPr>
      <w:footerReference w:type="default" r:id="rId9"/>
      <w:pgSz w:w="11906" w:h="16838"/>
      <w:pgMar w:top="1560" w:right="1800" w:bottom="1440" w:left="1800" w:header="851" w:footer="992" w:gutter="0"/>
      <w:pgNumType w:fmt="decimal" w:start="1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0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pBdr>
        <w:top w:val="single" w:sz="4" w:space="1" w:color="auto"/>
      </w:pBdr>
    </w:pPr>
    <w:r>
      <w:rPr>
        <w:sz w:val="18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o:spid="_x0000_s2049" type="#_x0000_t202" style="height:2in;margin-left:0;margin-top:0;mso-height-relative:page;mso-position-horizontal:center;mso-position-horizontal-relative:margin;mso-width-relative:page;mso-wrap-style:none;position:absolute;width:2in;z-index:251658240" coordsize="21600,21600" filled="f" stroked="f">
          <v:stroke joinstyle="miter"/>
          <o:lock v:ext="edit" aspectratio="f"/>
          <v:textbox style="mso-fit-shape-to-text:t" inset="0,0,0,0">
            <w:txbxContent>
              <w:p>
                <w:pPr>
                  <w:pStyle w:val="Footer"/>
                  <w:rPr>
                    <w:rFonts w:eastAsia="宋体" w:hint="eastAsia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jc w:val="both"/>
    </w:pPr>
    <w:r>
      <w:rPr>
        <w:rFonts w:asciiTheme="minorEastAsia" w:eastAsiaTheme="minorEastAsia" w:hAnsiTheme="minorEastAsia" w:hint="eastAsia"/>
        <w:szCs w:val="24"/>
      </w:rPr>
      <w:t xml:space="preserve">                </w:t>
    </w:r>
    <w:r>
      <w:rPr>
        <w:rFonts w:asciiTheme="minorEastAsia" w:eastAsiaTheme="minorEastAsia" w:hAnsiTheme="minorEastAsia"/>
        <w:szCs w:val="24"/>
      </w:rPr>
      <w:t xml:space="preserve">                         </w:t>
    </w:r>
    <w:r>
      <w:rPr>
        <w:rFonts w:asciiTheme="minorEastAsia" w:eastAsiaTheme="minorEastAsia" w:hAnsiTheme="minorEastAsia" w:hint="eastAsia"/>
        <w:szCs w:val="24"/>
      </w:rPr>
      <w:t xml:space="preserve">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TrackMoves/>
  <w:defaultTabStop w:val="420"/>
  <w:drawingGridHorizontalSpacing w:val="105"/>
  <w:drawingGridVerticalSpacing w:val="156"/>
  <w:noPunctuationKerning/>
  <w:characterSpacingControl w:val="compressPunctuation"/>
  <w:compat>
    <w:spaceForUL/>
    <w:balanceSingleByteDoubleByteWidth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U5YTk2NWU3OTRhNTU0YjZlNWE0ODExMjY4YzM0MTgifQ=="/>
  </w:docVars>
  <m:mathPr>
    <m:mathFont m:val="Cambria Math"/>
    <m:smallFrac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unhideWhenUsed="0" w:qFormat="1"/>
    <w:lsdException w:name="heading 3" w:semiHidden="0" w:uiPriority="0" w:unhideWhenUsed="0" w:qFormat="1"/>
    <w:lsdException w:name="heading 4" w:semiHidden="0" w:uiPriority="0" w:unhideWhenUsed="0" w:qFormat="1"/>
    <w:lsdException w:name="heading 5" w:semiHidden="0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semiHidden="0" w:uiPriority="39" w:unhideWhenUsed="0" w:qFormat="1"/>
    <w:lsdException w:name="toc 2" w:semiHidden="0" w:uiPriority="39" w:unhideWhenUsed="0" w:qFormat="1"/>
    <w:lsdException w:name="toc 3" w:semiHidden="0" w:uiPriority="39" w:unhideWhenUsed="0" w:qFormat="1"/>
    <w:lsdException w:name="toc 4" w:uiPriority="39" w:qFormat="1"/>
    <w:lsdException w:name="toc 5" w:uiPriority="39" w:qFormat="1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0" w:uiPriority="0" w:unhideWhenUsed="0" w:qFormat="1"/>
    <w:lsdException w:name="footnote text"/>
    <w:lsdException w:name="annotation text"/>
    <w:lsdException w:name="header" w:semiHidden="0" w:uiPriority="0" w:unhideWhenUsed="0" w:qFormat="1"/>
    <w:lsdException w:name="footer" w:semiHidden="0" w:unhideWhenUsed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 w:semiHidden="0" w:uiPriority="0" w:unhideWhenUsed="0" w:qFormat="1"/>
    <w:lsdException w:name="List Bullet" w:semiHidden="0" w:uiPriority="0" w:unhideWhenUsed="0" w:qFormat="1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0" w:unhideWhenUsed="0" w:qFormat="1"/>
    <w:lsdException w:name="Closing"/>
    <w:lsdException w:name="Signature"/>
    <w:lsdException w:name="Default Paragraph Font" w:uiPriority="1" w:qFormat="1"/>
    <w:lsdException w:name="Body Text" w:semiHidden="0" w:uiPriority="0" w:unhideWhenUsed="0" w:qFormat="1"/>
    <w:lsdException w:name="Body Text Indent" w:semiHidden="0" w:uiPriority="0" w:unhideWhenUsed="0" w:qFormat="1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0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 w:semiHidden="0" w:unhideWhenUsed="0" w:qFormat="1"/>
    <w:lsdException w:name="FollowedHyperlink"/>
    <w:lsdException w:name="Strong" w:semiHidden="0" w:uiPriority="0" w:unhideWhenUsed="0" w:qFormat="1"/>
    <w:lsdException w:name="Emphasis" w:semiHidden="0" w:uiPriority="20" w:unhideWhenUsed="0" w:qFormat="1"/>
    <w:lsdException w:name="Document Map" w:qFormat="1"/>
    <w:lsdException w:name="Plain Text"/>
    <w:lsdException w:name="E-mail Signature"/>
    <w:lsdException w:name="Normal (Web)" w:semiHidden="0" w:unhideWhenUsed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semiHidden="0" w:uiPriority="0" w:unhideWhenUsed="0" w:qFormat="1"/>
    <w:lsdException w:name="Table Grid" w:semiHidden="0" w:uiPriority="59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line="360" w:lineRule="auto"/>
      <w:ind w:firstLine="420" w:firstLineChars="200"/>
      <w:jc w:val="both"/>
    </w:pPr>
    <w:rPr>
      <w:rFonts w:ascii="Calibri" w:eastAsia="宋体" w:hAnsi="Calibri" w:cs="Arial"/>
      <w:kern w:val="2"/>
      <w:sz w:val="24"/>
      <w:szCs w:val="22"/>
      <w:lang w:val="en-US" w:eastAsia="zh-CN" w:bidi="ar-SA"/>
    </w:rPr>
  </w:style>
  <w:style w:type="paragraph" w:styleId="Heading1">
    <w:name w:val="heading 1"/>
    <w:basedOn w:val="Normal"/>
    <w:next w:val="Normal"/>
    <w:autoRedefine/>
    <w:qFormat/>
    <w:pPr>
      <w:keepNext/>
      <w:keepLines/>
      <w:spacing w:line="480" w:lineRule="auto"/>
      <w:outlineLvl w:val="0"/>
    </w:pPr>
    <w:rPr>
      <w:rFonts w:eastAsia="黑体"/>
      <w:b/>
      <w:bCs/>
      <w:kern w:val="44"/>
      <w:sz w:val="30"/>
      <w:szCs w:val="44"/>
    </w:rPr>
  </w:style>
  <w:style w:type="paragraph" w:styleId="Heading2">
    <w:name w:val="heading 2"/>
    <w:basedOn w:val="Normal"/>
    <w:next w:val="Normal"/>
    <w:autoRedefine/>
    <w:qFormat/>
    <w:pPr>
      <w:keepNext/>
      <w:keepLines/>
      <w:spacing w:before="20" w:after="20" w:line="360" w:lineRule="auto"/>
      <w:outlineLvl w:val="1"/>
    </w:pPr>
    <w:rPr>
      <w:rFonts w:ascii="Cambria" w:eastAsia="黑体" w:hAnsi="Cambria"/>
      <w:b/>
      <w:bCs/>
      <w:szCs w:val="32"/>
    </w:rPr>
  </w:style>
  <w:style w:type="paragraph" w:styleId="Heading3">
    <w:name w:val="heading 3"/>
    <w:basedOn w:val="Normal"/>
    <w:next w:val="Normal"/>
    <w:autoRedefine/>
    <w:qFormat/>
    <w:pPr>
      <w:keepNext/>
      <w:keepLines/>
      <w:spacing w:line="360" w:lineRule="auto"/>
      <w:ind w:firstLine="0" w:firstLineChars="0"/>
      <w:jc w:val="center"/>
      <w:outlineLvl w:val="2"/>
    </w:pPr>
    <w:rPr>
      <w:rFonts w:eastAsia="宋体"/>
      <w:b/>
      <w:bCs/>
      <w:szCs w:val="32"/>
    </w:rPr>
  </w:style>
  <w:style w:type="paragraph" w:styleId="Heading4">
    <w:name w:val="heading 4"/>
    <w:basedOn w:val="a"/>
    <w:next w:val="a"/>
    <w:autoRedefine/>
    <w:qFormat/>
    <w:pPr>
      <w:keepNext/>
      <w:keepLines/>
      <w:spacing w:line="240" w:lineRule="auto"/>
      <w:outlineLvl w:val="3"/>
    </w:pPr>
    <w:rPr>
      <w:rFonts w:ascii="Cambria" w:hAnsi="Cambria"/>
      <w:bCs/>
      <w:sz w:val="21"/>
      <w:szCs w:val="28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DefaultParagraphFont">
    <w:name w:val="Default Paragraph Font"/>
    <w:autoRedefine/>
    <w:uiPriority w:val="1"/>
    <w:semiHidden/>
    <w:unhideWhenUsed/>
    <w:qFormat/>
  </w:style>
  <w:style w:type="table" w:default="1" w:styleId="TableNormal">
    <w:name w:val="Normal Table"/>
    <w:autoRedefine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正常"/>
    <w:autoRedefine/>
    <w:qFormat/>
    <w:pPr>
      <w:widowControl w:val="0"/>
      <w:jc w:val="center"/>
    </w:pPr>
    <w:rPr>
      <w:rFonts w:ascii="Times New Roman" w:eastAsia="宋体" w:hAnsi="Times New Roman" w:cs="Times New Roman"/>
      <w:kern w:val="2"/>
      <w:sz w:val="21"/>
      <w:szCs w:val="24"/>
      <w:lang w:val="en-US" w:eastAsia="zh-CN" w:bidi="ar-SA"/>
    </w:rPr>
  </w:style>
  <w:style w:type="paragraph" w:styleId="NormalIndent">
    <w:name w:val="Normal Indent"/>
    <w:basedOn w:val="Normal"/>
    <w:autoRedefine/>
    <w:qFormat/>
    <w:pPr>
      <w:ind w:firstLine="420"/>
    </w:pPr>
  </w:style>
  <w:style w:type="paragraph" w:styleId="ListBullet">
    <w:name w:val="List Bullet"/>
    <w:basedOn w:val="Normal"/>
    <w:qFormat/>
    <w:pPr>
      <w:widowControl/>
      <w:numPr>
        <w:ilvl w:val="0"/>
        <w:numId w:val="1"/>
      </w:numPr>
      <w:spacing w:after="200" w:line="252" w:lineRule="auto"/>
      <w:contextualSpacing/>
      <w:jc w:val="left"/>
    </w:pPr>
    <w:rPr>
      <w:rFonts w:ascii="Cambria" w:hAnsi="Cambria" w:cs="Times New Roman"/>
      <w:kern w:val="0"/>
      <w:sz w:val="22"/>
      <w:lang w:eastAsia="en-US" w:bidi="en-US"/>
    </w:rPr>
  </w:style>
  <w:style w:type="paragraph" w:styleId="DocumentMap">
    <w:name w:val="Document Map"/>
    <w:basedOn w:val="Normal"/>
    <w:link w:val="a2"/>
    <w:autoRedefine/>
    <w:uiPriority w:val="99"/>
    <w:semiHidden/>
    <w:unhideWhenUsed/>
    <w:qFormat/>
    <w:rPr>
      <w:rFonts w:ascii="宋体"/>
      <w:sz w:val="18"/>
      <w:szCs w:val="18"/>
    </w:rPr>
  </w:style>
  <w:style w:type="paragraph" w:styleId="BodyText">
    <w:name w:val="Body Text"/>
    <w:basedOn w:val="Normal"/>
    <w:autoRedefine/>
    <w:qFormat/>
    <w:pPr>
      <w:spacing w:after="120"/>
    </w:pPr>
  </w:style>
  <w:style w:type="paragraph" w:styleId="BodyTextIndent">
    <w:name w:val="Body Text Indent"/>
    <w:basedOn w:val="Normal"/>
    <w:autoRedefine/>
    <w:qFormat/>
    <w:pPr>
      <w:widowControl/>
      <w:spacing w:before="100" w:beforeAutospacing="1" w:after="100" w:afterAutospacing="1"/>
      <w:jc w:val="left"/>
    </w:pPr>
    <w:rPr>
      <w:rFonts w:ascii="宋体" w:cs="宋体"/>
      <w:kern w:val="0"/>
      <w:sz w:val="24"/>
      <w:szCs w:val="24"/>
    </w:rPr>
  </w:style>
  <w:style w:type="paragraph" w:styleId="TOC5">
    <w:name w:val="toc 5"/>
    <w:basedOn w:val="Normal"/>
    <w:next w:val="Normal"/>
    <w:autoRedefine/>
    <w:uiPriority w:val="39"/>
    <w:semiHidden/>
    <w:unhideWhenUsed/>
    <w:qFormat/>
    <w:pPr>
      <w:ind w:left="1680" w:leftChars="800"/>
    </w:pPr>
  </w:style>
  <w:style w:type="paragraph" w:styleId="TOC3">
    <w:name w:val="toc 3"/>
    <w:basedOn w:val="Normal"/>
    <w:next w:val="Normal"/>
    <w:autoRedefine/>
    <w:uiPriority w:val="39"/>
    <w:qFormat/>
    <w:pPr>
      <w:tabs>
        <w:tab w:val="right" w:leader="dot" w:pos="8364"/>
      </w:tabs>
      <w:ind w:left="400" w:leftChars="400"/>
    </w:pPr>
    <w:rPr>
      <w:rFonts w:eastAsia="微软雅黑"/>
    </w:rPr>
  </w:style>
  <w:style w:type="paragraph" w:styleId="BalloonText">
    <w:name w:val="Balloon Text"/>
    <w:basedOn w:val="Normal"/>
    <w:autoRedefine/>
    <w:qFormat/>
    <w:rPr>
      <w:sz w:val="18"/>
      <w:szCs w:val="18"/>
    </w:rPr>
  </w:style>
  <w:style w:type="paragraph" w:styleId="Footer">
    <w:name w:val="footer"/>
    <w:basedOn w:val="Normal"/>
    <w:link w:val="a1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Normal"/>
    <w:next w:val="Normal"/>
    <w:uiPriority w:val="39"/>
    <w:qFormat/>
    <w:pPr>
      <w:spacing w:before="120" w:after="120"/>
      <w:jc w:val="left"/>
    </w:pPr>
    <w:rPr>
      <w:rFonts w:cs="黑体"/>
      <w:b/>
      <w:bCs/>
      <w:caps/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qFormat/>
    <w:pPr>
      <w:ind w:left="1260" w:leftChars="600"/>
    </w:pPr>
  </w:style>
  <w:style w:type="paragraph" w:styleId="Subtitle">
    <w:name w:val="Subtitle"/>
    <w:basedOn w:val="Normal"/>
    <w:next w:val="Normal"/>
    <w:autoRedefine/>
    <w:qFormat/>
    <w:pPr>
      <w:spacing w:before="240" w:after="60" w:line="312" w:lineRule="auto"/>
      <w:jc w:val="center"/>
      <w:outlineLvl w:val="1"/>
    </w:pPr>
    <w:rPr>
      <w:rFonts w:ascii="Cambria" w:hAnsi="Cambria" w:cs="Times New Roman"/>
      <w:b/>
      <w:bCs/>
      <w:kern w:val="28"/>
      <w:sz w:val="32"/>
      <w:szCs w:val="32"/>
    </w:rPr>
  </w:style>
  <w:style w:type="paragraph" w:styleId="List">
    <w:name w:val="List"/>
    <w:basedOn w:val="Normal"/>
    <w:autoRedefine/>
    <w:qFormat/>
    <w:pPr>
      <w:ind w:left="200" w:hanging="200" w:hangingChars="200"/>
    </w:pPr>
  </w:style>
  <w:style w:type="paragraph" w:styleId="TOC2">
    <w:name w:val="toc 2"/>
    <w:basedOn w:val="Normal"/>
    <w:next w:val="Normal"/>
    <w:uiPriority w:val="39"/>
    <w:qFormat/>
    <w:pPr>
      <w:ind w:left="210"/>
      <w:jc w:val="left"/>
    </w:pPr>
    <w:rPr>
      <w:rFonts w:cs="黑体"/>
      <w:smallCaps/>
      <w:sz w:val="20"/>
      <w:szCs w:val="20"/>
    </w:rPr>
  </w:style>
  <w:style w:type="paragraph" w:styleId="NormalWeb">
    <w:name w:val="Normal (Web)"/>
    <w:basedOn w:val="Normal"/>
    <w:uiPriority w:val="99"/>
    <w:qFormat/>
    <w:pPr>
      <w:spacing w:line="360" w:lineRule="auto"/>
    </w:pPr>
    <w:rPr>
      <w:rFonts w:ascii="Times New Roman" w:hAnsi="Times New Roman" w:cs="Times New Roman"/>
      <w:sz w:val="24"/>
      <w:szCs w:val="24"/>
    </w:rPr>
  </w:style>
  <w:style w:type="paragraph" w:styleId="Title">
    <w:name w:val="Title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Times New Roman"/>
      <w:b/>
      <w:bCs/>
      <w:sz w:val="32"/>
      <w:szCs w:val="32"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customStyle="1" w:styleId="1">
    <w:name w:val="列出段落1"/>
    <w:basedOn w:val="Normal"/>
    <w:qFormat/>
    <w:pPr>
      <w:ind w:firstLine="200" w:firstLineChars="200"/>
    </w:pPr>
  </w:style>
  <w:style w:type="paragraph" w:customStyle="1" w:styleId="10">
    <w:name w:val="纯文本1"/>
    <w:basedOn w:val="Normal"/>
    <w:qFormat/>
    <w:pPr>
      <w:spacing w:before="60" w:after="60"/>
    </w:pPr>
    <w:rPr>
      <w:rFonts w:ascii="宋体"/>
      <w:szCs w:val="21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a0">
    <w:name w:val="普通文本"/>
    <w:basedOn w:val="Normal"/>
    <w:qFormat/>
    <w:pPr>
      <w:autoSpaceDE w:val="0"/>
      <w:autoSpaceDN w:val="0"/>
      <w:adjustRightInd w:val="0"/>
    </w:pPr>
    <w:rPr>
      <w:rFonts w:ascii="宋体" w:cs="宋体"/>
      <w:szCs w:val="21"/>
    </w:rPr>
  </w:style>
  <w:style w:type="paragraph" w:customStyle="1" w:styleId="11">
    <w:name w:val="无间隔1"/>
    <w:qFormat/>
    <w:rPr>
      <w:rFonts w:ascii="Calibri" w:eastAsia="宋体" w:hAnsi="Calibri" w:cs="Arial"/>
      <w:kern w:val="2"/>
      <w:sz w:val="22"/>
      <w:szCs w:val="22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</w:style>
  <w:style w:type="character" w:customStyle="1" w:styleId="a1">
    <w:name w:val="页脚 字符"/>
    <w:basedOn w:val="DefaultParagraphFont"/>
    <w:link w:val="Footer"/>
    <w:uiPriority w:val="99"/>
    <w:qFormat/>
    <w:rPr>
      <w:rFonts w:ascii="Calibri" w:hAnsi="Calibri" w:cs="Arial"/>
      <w:kern w:val="2"/>
      <w:sz w:val="18"/>
      <w:szCs w:val="18"/>
    </w:rPr>
  </w:style>
  <w:style w:type="paragraph" w:customStyle="1" w:styleId="3">
    <w:name w:val="标题3"/>
    <w:basedOn w:val="Normal"/>
    <w:qFormat/>
    <w:pPr>
      <w:spacing w:line="360" w:lineRule="auto"/>
      <w:jc w:val="left"/>
      <w:outlineLvl w:val="2"/>
    </w:pPr>
    <w:rPr>
      <w:rFonts w:ascii="宋体" w:hAnsi="宋体" w:cs="Times New Roman"/>
      <w:b/>
      <w:sz w:val="24"/>
      <w:szCs w:val="24"/>
    </w:rPr>
  </w:style>
  <w:style w:type="character" w:customStyle="1" w:styleId="a2">
    <w:name w:val="文档结构图 字符"/>
    <w:basedOn w:val="DefaultParagraphFont"/>
    <w:link w:val="DocumentMap"/>
    <w:uiPriority w:val="99"/>
    <w:semiHidden/>
    <w:qFormat/>
    <w:rPr>
      <w:rFonts w:ascii="宋体" w:hAnsi="Calibri" w:cs="Arial"/>
      <w:kern w:val="2"/>
      <w:sz w:val="18"/>
      <w:szCs w:val="18"/>
    </w:rPr>
  </w:style>
  <w:style w:type="paragraph" w:customStyle="1" w:styleId="a3">
    <w:name w:val="*正文"/>
    <w:basedOn w:val="Normal"/>
    <w:qFormat/>
    <w:pPr>
      <w:ind w:firstLine="200" w:firstLineChars="200"/>
    </w:pPr>
  </w:style>
  <w:style w:type="paragraph" w:customStyle="1" w:styleId="a4">
    <w:name w:val="表头"/>
    <w:basedOn w:val="Normal"/>
    <w:qFormat/>
    <w:pPr>
      <w:spacing w:line="520" w:lineRule="exact"/>
      <w:jc w:val="center"/>
    </w:pPr>
    <w:rPr>
      <w:rFonts w:ascii="黑体" w:eastAsia="黑体" w:hAnsi="微软雅黑"/>
      <w:sz w:val="24"/>
      <w:szCs w:val="24"/>
    </w:rPr>
  </w:style>
  <w:style w:type="paragraph" w:customStyle="1" w:styleId="a5">
    <w:name w:val="表内容居中"/>
    <w:basedOn w:val="Normal"/>
    <w:qFormat/>
    <w:pPr>
      <w:spacing w:line="520" w:lineRule="exact"/>
      <w:jc w:val="center"/>
    </w:pPr>
    <w:rPr>
      <w:sz w:val="24"/>
      <w:szCs w:val="24"/>
    </w:rPr>
  </w:style>
  <w:style w:type="paragraph" w:customStyle="1" w:styleId="30">
    <w:name w:val="样式3"/>
    <w:basedOn w:val="List"/>
    <w:qFormat/>
    <w:pPr>
      <w:keepNext w:val="0"/>
      <w:ind w:left="0" w:firstLine="0" w:firstLineChars="0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image" Target="media/image1.jpeg" /><Relationship Id="rId7" Type="http://schemas.openxmlformats.org/officeDocument/2006/relationships/header" Target="header1.xml" /><Relationship Id="rId8" Type="http://schemas.openxmlformats.org/officeDocument/2006/relationships/footer" Target="footer1.xml" /><Relationship Id="rId9" Type="http://schemas.openxmlformats.org/officeDocument/2006/relationships/footer" Target="footer2.xm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2049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75DEBEA-CC87-4B84-9831-8EA9AA7F9198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2132</Words>
  <Characters>2270</Characters>
  <Application>Microsoft Office Word</Application>
  <DocSecurity>0</DocSecurity>
  <Lines>42</Lines>
  <Paragraphs>11</Paragraphs>
  <ScaleCrop>false</ScaleCrop>
  <Company>Microsoft</Company>
  <LinksUpToDate>false</LinksUpToDate>
  <CharactersWithSpaces>2370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高</cp:lastModifiedBy>
  <cp:revision>21</cp:revision>
  <dcterms:created xsi:type="dcterms:W3CDTF">2019-03-04T09:01:00Z</dcterms:created>
  <dcterms:modified xsi:type="dcterms:W3CDTF">2025-11-27T18:23:44Z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E7C5EAB1546442CBA330423247C73DB4</vt:lpwstr>
  </property>
  <property fmtid="{D5CDD505-2E9C-101B-9397-08002B2CF9AE}" pid="3" name="KSOProductBuildVer">
    <vt:lpwstr>2052-12.1.0.24034</vt:lpwstr>
  </property>
  <property fmtid="{D5CDD505-2E9C-101B-9397-08002B2CF9AE}" pid="4" name="KSOTemplateDocerSaveRecord">
    <vt:lpwstr>eyJoZGlkIjoiYjNkMjBiZWMwOTdhZGQ2MWQ5ZDY4YmViMWU1MzUxNjMiLCJ1c2VySWQiOiIxNTUxODc1Nzk4In0=</vt:lpwstr>
  </property>
</Properties>
</file>