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rPr>
          <w:sz w:val="2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-1225550</wp:posOffset>
            </wp:positionH>
            <wp:positionV relativeFrom="paragraph">
              <wp:posOffset>-1148715</wp:posOffset>
            </wp:positionV>
            <wp:extent cx="7702550" cy="1120838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2918" cy="11223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tabs>
          <w:tab w:val="left" w:pos="6690"/>
        </w:tabs>
        <w:ind w:firstLine="964"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</w:p>
    <w:p>
      <w:pPr>
        <w:rPr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  <w:lang w:val="en-US" w:eastAsia="zh-CN"/>
        </w:rPr>
        <w:t>人力资源</w:t>
      </w:r>
      <w:r>
        <w:rPr>
          <w:rFonts w:hint="eastAsia"/>
          <w:b/>
          <w:sz w:val="48"/>
          <w:szCs w:val="48"/>
        </w:rPr>
        <w:t>工作总结报告</w:t>
      </w:r>
    </w:p>
    <w:p>
      <w:pPr>
        <w:spacing w:after="156" w:afterLines="50"/>
        <w:jc w:val="center"/>
        <w:rPr>
          <w:b/>
          <w:sz w:val="48"/>
          <w:szCs w:val="48"/>
        </w:rPr>
      </w:pPr>
    </w:p>
    <w:p>
      <w:pPr>
        <w:spacing w:after="156" w:afterLines="50"/>
        <w:jc w:val="center"/>
        <w:rPr>
          <w:b/>
          <w:sz w:val="48"/>
          <w:szCs w:val="48"/>
        </w:rPr>
      </w:pPr>
    </w:p>
    <w:p>
      <w:pPr>
        <w:spacing w:after="156" w:afterLines="50"/>
        <w:jc w:val="center"/>
        <w:rPr>
          <w:b/>
          <w:sz w:val="48"/>
          <w:szCs w:val="48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9</w:t>
      </w:r>
      <w:r>
        <w:rPr>
          <w:rFonts w:ascii="宋体" w:hAnsi="宋体" w:cs="宋体" w:hint="eastAsia"/>
          <w:b/>
          <w:bCs/>
          <w:sz w:val="36"/>
          <w:szCs w:val="36"/>
        </w:rPr>
        <w:t>-</w:t>
      </w:r>
      <w:r>
        <w:rPr>
          <w:rFonts w:ascii="宋体" w:hAnsi="宋体" w:cs="宋体"/>
          <w:b/>
          <w:bCs/>
          <w:sz w:val="36"/>
          <w:szCs w:val="36"/>
        </w:rPr>
        <w:t>11</w:t>
      </w:r>
    </w:p>
    <w:p>
      <w:pPr>
        <w:spacing w:after="156" w:afterLines="50"/>
        <w:ind w:firstLine="720"/>
        <w:rPr>
          <w:sz w:val="36"/>
          <w:szCs w:val="36"/>
        </w:rPr>
      </w:pPr>
    </w:p>
    <w:p>
      <w:pPr>
        <w:spacing w:after="156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王海燕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赵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鑫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before="312" w:beforeLines="100" w:after="312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1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序号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1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1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1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1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1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1.0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王海燕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spacing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spacing w:line="240" w:lineRule="auto"/>
              <w:rPr>
                <w:rFonts w:ascii="微软雅黑" w:eastAsia="微软雅黑" w:hAnsi="微软雅黑" w:hint="default"/>
                <w:lang w:val="en-US" w:eastAsia="zh-CN"/>
              </w:rPr>
            </w:pPr>
            <w:r>
              <w:rPr>
                <w:rFonts w:ascii="微软雅黑" w:eastAsia="微软雅黑" w:hAnsi="微软雅黑" w:hint="eastAsia"/>
              </w:rPr>
              <w:t>20</w:t>
            </w:r>
            <w:r>
              <w:rPr>
                <w:rFonts w:ascii="微软雅黑" w:eastAsia="微软雅黑" w:hAnsi="微软雅黑" w:hint="eastAsia"/>
                <w:lang w:eastAsia="zh-CN"/>
              </w:rPr>
              <w:t>25</w:t>
            </w:r>
            <w:r>
              <w:rPr>
                <w:rFonts w:ascii="微软雅黑" w:eastAsia="微软雅黑" w:hAnsi="微软雅黑" w:hint="eastAsia"/>
              </w:rPr>
              <w:t>.</w:t>
            </w:r>
            <w:r>
              <w:rPr>
                <w:rFonts w:ascii="微软雅黑" w:eastAsia="微软雅黑" w:hAnsi="微软雅黑" w:hint="eastAsia"/>
                <w:lang w:val="en-US" w:eastAsia="zh-CN"/>
              </w:rPr>
              <w:t>11.5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pStyle w:val="a2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rPr>
          <w:rFonts w:ascii="仿宋" w:eastAsia="仿宋" w:hAnsi="仿宋" w:cs="仿宋"/>
        </w:rPr>
      </w:pPr>
    </w:p>
    <w:p/>
    <w:p>
      <w:r>
        <w:br w:type="page"/>
      </w:r>
    </w:p>
    <w:sdt>
      <w:sdtPr>
        <w:rPr>
          <w:rFonts w:ascii="微软雅黑" w:eastAsia="微软雅黑" w:hAnsi="微软雅黑" w:cs="微软雅黑" w:hint="eastAsia"/>
          <w:szCs w:val="24"/>
        </w:rPr>
        <w:id w:val="147463561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="微软雅黑" w:hint="eastAsia"/>
          <w:b/>
          <w:szCs w:val="24"/>
        </w:rPr>
      </w:sdtEndPr>
      <w:sdtContent>
        <w:p>
          <w:pPr>
            <w:jc w:val="center"/>
            <w:rPr>
              <w:rFonts w:ascii="微软雅黑" w:eastAsia="微软雅黑" w:hAnsi="微软雅黑" w:cs="微软雅黑"/>
              <w:szCs w:val="24"/>
            </w:rPr>
          </w:pPr>
          <w:r>
            <w:rPr>
              <w:rFonts w:ascii="微软雅黑" w:eastAsia="微软雅黑" w:hAnsi="微软雅黑" w:cs="微软雅黑" w:hint="eastAsia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微软雅黑" w:eastAsia="微软雅黑" w:hAnsi="微软雅黑" w:cs="微软雅黑" w:hint="eastAsia"/>
              <w:kern w:val="0"/>
              <w:szCs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szCs w:val="24"/>
            </w:rPr>
            <w:instrText xml:space="preserve">TOC \o "1-2" \h \u </w:instrText>
          </w:r>
          <w:r>
            <w:rPr>
              <w:rFonts w:ascii="微软雅黑" w:eastAsia="微软雅黑" w:hAnsi="微软雅黑" w:cs="微软雅黑" w:hint="eastAsia"/>
              <w:kern w:val="0"/>
              <w:szCs w:val="24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kern w:val="0"/>
              <w:szCs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kern w:val="0"/>
              <w:szCs w:val="24"/>
            </w:rPr>
            <w:instrText xml:space="preserve"> HYPERLINK \l _Toc2841 </w:instrText>
          </w:r>
          <w:r>
            <w:rPr>
              <w:rFonts w:ascii="微软雅黑" w:eastAsia="微软雅黑" w:hAnsi="微软雅黑" w:cs="微软雅黑" w:hint="eastAsia"/>
              <w:kern w:val="0"/>
              <w:szCs w:val="24"/>
            </w:rPr>
            <w:fldChar w:fldCharType="separate"/>
          </w:r>
          <w:r>
            <w:rPr>
              <w:rFonts w:ascii="微软雅黑" w:eastAsia="微软雅黑" w:hAnsi="微软雅黑" w:cs="微软雅黑" w:hint="default"/>
              <w:bCs/>
              <w:szCs w:val="24"/>
            </w:rPr>
            <w:t xml:space="preserve">1. </w:t>
          </w:r>
          <w:r>
            <w:rPr>
              <w:rFonts w:ascii="微软雅黑" w:eastAsia="微软雅黑" w:hAnsi="微软雅黑" w:cs="微软雅黑" w:hint="eastAsia"/>
              <w:bCs/>
              <w:szCs w:val="24"/>
            </w:rPr>
            <w:t>招聘计划及人员储备计划完成情况</w:t>
          </w:r>
          <w:r>
            <w:tab/>
          </w:r>
          <w:r>
            <w:fldChar w:fldCharType="begin"/>
          </w:r>
          <w:r>
            <w:instrText xml:space="preserve"> PAGEREF _Toc2841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kern w:val="0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微软雅黑" w:eastAsia="微软雅黑" w:hAnsi="微软雅黑" w:cs="微软雅黑" w:hint="eastAsia"/>
              <w:szCs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szCs w:val="24"/>
            </w:rPr>
            <w:instrText xml:space="preserve"> HYPERLINK \l _Toc16998 </w:instrText>
          </w:r>
          <w:r>
            <w:rPr>
              <w:rFonts w:ascii="微软雅黑" w:eastAsia="微软雅黑" w:hAnsi="微软雅黑" w:cs="微软雅黑" w:hint="eastAsia"/>
              <w:szCs w:val="24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bCs/>
              <w:szCs w:val="24"/>
            </w:rPr>
            <w:t>1.1人员招聘</w:t>
          </w:r>
          <w:r>
            <w:tab/>
          </w:r>
          <w:r>
            <w:fldChar w:fldCharType="begin"/>
          </w:r>
          <w:r>
            <w:instrText xml:space="preserve"> PAGEREF _Toc16998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微软雅黑" w:eastAsia="微软雅黑" w:hAnsi="微软雅黑" w:cs="微软雅黑" w:hint="eastAsia"/>
              <w:szCs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szCs w:val="24"/>
            </w:rPr>
            <w:instrText xml:space="preserve"> HYPERLINK \l _Toc11730 </w:instrText>
          </w:r>
          <w:r>
            <w:rPr>
              <w:rFonts w:ascii="微软雅黑" w:eastAsia="微软雅黑" w:hAnsi="微软雅黑" w:cs="微软雅黑" w:hint="eastAsia"/>
              <w:szCs w:val="24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bCs/>
              <w:szCs w:val="24"/>
            </w:rPr>
            <w:t>1.2人员储备</w:t>
          </w:r>
          <w:r>
            <w:tab/>
          </w:r>
          <w:r>
            <w:fldChar w:fldCharType="begin"/>
          </w:r>
          <w:r>
            <w:instrText xml:space="preserve"> PAGEREF _Toc11730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微软雅黑" w:eastAsia="微软雅黑" w:hAnsi="微软雅黑" w:cs="微软雅黑" w:hint="eastAsia"/>
              <w:szCs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szCs w:val="24"/>
            </w:rPr>
            <w:instrText xml:space="preserve"> HYPERLINK \l _Toc23948 </w:instrText>
          </w:r>
          <w:r>
            <w:rPr>
              <w:rFonts w:ascii="微软雅黑" w:eastAsia="微软雅黑" w:hAnsi="微软雅黑" w:cs="微软雅黑" w:hint="eastAsia"/>
              <w:szCs w:val="24"/>
            </w:rPr>
            <w:fldChar w:fldCharType="separate"/>
          </w:r>
          <w:r>
            <w:rPr>
              <w:rFonts w:ascii="微软雅黑" w:eastAsia="微软雅黑" w:hAnsi="微软雅黑" w:cs="微软雅黑" w:hint="default"/>
              <w:bCs/>
              <w:szCs w:val="24"/>
            </w:rPr>
            <w:t xml:space="preserve">2. </w:t>
          </w:r>
          <w:r>
            <w:rPr>
              <w:rFonts w:ascii="微软雅黑" w:eastAsia="微软雅黑" w:hAnsi="微软雅黑" w:cs="微软雅黑" w:hint="eastAsia"/>
              <w:bCs/>
              <w:szCs w:val="24"/>
            </w:rPr>
            <w:t>人员培训</w:t>
          </w:r>
          <w:r>
            <w:tab/>
          </w:r>
          <w:r>
            <w:fldChar w:fldCharType="begin"/>
          </w:r>
          <w:r>
            <w:instrText xml:space="preserve"> PAGEREF _Toc23948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微软雅黑" w:eastAsia="微软雅黑" w:hAnsi="微软雅黑" w:cs="微软雅黑" w:hint="eastAsia"/>
              <w:szCs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szCs w:val="24"/>
            </w:rPr>
            <w:instrText xml:space="preserve"> HYPERLINK \l _Toc18068 </w:instrText>
          </w:r>
          <w:r>
            <w:rPr>
              <w:rFonts w:ascii="微软雅黑" w:eastAsia="微软雅黑" w:hAnsi="微软雅黑" w:cs="微软雅黑" w:hint="eastAsia"/>
              <w:szCs w:val="24"/>
            </w:rPr>
            <w:fldChar w:fldCharType="separate"/>
          </w:r>
          <w:r>
            <w:rPr>
              <w:rFonts w:ascii="微软雅黑" w:eastAsia="微软雅黑" w:hAnsi="微软雅黑" w:cs="微软雅黑" w:hint="default"/>
              <w:bCs/>
              <w:szCs w:val="24"/>
            </w:rPr>
            <w:t xml:space="preserve">3. </w:t>
          </w:r>
          <w:r>
            <w:rPr>
              <w:rFonts w:ascii="微软雅黑" w:eastAsia="微软雅黑" w:hAnsi="微软雅黑" w:cs="微软雅黑" w:hint="eastAsia"/>
              <w:bCs/>
              <w:szCs w:val="24"/>
            </w:rPr>
            <w:t>绩效考核</w:t>
          </w:r>
          <w:r>
            <w:tab/>
          </w:r>
          <w:r>
            <w:fldChar w:fldCharType="begin"/>
          </w:r>
          <w:r>
            <w:instrText xml:space="preserve"> PAGEREF _Toc18068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szCs w:val="24"/>
            </w:rPr>
            <w:fldChar w:fldCharType="end"/>
          </w:r>
        </w:p>
        <w:p>
          <w:pPr>
            <w:rPr>
              <w:rFonts w:ascii="微软雅黑" w:eastAsia="微软雅黑" w:hAnsi="微软雅黑" w:cs="微软雅黑"/>
              <w:szCs w:val="24"/>
            </w:rPr>
          </w:pPr>
          <w:r>
            <w:rPr>
              <w:rFonts w:ascii="微软雅黑" w:eastAsia="微软雅黑" w:hAnsi="微软雅黑" w:cs="微软雅黑" w:hint="eastAsia"/>
              <w:szCs w:val="24"/>
            </w:rPr>
            <w:fldChar w:fldCharType="end"/>
          </w:r>
        </w:p>
      </w:sdtContent>
    </w:sdt>
    <w:p>
      <w:pPr>
        <w:rPr>
          <w:rFonts w:ascii="仿宋" w:eastAsia="仿宋" w:hAnsi="仿宋"/>
        </w:rPr>
      </w:pPr>
    </w:p>
    <w:p>
      <w:pPr>
        <w:pStyle w:val="ListParagraph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 w:cs="微软雅黑"/>
          <w:b/>
          <w:bCs/>
          <w:szCs w:val="24"/>
        </w:rPr>
        <w:sectPr>
          <w:headerReference w:type="default" r:id="rId6"/>
          <w:pgSz w:w="11906" w:h="16838"/>
          <w:pgMar w:top="1440" w:right="1800" w:bottom="1440" w:left="1800" w:header="851" w:footer="992" w:gutter="0"/>
          <w:pgNumType w:fmt="decimal" w:start="1"/>
          <w:cols w:num="1" w:space="425"/>
          <w:docGrid w:type="lines" w:linePitch="312" w:charSpace="0"/>
        </w:sectPr>
      </w:pPr>
      <w:bookmarkStart w:id="0" w:name="_Toc1689"/>
      <w:bookmarkStart w:id="1" w:name="_Toc13065"/>
      <w:bookmarkStart w:id="2" w:name="_Toc2841"/>
    </w:p>
    <w:p>
      <w:pPr>
        <w:pStyle w:val="ListParagraph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 w:cs="微软雅黑"/>
          <w:b/>
          <w:bCs/>
          <w:szCs w:val="24"/>
        </w:rPr>
      </w:pPr>
      <w:r>
        <w:rPr>
          <w:rFonts w:ascii="微软雅黑" w:eastAsia="微软雅黑" w:hAnsi="微软雅黑" w:cs="微软雅黑" w:hint="eastAsia"/>
          <w:b/>
          <w:bCs/>
          <w:szCs w:val="24"/>
        </w:rPr>
        <w:t>招聘计划及人员储备计划完成情况</w:t>
      </w:r>
      <w:bookmarkEnd w:id="0"/>
      <w:bookmarkEnd w:id="1"/>
      <w:bookmarkEnd w:id="2"/>
    </w:p>
    <w:p>
      <w:pPr>
        <w:pStyle w:val="ListParagraph"/>
        <w:ind w:left="360" w:firstLine="0" w:firstLineChars="0"/>
        <w:rPr>
          <w:rFonts w:ascii="微软雅黑" w:eastAsia="微软雅黑" w:hAnsi="微软雅黑" w:cs="微软雅黑"/>
          <w:szCs w:val="24"/>
        </w:rPr>
      </w:pPr>
    </w:p>
    <w:p>
      <w:pPr>
        <w:pStyle w:val="ListParagraph"/>
        <w:ind w:left="357" w:firstLine="120" w:firstLineChars="50"/>
        <w:outlineLvl w:val="1"/>
        <w:rPr>
          <w:rFonts w:ascii="微软雅黑" w:eastAsia="微软雅黑" w:hAnsi="微软雅黑" w:cs="微软雅黑"/>
          <w:b/>
          <w:bCs/>
          <w:szCs w:val="24"/>
        </w:rPr>
      </w:pPr>
      <w:bookmarkStart w:id="3" w:name="_Toc16998"/>
      <w:bookmarkStart w:id="4" w:name="_Toc4791"/>
      <w:r>
        <w:rPr>
          <w:rFonts w:ascii="微软雅黑" w:eastAsia="微软雅黑" w:hAnsi="微软雅黑" w:cs="微软雅黑" w:hint="eastAsia"/>
          <w:b/>
          <w:bCs/>
          <w:szCs w:val="24"/>
        </w:rPr>
        <w:t>1.1人员招聘</w:t>
      </w:r>
      <w:bookmarkEnd w:id="3"/>
      <w:bookmarkEnd w:id="4"/>
    </w:p>
    <w:p>
      <w:pPr>
        <w:spacing w:line="360" w:lineRule="auto"/>
        <w:ind w:firstLine="425" w:firstLineChars="177"/>
        <w:rPr>
          <w:rFonts w:ascii="微软雅黑" w:eastAsia="微软雅黑" w:hAnsi="微软雅黑" w:cs="微软雅黑" w:hint="eastAsia"/>
          <w:szCs w:val="24"/>
        </w:rPr>
      </w:pPr>
      <w:r>
        <w:rPr>
          <w:rFonts w:ascii="微软雅黑" w:eastAsia="微软雅黑" w:hAnsi="微软雅黑" w:cs="微软雅黑" w:hint="eastAsia"/>
          <w:szCs w:val="24"/>
        </w:rPr>
        <w:t>截止20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25</w:t>
      </w:r>
      <w:r>
        <w:rPr>
          <w:rFonts w:ascii="微软雅黑" w:eastAsia="微软雅黑" w:hAnsi="微软雅黑" w:cs="微软雅黑" w:hint="eastAsia"/>
          <w:szCs w:val="24"/>
        </w:rPr>
        <w:t>年</w:t>
      </w:r>
      <w:r>
        <w:rPr>
          <w:rFonts w:ascii="微软雅黑" w:eastAsia="微软雅黑" w:hAnsi="微软雅黑" w:cs="微软雅黑" w:hint="eastAsia"/>
          <w:szCs w:val="24"/>
          <w:lang w:val="en-US" w:eastAsia="zh-CN"/>
        </w:rPr>
        <w:t>10</w:t>
      </w:r>
      <w:r>
        <w:rPr>
          <w:rFonts w:ascii="微软雅黑" w:eastAsia="微软雅黑" w:hAnsi="微软雅黑" w:cs="微软雅黑" w:hint="eastAsia"/>
          <w:szCs w:val="24"/>
        </w:rPr>
        <w:t>月底人员招聘内容完成情况如下表：</w:t>
      </w:r>
    </w:p>
    <w:tbl>
      <w:tblPr>
        <w:tblStyle w:val="TableNormal"/>
        <w:tblW w:w="8127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962"/>
        <w:gridCol w:w="1018"/>
        <w:gridCol w:w="999"/>
        <w:gridCol w:w="873"/>
        <w:gridCol w:w="1377"/>
        <w:gridCol w:w="1459"/>
        <w:gridCol w:w="869"/>
      </w:tblGrid>
      <w:tr>
        <w:tblPrEx>
          <w:tblW w:w="8127" w:type="dxa"/>
          <w:tblInd w:w="9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序号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需求部门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岗位类别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拟招聘岗位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招聘人数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计划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到岗日期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实际到岗时间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招聘渠道</w:t>
            </w:r>
          </w:p>
        </w:tc>
      </w:tr>
      <w:tr>
        <w:tblPrEx>
          <w:tblW w:w="8127" w:type="dxa"/>
          <w:tblInd w:w="9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1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运维部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技术支持岗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Cs w:val="28"/>
                <w:lang w:eastAsia="zh-CN"/>
              </w:rPr>
            </w:pPr>
            <w:r>
              <w:rPr>
                <w:rFonts w:ascii="宋体" w:eastAsia="宋体" w:hAnsi="宋体" w:hint="eastAsia"/>
                <w:szCs w:val="28"/>
                <w:lang w:eastAsia="zh-CN"/>
              </w:rPr>
              <w:t>运维工程师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/>
                <w:szCs w:val="28"/>
                <w:shd w:val="pct10" w:color="auto" w:fill="FFFFFF"/>
              </w:rPr>
            </w:pPr>
            <w:r>
              <w:rPr>
                <w:rFonts w:ascii="宋体" w:eastAsia="宋体" w:hAnsi="宋体" w:hint="eastAsia"/>
                <w:szCs w:val="28"/>
                <w:lang w:val="en-US" w:eastAsia="zh-CN"/>
              </w:rPr>
              <w:t>25年第1季度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2025.2.22</w:t>
            </w:r>
          </w:p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2025.3.12</w:t>
            </w:r>
          </w:p>
          <w:p>
            <w:pPr>
              <w:widowControl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2025.3.16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外部招聘</w:t>
            </w:r>
          </w:p>
        </w:tc>
      </w:tr>
      <w:tr>
        <w:tblPrEx>
          <w:tblW w:w="8127" w:type="dxa"/>
          <w:tblInd w:w="9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2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运维部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  <w:t>管理岗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Cs w:val="28"/>
                <w:lang w:eastAsia="zh-CN"/>
              </w:rPr>
            </w:pPr>
            <w:r>
              <w:rPr>
                <w:rFonts w:ascii="宋体" w:eastAsia="宋体" w:hAnsi="宋体" w:hint="eastAsia"/>
                <w:szCs w:val="28"/>
                <w:lang w:eastAsia="zh-CN"/>
              </w:rPr>
              <w:t>项目经理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hint="default"/>
                <w:szCs w:val="28"/>
                <w:lang w:val="en-US" w:eastAsia="zh-CN"/>
              </w:rPr>
            </w:pPr>
            <w:r>
              <w:rPr>
                <w:rFonts w:ascii="宋体" w:eastAsia="宋体" w:hAnsi="宋体" w:hint="eastAsia"/>
                <w:szCs w:val="28"/>
                <w:lang w:val="en-US" w:eastAsia="zh-CN"/>
              </w:rPr>
              <w:t>25年第1季度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2025.3.5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外部招聘</w:t>
            </w:r>
          </w:p>
        </w:tc>
      </w:tr>
      <w:tr>
        <w:tblPrEx>
          <w:tblW w:w="8127" w:type="dxa"/>
          <w:tblInd w:w="9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3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研发部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技术支持岗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研发工程师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hint="eastAsia"/>
                <w:szCs w:val="28"/>
                <w:lang w:eastAsia="zh-CN"/>
              </w:rPr>
            </w:pPr>
            <w:r>
              <w:rPr>
                <w:rFonts w:ascii="宋体" w:eastAsia="宋体" w:hAnsi="宋体" w:hint="eastAsia"/>
                <w:szCs w:val="28"/>
                <w:lang w:val="en-US" w:eastAsia="zh-CN"/>
              </w:rPr>
              <w:t>25年第1季度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2025.3.26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外部招聘</w:t>
            </w:r>
          </w:p>
        </w:tc>
      </w:tr>
      <w:tr>
        <w:tblPrEx>
          <w:tblW w:w="8127" w:type="dxa"/>
          <w:tblInd w:w="9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Cs w:val="28"/>
              </w:rPr>
              <w:t>4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运维部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操作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岗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服务台专员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hint="eastAsia"/>
                <w:szCs w:val="28"/>
                <w:lang w:val="en-US" w:eastAsia="zh-CN"/>
              </w:rPr>
            </w:pPr>
            <w:r>
              <w:rPr>
                <w:rFonts w:ascii="宋体" w:eastAsia="宋体" w:hAnsi="宋体" w:hint="eastAsia"/>
                <w:szCs w:val="28"/>
                <w:lang w:val="en-US" w:eastAsia="zh-CN"/>
              </w:rPr>
              <w:t>25年第2季度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2025.5.19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外部招聘</w:t>
            </w:r>
          </w:p>
        </w:tc>
      </w:tr>
      <w:tr>
        <w:tblPrEx>
          <w:tblW w:w="8127" w:type="dxa"/>
          <w:tblInd w:w="9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/>
        </w:trPr>
        <w:tc>
          <w:tcPr>
            <w:tcW w:w="3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合计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</w:p>
        </w:tc>
      </w:tr>
    </w:tbl>
    <w:p>
      <w:pPr>
        <w:spacing w:line="360" w:lineRule="auto"/>
        <w:ind w:firstLine="425" w:firstLineChars="177"/>
        <w:rPr>
          <w:rFonts w:ascii="微软雅黑" w:eastAsia="微软雅黑" w:hAnsi="微软雅黑" w:cs="微软雅黑" w:hint="eastAsia"/>
          <w:szCs w:val="24"/>
        </w:rPr>
      </w:pPr>
    </w:p>
    <w:p>
      <w:pPr>
        <w:spacing w:line="360" w:lineRule="auto"/>
        <w:ind w:firstLine="665" w:firstLineChars="277"/>
        <w:rPr>
          <w:rFonts w:ascii="微软雅黑" w:eastAsia="微软雅黑" w:hAnsi="微软雅黑" w:cs="微软雅黑"/>
          <w:szCs w:val="24"/>
        </w:rPr>
      </w:pPr>
      <w:r>
        <w:rPr>
          <w:rFonts w:ascii="微软雅黑" w:eastAsia="微软雅黑" w:hAnsi="微软雅黑" w:cs="微软雅黑" w:hint="eastAsia"/>
          <w:szCs w:val="24"/>
        </w:rPr>
        <w:t>截至20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25</w:t>
      </w:r>
      <w:r>
        <w:rPr>
          <w:rFonts w:ascii="微软雅黑" w:eastAsia="微软雅黑" w:hAnsi="微软雅黑" w:cs="微软雅黑" w:hint="eastAsia"/>
          <w:szCs w:val="24"/>
        </w:rPr>
        <w:t>年</w:t>
      </w:r>
      <w:r>
        <w:rPr>
          <w:rFonts w:ascii="微软雅黑" w:eastAsia="微软雅黑" w:hAnsi="微软雅黑" w:cs="微软雅黑" w:hint="eastAsia"/>
          <w:szCs w:val="24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szCs w:val="24"/>
        </w:rPr>
        <w:t>月底，公司共计招聘</w:t>
      </w:r>
      <w:r>
        <w:rPr>
          <w:rFonts w:ascii="微软雅黑" w:eastAsia="微软雅黑" w:hAnsi="微软雅黑" w:cs="微软雅黑" w:hint="eastAsia"/>
          <w:szCs w:val="24"/>
          <w:lang w:val="en-US" w:eastAsia="zh-CN"/>
        </w:rPr>
        <w:t>6</w:t>
      </w:r>
      <w:r>
        <w:rPr>
          <w:rFonts w:ascii="微软雅黑" w:eastAsia="微软雅黑" w:hAnsi="微软雅黑" w:cs="微软雅黑" w:hint="eastAsia"/>
          <w:szCs w:val="24"/>
        </w:rPr>
        <w:t>人，人员招聘按原计划已完成。</w:t>
      </w:r>
      <w:r>
        <w:rPr>
          <w:rFonts w:ascii="仿宋" w:eastAsia="仿宋" w:hAnsi="仿宋"/>
          <w:szCs w:val="24"/>
        </w:rPr>
        <w:t xml:space="preserve"> </w:t>
      </w:r>
    </w:p>
    <w:p>
      <w:pPr>
        <w:pStyle w:val="ListParagraph"/>
        <w:ind w:left="357" w:firstLine="120" w:firstLineChars="50"/>
        <w:outlineLvl w:val="1"/>
        <w:rPr>
          <w:rFonts w:ascii="微软雅黑" w:eastAsia="微软雅黑" w:hAnsi="微软雅黑" w:cs="微软雅黑"/>
          <w:b/>
          <w:bCs/>
          <w:szCs w:val="24"/>
        </w:rPr>
      </w:pPr>
      <w:bookmarkStart w:id="5" w:name="_Toc11730"/>
      <w:bookmarkStart w:id="6" w:name="_Toc18365"/>
      <w:r>
        <w:rPr>
          <w:rFonts w:ascii="微软雅黑" w:eastAsia="微软雅黑" w:hAnsi="微软雅黑" w:cs="微软雅黑" w:hint="eastAsia"/>
          <w:b/>
          <w:bCs/>
          <w:szCs w:val="24"/>
        </w:rPr>
        <w:t>1.2人员储备</w:t>
      </w:r>
      <w:bookmarkEnd w:id="5"/>
      <w:bookmarkEnd w:id="6"/>
    </w:p>
    <w:p>
      <w:pPr>
        <w:pStyle w:val="ListParagraph"/>
        <w:spacing w:line="360" w:lineRule="auto"/>
        <w:ind w:left="360" w:firstLine="360" w:firstLineChars="150"/>
        <w:rPr>
          <w:rFonts w:ascii="微软雅黑" w:eastAsia="微软雅黑" w:hAnsi="微软雅黑" w:cs="微软雅黑" w:hint="eastAsia"/>
          <w:szCs w:val="24"/>
        </w:rPr>
      </w:pPr>
      <w:r>
        <w:rPr>
          <w:rFonts w:ascii="微软雅黑" w:eastAsia="微软雅黑" w:hAnsi="微软雅黑" w:cs="微软雅黑" w:hint="eastAsia"/>
          <w:szCs w:val="24"/>
        </w:rPr>
        <w:t>公司开始计划针对管理岗、技术岗进行人员储备。充分发掘公司内部人员的潜在储备可行性，预防人员的特殊情况给服务带来的不利影响。截止20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25</w:t>
      </w:r>
      <w:r>
        <w:rPr>
          <w:rFonts w:ascii="微软雅黑" w:eastAsia="微软雅黑" w:hAnsi="微软雅黑" w:cs="微软雅黑" w:hint="eastAsia"/>
          <w:szCs w:val="24"/>
        </w:rPr>
        <w:t>年</w:t>
      </w:r>
      <w:r>
        <w:rPr>
          <w:rFonts w:ascii="微软雅黑" w:eastAsia="微软雅黑" w:hAnsi="微软雅黑" w:cs="微软雅黑" w:hint="eastAsia"/>
          <w:szCs w:val="24"/>
          <w:lang w:val="en-US" w:eastAsia="zh-CN"/>
        </w:rPr>
        <w:t>10</w:t>
      </w:r>
      <w:r>
        <w:rPr>
          <w:rFonts w:ascii="微软雅黑" w:eastAsia="微软雅黑" w:hAnsi="微软雅黑" w:cs="微软雅黑" w:hint="eastAsia"/>
          <w:szCs w:val="24"/>
        </w:rPr>
        <w:t>月对关健岗位的储备情况完成情况如下表：</w:t>
      </w:r>
    </w:p>
    <w:tbl>
      <w:tblPr>
        <w:tblStyle w:val="TableNormal"/>
        <w:tblW w:w="8514" w:type="dxa"/>
        <w:tblInd w:w="9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550"/>
        <w:gridCol w:w="934"/>
        <w:gridCol w:w="934"/>
        <w:gridCol w:w="1512"/>
        <w:gridCol w:w="1006"/>
        <w:gridCol w:w="910"/>
        <w:gridCol w:w="1035"/>
      </w:tblGrid>
      <w:tr>
        <w:tblPrEx>
          <w:tblW w:w="8514" w:type="dxa"/>
          <w:tblInd w:w="9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序号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储备内容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b/>
                <w:bCs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当前人数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储备人数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完成日期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责任</w:t>
            </w:r>
          </w:p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部门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储备渠道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完成</w:t>
            </w:r>
          </w:p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情况</w:t>
            </w:r>
          </w:p>
        </w:tc>
      </w:tr>
      <w:tr>
        <w:tblPrEx>
          <w:tblW w:w="8514" w:type="dxa"/>
          <w:tblInd w:w="9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项目经理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hint="default"/>
                <w:lang w:val="en-US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.3.30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Times New Roman"/>
                <w:sz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  <w:t>人力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部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内部储备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8514" w:type="dxa"/>
          <w:tblInd w:w="9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网络工程师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.3.30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Times New Roman"/>
                <w:sz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  <w:t>人力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部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内部储备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8514" w:type="dxa"/>
          <w:tblInd w:w="9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3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  <w:t>研发工程师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1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2025.6.28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Times New Roman" w:hint="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eastAsia="zh-CN"/>
              </w:rPr>
              <w:t>人力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部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内部储备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8514" w:type="dxa"/>
          <w:tblInd w:w="9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/>
        </w:trPr>
        <w:tc>
          <w:tcPr>
            <w:tcW w:w="21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合计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default"/>
                <w:b/>
                <w:bCs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15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6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</w:p>
        </w:tc>
      </w:tr>
    </w:tbl>
    <w:p>
      <w:pPr>
        <w:widowControl/>
        <w:spacing w:line="360" w:lineRule="auto"/>
        <w:ind w:firstLine="425" w:firstLineChars="177"/>
        <w:jc w:val="left"/>
        <w:rPr>
          <w:rFonts w:ascii="微软雅黑" w:eastAsia="微软雅黑" w:hAnsi="微软雅黑" w:cs="微软雅黑"/>
          <w:szCs w:val="24"/>
        </w:rPr>
      </w:pPr>
      <w:r>
        <w:rPr>
          <w:rFonts w:ascii="微软雅黑" w:eastAsia="微软雅黑" w:hAnsi="微软雅黑" w:cs="微软雅黑" w:hint="eastAsia"/>
          <w:szCs w:val="24"/>
        </w:rPr>
        <w:t>截至20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25</w:t>
      </w:r>
      <w:r>
        <w:rPr>
          <w:rFonts w:ascii="微软雅黑" w:eastAsia="微软雅黑" w:hAnsi="微软雅黑" w:cs="微软雅黑" w:hint="eastAsia"/>
          <w:szCs w:val="24"/>
        </w:rPr>
        <w:t>年</w:t>
      </w:r>
      <w:r>
        <w:rPr>
          <w:rFonts w:ascii="微软雅黑" w:eastAsia="微软雅黑" w:hAnsi="微软雅黑" w:cs="微软雅黑" w:hint="eastAsia"/>
          <w:szCs w:val="24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szCs w:val="24"/>
        </w:rPr>
        <w:t>月，人员储备计划按关键岗位要求完成。依据储备要求，储备人员及被储备人员已经按要求进行准备工作。</w:t>
      </w:r>
    </w:p>
    <w:p>
      <w:pPr>
        <w:rPr>
          <w:rFonts w:ascii="微软雅黑" w:eastAsia="微软雅黑" w:hAnsi="微软雅黑" w:cs="微软雅黑"/>
          <w:szCs w:val="24"/>
        </w:rPr>
      </w:pPr>
    </w:p>
    <w:p>
      <w:pPr>
        <w:pStyle w:val="ListParagraph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 w:cs="微软雅黑"/>
          <w:b/>
          <w:bCs/>
          <w:szCs w:val="24"/>
        </w:rPr>
      </w:pPr>
      <w:bookmarkStart w:id="7" w:name="_Toc16943"/>
      <w:bookmarkStart w:id="8" w:name="_Toc17767"/>
      <w:bookmarkStart w:id="9" w:name="_Toc23948"/>
      <w:r>
        <w:rPr>
          <w:rFonts w:ascii="微软雅黑" w:eastAsia="微软雅黑" w:hAnsi="微软雅黑" w:cs="微软雅黑" w:hint="eastAsia"/>
          <w:b/>
          <w:bCs/>
          <w:szCs w:val="24"/>
        </w:rPr>
        <w:t>人员培训</w:t>
      </w:r>
      <w:bookmarkEnd w:id="7"/>
      <w:bookmarkEnd w:id="8"/>
      <w:bookmarkEnd w:id="9"/>
    </w:p>
    <w:p>
      <w:pPr>
        <w:spacing w:line="360" w:lineRule="auto"/>
        <w:ind w:firstLine="425" w:firstLineChars="177"/>
        <w:rPr>
          <w:rFonts w:ascii="微软雅黑" w:eastAsia="微软雅黑" w:hAnsi="微软雅黑" w:cs="微软雅黑"/>
          <w:color w:val="FF0000"/>
          <w:szCs w:val="24"/>
        </w:rPr>
      </w:pPr>
      <w:r>
        <w:rPr>
          <w:rFonts w:ascii="微软雅黑" w:eastAsia="微软雅黑" w:hAnsi="微软雅黑" w:cs="微软雅黑" w:hint="eastAsia"/>
          <w:szCs w:val="24"/>
        </w:rPr>
        <w:t>截</w:t>
      </w:r>
      <w:r>
        <w:rPr>
          <w:rFonts w:ascii="微软雅黑" w:eastAsia="微软雅黑" w:hAnsi="微软雅黑" w:cs="微软雅黑" w:hint="eastAsia"/>
          <w:color w:val="000000" w:themeColor="text1"/>
          <w:szCs w:val="24"/>
        </w:rPr>
        <w:t>止20</w:t>
      </w:r>
      <w:r>
        <w:rPr>
          <w:rFonts w:ascii="微软雅黑" w:eastAsia="微软雅黑" w:hAnsi="微软雅黑" w:cs="微软雅黑" w:hint="eastAsia"/>
          <w:color w:val="000000" w:themeColor="text1"/>
          <w:szCs w:val="24"/>
          <w:lang w:eastAsia="zh-CN"/>
        </w:rPr>
        <w:t>25</w:t>
      </w:r>
      <w:r>
        <w:rPr>
          <w:rFonts w:ascii="微软雅黑" w:eastAsia="微软雅黑" w:hAnsi="微软雅黑" w:cs="微软雅黑" w:hint="eastAsia"/>
          <w:color w:val="000000" w:themeColor="text1"/>
          <w:szCs w:val="24"/>
        </w:rPr>
        <w:t>年</w:t>
      </w:r>
      <w:r>
        <w:rPr>
          <w:rFonts w:ascii="微软雅黑" w:eastAsia="微软雅黑" w:hAnsi="微软雅黑" w:cs="微软雅黑" w:hint="eastAsia"/>
          <w:color w:val="000000" w:themeColor="text1"/>
          <w:szCs w:val="24"/>
          <w:lang w:val="en-US" w:eastAsia="zh-CN"/>
        </w:rPr>
        <w:t>10</w:t>
      </w:r>
      <w:r>
        <w:rPr>
          <w:rFonts w:ascii="微软雅黑" w:eastAsia="微软雅黑" w:hAnsi="微软雅黑" w:cs="微软雅黑" w:hint="eastAsia"/>
          <w:color w:val="000000" w:themeColor="text1"/>
          <w:szCs w:val="24"/>
        </w:rPr>
        <w:t>月底，公司共计组织培训</w:t>
      </w:r>
      <w:r>
        <w:rPr>
          <w:rFonts w:ascii="微软雅黑" w:eastAsia="微软雅黑" w:hAnsi="微软雅黑" w:cs="微软雅黑" w:hint="eastAsia"/>
          <w:color w:val="000000" w:themeColor="text1"/>
          <w:szCs w:val="24"/>
          <w:lang w:val="en-US" w:eastAsia="zh-CN"/>
        </w:rPr>
        <w:t>12</w:t>
      </w:r>
      <w:r>
        <w:rPr>
          <w:rFonts w:ascii="微软雅黑" w:eastAsia="微软雅黑" w:hAnsi="微软雅黑" w:cs="微软雅黑" w:hint="eastAsia"/>
          <w:color w:val="000000" w:themeColor="text1"/>
          <w:szCs w:val="24"/>
        </w:rPr>
        <w:t>次，其中新员工培训5次，共计</w:t>
      </w:r>
      <w:r>
        <w:rPr>
          <w:rFonts w:ascii="微软雅黑" w:eastAsia="微软雅黑" w:hAnsi="微软雅黑" w:cs="微软雅黑" w:hint="eastAsia"/>
          <w:color w:val="000000" w:themeColor="text1"/>
          <w:szCs w:val="24"/>
          <w:lang w:val="en-US" w:eastAsia="zh-CN"/>
        </w:rPr>
        <w:t>56</w:t>
      </w:r>
      <w:r>
        <w:rPr>
          <w:rFonts w:ascii="微软雅黑" w:eastAsia="微软雅黑" w:hAnsi="微软雅黑" w:cs="微软雅黑" w:hint="eastAsia"/>
          <w:color w:val="000000" w:themeColor="text1"/>
          <w:szCs w:val="24"/>
        </w:rPr>
        <w:t>课时，花费</w:t>
      </w:r>
      <w:r>
        <w:rPr>
          <w:rFonts w:ascii="微软雅黑" w:eastAsia="微软雅黑" w:hAnsi="微软雅黑" w:cs="微软雅黑" w:hint="eastAsia"/>
          <w:color w:val="000000" w:themeColor="text1"/>
          <w:szCs w:val="24"/>
          <w:lang w:val="en-US" w:eastAsia="zh-CN"/>
        </w:rPr>
        <w:t>12500</w:t>
      </w:r>
      <w:r>
        <w:rPr>
          <w:rFonts w:ascii="微软雅黑" w:eastAsia="微软雅黑" w:hAnsi="微软雅黑" w:cs="微软雅黑" w:hint="eastAsia"/>
          <w:color w:val="000000" w:themeColor="text1"/>
          <w:szCs w:val="24"/>
        </w:rPr>
        <w:t>元。</w:t>
      </w:r>
    </w:p>
    <w:p>
      <w:pPr>
        <w:pStyle w:val="ListParagraph"/>
        <w:spacing w:line="360" w:lineRule="auto"/>
        <w:ind w:left="360" w:firstLine="0" w:firstLineChars="0"/>
        <w:rPr>
          <w:rFonts w:ascii="微软雅黑" w:eastAsia="微软雅黑" w:hAnsi="微软雅黑" w:cs="微软雅黑"/>
          <w:szCs w:val="24"/>
        </w:rPr>
      </w:pPr>
      <w:r>
        <w:rPr>
          <w:rFonts w:ascii="微软雅黑" w:eastAsia="微软雅黑" w:hAnsi="微软雅黑" w:cs="微软雅黑" w:hint="eastAsia"/>
          <w:szCs w:val="24"/>
        </w:rPr>
        <w:t>具体培训实施情况如下表：</w:t>
      </w:r>
    </w:p>
    <w:tbl>
      <w:tblPr>
        <w:tblStyle w:val="TableNormal"/>
        <w:tblW w:w="9265" w:type="dxa"/>
        <w:tblInd w:w="-36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1176"/>
        <w:gridCol w:w="1262"/>
        <w:gridCol w:w="1000"/>
        <w:gridCol w:w="737"/>
        <w:gridCol w:w="862"/>
        <w:gridCol w:w="1062"/>
        <w:gridCol w:w="713"/>
        <w:gridCol w:w="1117"/>
        <w:gridCol w:w="683"/>
      </w:tblGrid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bookmarkStart w:id="10" w:name="_GoBack"/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编号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名称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主要内容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培训对象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培训类别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讲师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计划培训时间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实际课时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预计培训费用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eastAsia="zh-CN"/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元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eastAsia="zh-CN"/>
              </w:rPr>
              <w:t>）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  <w:lang w:val="en-US" w:eastAsia="zh-CN"/>
              </w:rPr>
              <w:t>完成情况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新员工入职培训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员工手册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新员工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王海燕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新员工到岗一周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已完成5次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2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ITSS运维</w:t>
            </w: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体系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ITSS通用要求；ITSS成熟度模型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运维相关人员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内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胡葛鹏宇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2025.01.19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3000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3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项目经理培训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项目管理内容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项目经理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内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胡葛鹏宇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2025.01.25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4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运维工具使用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运维过程管理工具使用操作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运维相关人员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李宁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2025.02.15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5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服务台规范培训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服务台流程、规范操作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运维相关人员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胡葛鹏宇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2025.02.30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6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知识库管理培训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知识库制度、操作培训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胡葛鹏宇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2025.03.12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3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7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硬件加速系统培训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硬件加速系统知识手册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游天舒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2025.03.28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6h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1200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8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VMWare虚拟化技术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团队合作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游天舒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2025.04.18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6h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1200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9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团队户外拓展训练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户外拓展，团队配合培训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全体员工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内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王海燕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2025.05.09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1800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安全运维培训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安全运维流程及相关知识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胡葛鹏宇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2025.05.25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11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身份认证系统培训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身份认证系统流程操作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游天舒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2025.06.08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12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管理能力、胜任力培训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管理能力、胜任力培训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管理人员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王海燕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2025.06.28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</w:t>
            </w:r>
            <w:r>
              <w:rPr>
                <w:rFonts w:ascii="宋体" w:eastAsia="宋体" w:hAnsi="宋体" w:cs="宋体"/>
                <w:kern w:val="0"/>
                <w:szCs w:val="28"/>
              </w:rPr>
              <w:t>4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数据可视化管理系统培训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数据可视化管理系统操作手册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游天舒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2025.07.12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</w:t>
            </w:r>
            <w:r>
              <w:rPr>
                <w:rFonts w:ascii="宋体" w:eastAsia="宋体" w:hAnsi="宋体" w:cs="宋体"/>
                <w:kern w:val="0"/>
                <w:szCs w:val="28"/>
              </w:rPr>
              <w:t>5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团队意识培训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团队意识管理培训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全体员工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王海燕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2025.08.25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</w:t>
            </w:r>
            <w:r>
              <w:rPr>
                <w:rFonts w:ascii="宋体" w:eastAsia="宋体" w:hAnsi="宋体" w:cs="宋体"/>
                <w:kern w:val="0"/>
                <w:szCs w:val="28"/>
              </w:rPr>
              <w:t>6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服务型企业制胜法则培训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管理思路、战略培训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管理人员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王海燕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2025.09.11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1</w:t>
            </w:r>
            <w:r>
              <w:rPr>
                <w:rFonts w:ascii="宋体" w:eastAsia="宋体" w:hAnsi="宋体" w:cs="宋体"/>
                <w:kern w:val="0"/>
                <w:szCs w:val="28"/>
              </w:rPr>
              <w:t>8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打造一流团队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管理技巧培训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管理人员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内训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胡葛鹏宇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2025.10.20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已完成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19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信息安全专业培训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安全策略等技术类培训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技术人员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内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胡葛鹏宇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2025.11.16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未完成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20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项目管理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高级项目经理课程培训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项目经理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内</w:t>
            </w:r>
            <w:r>
              <w:rPr>
                <w:rFonts w:ascii="宋体" w:eastAsia="宋体" w:hAnsi="宋体" w:cs="宋体" w:hint="eastAsia"/>
                <w:kern w:val="0"/>
                <w:szCs w:val="28"/>
              </w:rPr>
              <w:t>训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胡葛鹏宇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2025.12.22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4h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 w:hint="default"/>
                <w:kern w:val="0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800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  <w:lang w:val="en-US" w:eastAsia="zh-CN"/>
              </w:rPr>
              <w:t>未完成</w:t>
            </w:r>
          </w:p>
        </w:tc>
      </w:tr>
      <w:tr>
        <w:tblPrEx>
          <w:tblW w:w="9265" w:type="dxa"/>
          <w:tblInd w:w="-366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仿宋"/>
                <w:b/>
                <w:color w:val="000000"/>
                <w:szCs w:val="24"/>
              </w:rPr>
            </w:pPr>
            <w:r>
              <w:rPr>
                <w:rFonts w:ascii="宋体" w:eastAsia="宋体" w:hAnsi="宋体" w:cs="仿宋" w:hint="eastAsia"/>
                <w:b/>
                <w:color w:val="000000"/>
                <w:kern w:val="0"/>
                <w:szCs w:val="24"/>
              </w:rPr>
              <w:t>合计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eastAsia="宋体" w:hAnsi="宋体" w:cs="仿宋"/>
                <w:b/>
                <w:color w:val="000000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eastAsia="宋体" w:hAnsi="宋体" w:cs="仿宋"/>
                <w:b/>
                <w:color w:val="000000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仿宋"/>
                <w:b/>
                <w:color w:val="000000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仿宋"/>
                <w:b/>
                <w:color w:val="000000"/>
                <w:szCs w:val="24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仿宋"/>
                <w:b/>
                <w:color w:val="000000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仿宋"/>
                <w:b/>
                <w:color w:val="000000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仿宋" w:hint="eastAsia"/>
                <w:b/>
                <w:color w:val="000000"/>
                <w:szCs w:val="24"/>
                <w:lang w:val="en-US" w:eastAsia="zh-CN"/>
              </w:rPr>
            </w:pPr>
            <w:r>
              <w:rPr>
                <w:rFonts w:ascii="宋体" w:eastAsia="宋体" w:hAnsi="宋体" w:cs="仿宋" w:hint="eastAsia"/>
                <w:b/>
                <w:color w:val="000000"/>
                <w:szCs w:val="24"/>
                <w:lang w:val="en-US" w:eastAsia="zh-CN"/>
              </w:rPr>
              <w:t>68h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eastAsia="宋体" w:hAnsi="宋体" w:cs="仿宋"/>
                <w:b/>
                <w:color w:val="000000"/>
                <w:szCs w:val="24"/>
              </w:rPr>
            </w:pPr>
            <w:r>
              <w:rPr>
                <w:rFonts w:ascii="宋体" w:eastAsia="宋体" w:hAnsi="宋体" w:cs="仿宋"/>
                <w:b/>
                <w:color w:val="000000"/>
                <w:szCs w:val="24"/>
              </w:rPr>
              <w:fldChar w:fldCharType="begin"/>
            </w:r>
            <w:r>
              <w:rPr>
                <w:rFonts w:ascii="宋体" w:eastAsia="宋体" w:hAnsi="宋体" w:cs="仿宋"/>
                <w:b/>
                <w:color w:val="000000"/>
                <w:szCs w:val="24"/>
              </w:rPr>
              <w:instrText xml:space="preserve"> = sum(I2:I20) \* MERGEFORMAT </w:instrText>
            </w:r>
            <w:r>
              <w:rPr>
                <w:rFonts w:ascii="宋体" w:eastAsia="宋体" w:hAnsi="宋体" w:cs="仿宋"/>
                <w:b/>
                <w:color w:val="000000"/>
                <w:szCs w:val="24"/>
              </w:rPr>
              <w:fldChar w:fldCharType="separate"/>
            </w:r>
            <w:r>
              <w:rPr>
                <w:rFonts w:ascii="宋体" w:eastAsia="宋体" w:hAnsi="宋体" w:cs="仿宋" w:hint="eastAsia"/>
                <w:b/>
                <w:color w:val="000000"/>
                <w:szCs w:val="24"/>
                <w:lang w:val="en-US" w:eastAsia="zh-CN"/>
              </w:rPr>
              <w:t>148</w:t>
            </w:r>
            <w:r>
              <w:rPr>
                <w:rFonts w:ascii="宋体" w:eastAsia="宋体" w:hAnsi="宋体" w:cs="仿宋"/>
                <w:b/>
                <w:color w:val="000000"/>
                <w:szCs w:val="24"/>
              </w:rPr>
              <w:t>00</w:t>
            </w:r>
            <w:r>
              <w:rPr>
                <w:rFonts w:ascii="宋体" w:eastAsia="宋体" w:hAnsi="宋体" w:cs="仿宋"/>
                <w:b/>
                <w:color w:val="000000"/>
                <w:szCs w:val="24"/>
              </w:rPr>
              <w:fldChar w:fldCharType="end"/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仿宋"/>
                <w:color w:val="000000"/>
                <w:szCs w:val="24"/>
              </w:rPr>
            </w:pPr>
          </w:p>
        </w:tc>
      </w:tr>
    </w:tbl>
    <w:p>
      <w:pPr>
        <w:rPr>
          <w:rFonts w:ascii="微软雅黑" w:eastAsia="微软雅黑" w:hAnsi="微软雅黑" w:cs="微软雅黑"/>
          <w:szCs w:val="24"/>
        </w:rPr>
      </w:pPr>
      <w:bookmarkEnd w:id="10"/>
    </w:p>
    <w:p>
      <w:pPr>
        <w:pStyle w:val="ListParagraph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 w:cs="微软雅黑"/>
          <w:b/>
          <w:bCs/>
          <w:szCs w:val="24"/>
        </w:rPr>
      </w:pPr>
      <w:bookmarkStart w:id="11" w:name="_Toc5883"/>
      <w:bookmarkStart w:id="12" w:name="_Toc27496"/>
      <w:bookmarkStart w:id="13" w:name="_Toc18068"/>
      <w:r>
        <w:rPr>
          <w:rFonts w:ascii="微软雅黑" w:eastAsia="微软雅黑" w:hAnsi="微软雅黑" w:cs="微软雅黑" w:hint="eastAsia"/>
          <w:b/>
          <w:bCs/>
          <w:szCs w:val="24"/>
        </w:rPr>
        <w:t>绩效考核</w:t>
      </w:r>
      <w:bookmarkEnd w:id="11"/>
      <w:bookmarkEnd w:id="12"/>
      <w:bookmarkEnd w:id="13"/>
    </w:p>
    <w:p>
      <w:pPr>
        <w:widowControl/>
        <w:spacing w:line="360" w:lineRule="auto"/>
        <w:ind w:firstLine="425" w:firstLineChars="177"/>
        <w:jc w:val="left"/>
        <w:rPr>
          <w:rFonts w:ascii="微软雅黑" w:eastAsia="微软雅黑" w:hAnsi="微软雅黑" w:cs="微软雅黑" w:hint="eastAsia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szCs w:val="24"/>
          <w:lang w:val="en-US" w:eastAsia="zh-CN"/>
        </w:rPr>
        <w:t>已按照计划完成每季度绩效考核，除第三季度有一名员工考核不合格外，其余员工均通过考核，考核不合格者已由人力部进行谈话，安排调岗事宜。目前暂未接到员工申诉。</w:t>
      </w:r>
    </w:p>
    <w:p>
      <w:pPr>
        <w:pStyle w:val="ListParagraph"/>
        <w:shd w:val="clear" w:color="auto" w:fill="auto"/>
        <w:spacing w:line="360" w:lineRule="auto"/>
        <w:ind w:left="0" w:firstLine="480" w:leftChars="0" w:firstLineChars="200"/>
        <w:rPr>
          <w:rFonts w:ascii="微软雅黑" w:eastAsia="微软雅黑" w:hAnsi="微软雅黑" w:cs="微软雅黑"/>
          <w:szCs w:val="24"/>
        </w:rPr>
      </w:pPr>
    </w:p>
    <w:sectPr>
      <w:footerReference w:type="default" r:id="rId7"/>
      <w:pgSz w:w="11906" w:h="16838"/>
      <w:pgMar w:top="1440" w:right="1800" w:bottom="1440" w:left="1800" w:header="851" w:footer="992" w:gutter="0"/>
      <w:pgNumType w:fmt="decimal"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黑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4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0" w:color="auto"/>
      </w:pBdr>
      <w:rPr>
        <w:rFonts w:asciiTheme="minorEastAsia" w:eastAsiaTheme="minorEastAsia" w:hAnsiTheme="minorEastAsia"/>
        <w:sz w:val="21"/>
      </w:rPr>
    </w:pPr>
    <w:r>
      <w:rPr>
        <w:rFonts w:asciiTheme="minorEastAsia" w:eastAsiaTheme="minorEastAsia" w:hAnsiTheme="minorEastAsia" w:hint="eastAsia"/>
        <w:sz w:val="21"/>
      </w:rPr>
      <w:t xml:space="preserve">            </w:t>
    </w:r>
    <w:r>
      <w:rPr>
        <w:rFonts w:asciiTheme="minorEastAsia" w:eastAsiaTheme="minorEastAsia" w:hAnsiTheme="minorEastAsia"/>
        <w:sz w:val="21"/>
      </w:rPr>
      <w:t xml:space="preserve">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180A568"/>
    <w:multiLevelType w:val="singleLevel"/>
    <w:tmpl w:val="9180A56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="Calibri" w:eastAsia="黑体" w:hAnsi="Calibri" w:cs="Arial"/>
      <w:kern w:val="2"/>
      <w:sz w:val="24"/>
      <w:szCs w:val="22"/>
      <w:lang w:val="en-US" w:eastAsia="zh-CN" w:bidi="ar-SA"/>
    </w:rPr>
  </w:style>
  <w:style w:type="paragraph" w:styleId="Heading2">
    <w:name w:val="heading 2"/>
    <w:basedOn w:val="Normal"/>
    <w:next w:val="Normal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Cs w:val="32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table" w:styleId="TableGrid">
    <w:name w:val="Table Grid"/>
    <w:basedOn w:val="Table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WPSOffice1">
    <w:name w:val="WPSOffice手动目录 1"/>
    <w:autoRedefine/>
    <w:qFormat/>
    <w:rPr>
      <w:rFonts w:ascii="Calibri" w:eastAsia="宋体" w:hAnsi="Calibri" w:cs="Times New Roman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Calibri" w:eastAsia="宋体" w:hAnsi="Calibri" w:cs="Times New Roman"/>
      <w:lang w:val="en-US" w:eastAsia="zh-CN" w:bidi="ar-SA"/>
    </w:rPr>
  </w:style>
  <w:style w:type="paragraph" w:customStyle="1" w:styleId="a1">
    <w:name w:val="表头"/>
    <w:basedOn w:val="Normal"/>
    <w:qFormat/>
    <w:pPr>
      <w:spacing w:line="520" w:lineRule="exact"/>
      <w:jc w:val="center"/>
    </w:pPr>
    <w:rPr>
      <w:rFonts w:ascii="黑体" w:hAnsi="微软雅黑" w:cs="Times New Roman"/>
      <w:szCs w:val="24"/>
    </w:rPr>
  </w:style>
  <w:style w:type="paragraph" w:customStyle="1" w:styleId="a2">
    <w:name w:val="表内容居中"/>
    <w:basedOn w:val="Normal"/>
    <w:qFormat/>
    <w:pPr>
      <w:spacing w:line="520" w:lineRule="exact"/>
      <w:jc w:val="center"/>
    </w:pPr>
    <w:rPr>
      <w:rFonts w:eastAsia="宋体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1349</Words>
  <Characters>1724</Characters>
  <Application>Microsoft Office Word</Application>
  <DocSecurity>0</DocSecurity>
  <Lines>19</Lines>
  <Paragraphs>5</Paragraphs>
  <ScaleCrop>false</ScaleCrop>
  <Company>china</Company>
  <LinksUpToDate>false</LinksUpToDate>
  <CharactersWithSpaces>1809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107</cp:revision>
  <dcterms:created xsi:type="dcterms:W3CDTF">2019-03-17T08:26:00Z</dcterms:created>
  <dcterms:modified xsi:type="dcterms:W3CDTF">2025-11-27T15:09:11Z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8A03EB35465D457DA69E1947016751AE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