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jc w:val="center"/>
        <w:rPr>
          <w:b/>
          <w:sz w:val="48"/>
          <w:szCs w:val="48"/>
        </w:rPr>
      </w:pPr>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-1233805</wp:posOffset>
            </wp:positionH>
            <wp:positionV relativeFrom="paragraph">
              <wp:posOffset>-1224915</wp:posOffset>
            </wp:positionV>
            <wp:extent cx="7776210" cy="11254105"/>
            <wp:effectExtent l="0" t="0" r="15240"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cstate="print">
                      <a:extLst>
                        <a:ext uri="{28A0092B-C50C-407E-A947-70E740481C1C}">
                          <a14:useLocalDpi xmlns:a14="http://schemas.microsoft.com/office/drawing/2010/main" val="0"/>
                        </a:ext>
                      </a:extLst>
                    </a:blip>
                    <a:stretch>
                      <a:fillRect/>
                    </a:stretch>
                  </pic:blipFill>
                  <pic:spPr>
                    <a:xfrm>
                      <a:off x="0" y="0"/>
                      <a:ext cx="7776210" cy="11254105"/>
                    </a:xfrm>
                    <a:prstGeom prst="rect">
                      <a:avLst/>
                    </a:prstGeom>
                  </pic:spPr>
                </pic:pic>
              </a:graphicData>
            </a:graphic>
          </wp:anchor>
        </w:drawing>
      </w:r>
      <w:bookmarkStart w:id="0" w:name="_GoBack"/>
      <w:bookmarkEnd w:id="0"/>
    </w:p>
    <w:p>
      <w:pPr>
        <w:jc w:val="center"/>
        <w:rPr>
          <w:b/>
          <w:sz w:val="48"/>
          <w:szCs w:val="48"/>
        </w:rPr>
      </w:pPr>
    </w:p>
    <w:p>
      <w:pPr>
        <w:jc w:val="center"/>
        <w:rPr>
          <w:b/>
          <w:sz w:val="48"/>
          <w:szCs w:val="48"/>
        </w:rPr>
      </w:pPr>
    </w:p>
    <w:p>
      <w:pPr>
        <w:jc w:val="cente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备品备件管理制度</w:t>
      </w:r>
    </w:p>
    <w:p>
      <w:pPr>
        <w:jc w:val="center"/>
        <w:rPr>
          <w:b/>
          <w:sz w:val="48"/>
          <w:szCs w:val="48"/>
        </w:rPr>
      </w:pPr>
    </w:p>
    <w:p>
      <w:pPr>
        <w:spacing w:after="156" w:afterLines="50"/>
        <w:jc w:val="center"/>
        <w:rPr>
          <w:b/>
          <w:bCs/>
          <w:sz w:val="36"/>
          <w:szCs w:val="36"/>
        </w:rPr>
      </w:pPr>
      <w:r>
        <w:rPr>
          <w:rFonts w:ascii="宋体" w:hAnsi="宋体" w:cs="宋体" w:hint="eastAsia"/>
          <w:b/>
          <w:bCs/>
          <w:sz w:val="36"/>
          <w:szCs w:val="36"/>
        </w:rPr>
        <w:t>GSGB-ITSS-12-01</w:t>
      </w:r>
    </w:p>
    <w:p>
      <w:pPr>
        <w:spacing w:after="156" w:afterLines="50"/>
        <w:rPr>
          <w:sz w:val="36"/>
          <w:szCs w:val="36"/>
        </w:rPr>
      </w:pPr>
    </w:p>
    <w:p>
      <w:pPr>
        <w:spacing w:after="156" w:afterLines="50"/>
        <w:rPr>
          <w:sz w:val="36"/>
          <w:szCs w:val="36"/>
        </w:rPr>
      </w:pPr>
    </w:p>
    <w:p>
      <w:pPr>
        <w:spacing w:after="156" w:afterLines="5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w:t>
      </w:r>
      <w:r>
        <w:rPr>
          <w:rFonts w:hint="eastAsia"/>
          <w:sz w:val="32"/>
          <w:szCs w:val="32"/>
          <w:u w:val="single"/>
          <w:lang w:val="en-US" w:eastAsia="zh-CN"/>
        </w:rPr>
        <w:t>胡葛鹏宇</w:t>
      </w:r>
      <w:r>
        <w:rPr>
          <w:rFonts w:hint="eastAsia"/>
          <w:sz w:val="32"/>
          <w:szCs w:val="32"/>
          <w:u w:val="single"/>
        </w:rPr>
        <w:t xml:space="preserve">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兰伟东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12" w:beforeLines="100" w:after="312" w:afterLines="100"/>
        <w:jc w:val="center"/>
        <w:rPr>
          <w:rFonts w:ascii="黑体" w:eastAsia="黑体"/>
          <w:sz w:val="36"/>
          <w:szCs w:val="36"/>
        </w:rPr>
      </w:pPr>
    </w:p>
    <w:p>
      <w:pPr>
        <w:tabs>
          <w:tab w:val="left" w:pos="0"/>
        </w:tabs>
        <w:spacing w:before="312" w:beforeLines="100" w:after="312" w:afterLines="100"/>
        <w:jc w:val="center"/>
        <w:rPr>
          <w:rFonts w:ascii="黑体" w:eastAsia="黑体"/>
          <w:sz w:val="36"/>
          <w:szCs w:val="36"/>
        </w:rPr>
      </w:pPr>
      <w:r>
        <w:rPr>
          <w:rFonts w:ascii="黑体" w:eastAsia="黑体"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3"/>
              <w:spacing w:line="240" w:lineRule="auto"/>
            </w:pPr>
            <w:r>
              <w:rPr>
                <w:rFonts w:hint="eastAsia"/>
              </w:rPr>
              <w:t>序号</w:t>
            </w:r>
          </w:p>
        </w:tc>
        <w:tc>
          <w:tcPr>
            <w:tcW w:w="810" w:type="pct"/>
            <w:vAlign w:val="center"/>
          </w:tcPr>
          <w:p>
            <w:pPr>
              <w:pStyle w:val="a3"/>
              <w:spacing w:line="240" w:lineRule="auto"/>
            </w:pPr>
            <w:r>
              <w:rPr>
                <w:rFonts w:hint="eastAsia"/>
              </w:rPr>
              <w:t>新建/修改</w:t>
            </w:r>
          </w:p>
        </w:tc>
        <w:tc>
          <w:tcPr>
            <w:tcW w:w="810" w:type="pct"/>
            <w:vAlign w:val="center"/>
          </w:tcPr>
          <w:p>
            <w:pPr>
              <w:pStyle w:val="a3"/>
              <w:spacing w:line="240" w:lineRule="auto"/>
            </w:pPr>
            <w:r>
              <w:rPr>
                <w:rFonts w:hint="eastAsia"/>
              </w:rPr>
              <w:t>拟制人</w:t>
            </w:r>
          </w:p>
        </w:tc>
        <w:tc>
          <w:tcPr>
            <w:tcW w:w="810" w:type="pct"/>
            <w:vAlign w:val="center"/>
          </w:tcPr>
          <w:p>
            <w:pPr>
              <w:pStyle w:val="a3"/>
              <w:spacing w:line="240" w:lineRule="auto"/>
            </w:pPr>
            <w:r>
              <w:rPr>
                <w:rFonts w:hint="eastAsia"/>
              </w:rPr>
              <w:t>审核人</w:t>
            </w:r>
          </w:p>
        </w:tc>
        <w:tc>
          <w:tcPr>
            <w:tcW w:w="878" w:type="pct"/>
            <w:vAlign w:val="center"/>
          </w:tcPr>
          <w:p>
            <w:pPr>
              <w:pStyle w:val="a3"/>
              <w:spacing w:line="240" w:lineRule="auto"/>
            </w:pPr>
            <w:r>
              <w:rPr>
                <w:rFonts w:hint="eastAsia"/>
              </w:rPr>
              <w:t>批准人</w:t>
            </w:r>
          </w:p>
        </w:tc>
        <w:tc>
          <w:tcPr>
            <w:tcW w:w="878" w:type="pct"/>
            <w:vAlign w:val="center"/>
          </w:tcPr>
          <w:p>
            <w:pPr>
              <w:pStyle w:val="a3"/>
              <w:spacing w:line="240" w:lineRule="auto"/>
            </w:pPr>
            <w:r>
              <w:rPr>
                <w:rFonts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spacing w:line="240" w:lineRule="auto"/>
            </w:pPr>
            <w:r>
              <w:rPr>
                <w:rFonts w:hint="eastAsia"/>
              </w:rPr>
              <w:t>v1.0</w:t>
            </w:r>
          </w:p>
        </w:tc>
        <w:tc>
          <w:tcPr>
            <w:tcW w:w="810" w:type="pct"/>
            <w:vAlign w:val="center"/>
          </w:tcPr>
          <w:p>
            <w:pPr>
              <w:pStyle w:val="a4"/>
              <w:spacing w:line="240" w:lineRule="auto"/>
            </w:pPr>
            <w:r>
              <w:rPr>
                <w:rFonts w:hint="eastAsia"/>
              </w:rPr>
              <w:t>新建</w:t>
            </w:r>
          </w:p>
        </w:tc>
        <w:tc>
          <w:tcPr>
            <w:tcW w:w="810" w:type="pct"/>
            <w:vAlign w:val="center"/>
          </w:tcPr>
          <w:p>
            <w:pPr>
              <w:pStyle w:val="a4"/>
              <w:spacing w:line="240" w:lineRule="auto"/>
              <w:rPr>
                <w:rFonts w:eastAsia="宋体" w:hint="eastAsia"/>
                <w:lang w:eastAsia="zh-CN"/>
              </w:rPr>
            </w:pPr>
            <w:r>
              <w:rPr>
                <w:rFonts w:hint="eastAsia"/>
                <w:lang w:val="en-US" w:eastAsia="zh-CN"/>
              </w:rPr>
              <w:t>胡葛鹏宇</w:t>
            </w:r>
          </w:p>
        </w:tc>
        <w:tc>
          <w:tcPr>
            <w:tcW w:w="810" w:type="pct"/>
            <w:vAlign w:val="center"/>
          </w:tcPr>
          <w:p>
            <w:pPr>
              <w:pStyle w:val="a4"/>
              <w:spacing w:line="240" w:lineRule="auto"/>
            </w:pPr>
            <w:r>
              <w:rPr>
                <w:rFonts w:hint="eastAsia"/>
              </w:rPr>
              <w:t>兰伟东</w:t>
            </w:r>
          </w:p>
        </w:tc>
        <w:tc>
          <w:tcPr>
            <w:tcW w:w="878" w:type="pct"/>
            <w:vAlign w:val="center"/>
          </w:tcPr>
          <w:p>
            <w:pPr>
              <w:pStyle w:val="a4"/>
              <w:spacing w:line="240" w:lineRule="auto"/>
            </w:pPr>
            <w:r>
              <w:rPr>
                <w:rFonts w:hint="eastAsia"/>
              </w:rPr>
              <w:t>黄益溪</w:t>
            </w:r>
          </w:p>
        </w:tc>
        <w:tc>
          <w:tcPr>
            <w:tcW w:w="878" w:type="pct"/>
            <w:vAlign w:val="center"/>
          </w:tcPr>
          <w:p>
            <w:pPr>
              <w:pStyle w:val="a4"/>
              <w:spacing w:line="240" w:lineRule="auto"/>
            </w:pPr>
            <w:r>
              <w:rPr>
                <w:rFonts w:hint="eastAsia"/>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78" w:type="pct"/>
            <w:vAlign w:val="center"/>
          </w:tcPr>
          <w:p>
            <w:pPr>
              <w:pStyle w:val="a4"/>
              <w:ind w:firstLine="480"/>
            </w:pPr>
          </w:p>
        </w:tc>
        <w:tc>
          <w:tcPr>
            <w:tcW w:w="878" w:type="pct"/>
            <w:vAlign w:val="center"/>
          </w:tcPr>
          <w:p>
            <w:pPr>
              <w:pStyle w:val="a4"/>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78" w:type="pct"/>
            <w:vAlign w:val="center"/>
          </w:tcPr>
          <w:p>
            <w:pPr>
              <w:pStyle w:val="a4"/>
              <w:ind w:firstLine="480"/>
            </w:pPr>
          </w:p>
        </w:tc>
        <w:tc>
          <w:tcPr>
            <w:tcW w:w="878" w:type="pct"/>
            <w:vAlign w:val="center"/>
          </w:tcPr>
          <w:p>
            <w:pPr>
              <w:pStyle w:val="a4"/>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78" w:type="pct"/>
            <w:vAlign w:val="center"/>
          </w:tcPr>
          <w:p>
            <w:pPr>
              <w:pStyle w:val="a4"/>
              <w:ind w:firstLine="480"/>
            </w:pPr>
          </w:p>
        </w:tc>
        <w:tc>
          <w:tcPr>
            <w:tcW w:w="878" w:type="pct"/>
            <w:vAlign w:val="center"/>
          </w:tcPr>
          <w:p>
            <w:pPr>
              <w:pStyle w:val="a4"/>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78" w:type="pct"/>
            <w:vAlign w:val="center"/>
          </w:tcPr>
          <w:p>
            <w:pPr>
              <w:pStyle w:val="a4"/>
              <w:ind w:firstLine="480"/>
            </w:pPr>
          </w:p>
        </w:tc>
        <w:tc>
          <w:tcPr>
            <w:tcW w:w="878" w:type="pct"/>
            <w:vAlign w:val="center"/>
          </w:tcPr>
          <w:p>
            <w:pPr>
              <w:pStyle w:val="a4"/>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78" w:type="pct"/>
            <w:vAlign w:val="center"/>
          </w:tcPr>
          <w:p>
            <w:pPr>
              <w:pStyle w:val="a4"/>
              <w:ind w:firstLine="480"/>
            </w:pPr>
          </w:p>
        </w:tc>
        <w:tc>
          <w:tcPr>
            <w:tcW w:w="878" w:type="pct"/>
            <w:vAlign w:val="center"/>
          </w:tcPr>
          <w:p>
            <w:pPr>
              <w:pStyle w:val="a4"/>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78" w:type="pct"/>
            <w:vAlign w:val="center"/>
          </w:tcPr>
          <w:p>
            <w:pPr>
              <w:pStyle w:val="a4"/>
              <w:ind w:firstLine="480"/>
            </w:pPr>
          </w:p>
        </w:tc>
        <w:tc>
          <w:tcPr>
            <w:tcW w:w="878" w:type="pct"/>
            <w:vAlign w:val="center"/>
          </w:tcPr>
          <w:p>
            <w:pPr>
              <w:pStyle w:val="a4"/>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78" w:type="pct"/>
            <w:vAlign w:val="center"/>
          </w:tcPr>
          <w:p>
            <w:pPr>
              <w:pStyle w:val="a4"/>
              <w:ind w:firstLine="480"/>
            </w:pPr>
          </w:p>
        </w:tc>
        <w:tc>
          <w:tcPr>
            <w:tcW w:w="878" w:type="pct"/>
            <w:vAlign w:val="center"/>
          </w:tcPr>
          <w:p>
            <w:pPr>
              <w:pStyle w:val="a4"/>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10" w:type="pct"/>
            <w:vAlign w:val="center"/>
          </w:tcPr>
          <w:p>
            <w:pPr>
              <w:pStyle w:val="a4"/>
              <w:ind w:firstLine="480"/>
            </w:pPr>
          </w:p>
        </w:tc>
        <w:tc>
          <w:tcPr>
            <w:tcW w:w="878" w:type="pct"/>
            <w:vAlign w:val="center"/>
          </w:tcPr>
          <w:p>
            <w:pPr>
              <w:pStyle w:val="a4"/>
              <w:ind w:firstLine="480"/>
            </w:pPr>
          </w:p>
        </w:tc>
        <w:tc>
          <w:tcPr>
            <w:tcW w:w="878" w:type="pct"/>
            <w:vAlign w:val="center"/>
          </w:tcPr>
          <w:p>
            <w:pPr>
              <w:pStyle w:val="a4"/>
              <w:ind w:firstLine="480"/>
            </w:pPr>
          </w:p>
        </w:tc>
      </w:tr>
    </w:tbl>
    <w:p>
      <w:pPr>
        <w:rPr>
          <w:rFonts w:ascii="微软雅黑" w:eastAsia="微软雅黑" w:hAnsi="微软雅黑" w:cs="微软雅黑"/>
          <w:sz w:val="24"/>
        </w:rPr>
      </w:pPr>
    </w:p>
    <w:p>
      <w:pPr>
        <w:rPr>
          <w:rFonts w:ascii="微软雅黑" w:eastAsia="微软雅黑" w:hAnsi="微软雅黑" w:cs="微软雅黑"/>
          <w:sz w:val="24"/>
        </w:rPr>
      </w:pPr>
    </w:p>
    <w:p>
      <w:pPr>
        <w:pStyle w:val="TOC1"/>
        <w:spacing w:line="360" w:lineRule="auto"/>
        <w:jc w:val="center"/>
        <w:rPr>
          <w:rFonts w:ascii="微软雅黑" w:eastAsia="微软雅黑" w:hAnsi="微软雅黑" w:cs="微软雅黑"/>
          <w:sz w:val="32"/>
          <w:szCs w:val="32"/>
        </w:rPr>
      </w:pPr>
    </w:p>
    <w:p>
      <w:pPr>
        <w:pStyle w:val="TOC1"/>
        <w:spacing w:line="360" w:lineRule="auto"/>
        <w:jc w:val="center"/>
        <w:rPr>
          <w:rFonts w:ascii="微软雅黑" w:eastAsia="微软雅黑" w:hAnsi="微软雅黑" w:cs="微软雅黑"/>
          <w:sz w:val="32"/>
          <w:szCs w:val="32"/>
        </w:rPr>
      </w:pPr>
    </w:p>
    <w:p>
      <w:pPr>
        <w:pStyle w:val="TOC1"/>
        <w:spacing w:line="360" w:lineRule="auto"/>
        <w:jc w:val="center"/>
        <w:rPr>
          <w:rFonts w:ascii="微软雅黑" w:eastAsia="微软雅黑" w:hAnsi="微软雅黑" w:cs="微软雅黑"/>
          <w:sz w:val="32"/>
          <w:szCs w:val="32"/>
        </w:rPr>
      </w:pPr>
    </w:p>
    <w:p>
      <w:pPr>
        <w:pStyle w:val="TOC1"/>
        <w:spacing w:line="360" w:lineRule="auto"/>
        <w:jc w:val="center"/>
        <w:rPr>
          <w:rFonts w:ascii="微软雅黑" w:eastAsia="微软雅黑" w:hAnsi="微软雅黑" w:cs="微软雅黑"/>
          <w:sz w:val="32"/>
          <w:szCs w:val="32"/>
        </w:rPr>
      </w:pPr>
    </w:p>
    <w:p>
      <w:pPr>
        <w:pStyle w:val="TOC1"/>
        <w:spacing w:line="360" w:lineRule="auto"/>
        <w:jc w:val="center"/>
        <w:rPr>
          <w:rFonts w:ascii="微软雅黑" w:eastAsia="微软雅黑" w:hAnsi="微软雅黑" w:cs="微软雅黑"/>
          <w:sz w:val="32"/>
          <w:szCs w:val="32"/>
        </w:rPr>
      </w:pPr>
    </w:p>
    <w:p>
      <w:pPr>
        <w:pStyle w:val="TOC1"/>
        <w:spacing w:line="360" w:lineRule="auto"/>
        <w:jc w:val="center"/>
        <w:rPr>
          <w:rFonts w:ascii="微软雅黑" w:eastAsia="微软雅黑" w:hAnsi="微软雅黑" w:cs="微软雅黑"/>
          <w:sz w:val="32"/>
          <w:szCs w:val="32"/>
        </w:rPr>
      </w:pPr>
    </w:p>
    <w:p>
      <w:pPr>
        <w:pStyle w:val="TOC1"/>
        <w:spacing w:line="360" w:lineRule="auto"/>
        <w:jc w:val="center"/>
        <w:rPr>
          <w:rFonts w:ascii="微软雅黑" w:eastAsia="微软雅黑" w:hAnsi="微软雅黑" w:cs="微软雅黑"/>
          <w:sz w:val="32"/>
          <w:szCs w:val="32"/>
        </w:rPr>
      </w:pPr>
    </w:p>
    <w:p>
      <w:pPr>
        <w:pStyle w:val="TOC1"/>
        <w:spacing w:line="360" w:lineRule="auto"/>
        <w:jc w:val="center"/>
        <w:rPr>
          <w:rFonts w:ascii="微软雅黑" w:eastAsia="微软雅黑" w:hAnsi="微软雅黑" w:cs="微软雅黑"/>
          <w:sz w:val="32"/>
          <w:szCs w:val="32"/>
        </w:rPr>
      </w:pPr>
    </w:p>
    <w:p>
      <w:pPr>
        <w:pStyle w:val="TOC1"/>
        <w:spacing w:line="360" w:lineRule="auto"/>
        <w:jc w:val="center"/>
        <w:rPr>
          <w:rFonts w:ascii="微软雅黑" w:eastAsia="微软雅黑" w:hAnsi="微软雅黑" w:cs="微软雅黑"/>
          <w:sz w:val="32"/>
          <w:szCs w:val="32"/>
        </w:rPr>
      </w:pPr>
      <w:r>
        <w:rPr>
          <w:rFonts w:ascii="微软雅黑" w:eastAsia="微软雅黑" w:hAnsi="微软雅黑" w:cs="微软雅黑" w:hint="eastAsia"/>
          <w:sz w:val="32"/>
          <w:szCs w:val="32"/>
        </w:rPr>
        <w:t>目  录</w:t>
      </w:r>
    </w:p>
    <w:p>
      <w:pPr>
        <w:pStyle w:val="TOC1"/>
        <w:tabs>
          <w:tab w:val="right" w:leader="dot" w:pos="8306"/>
        </w:tabs>
      </w:pPr>
      <w:r>
        <w:rPr>
          <w:rFonts w:ascii="微软雅黑" w:eastAsia="微软雅黑" w:hAnsi="微软雅黑" w:cs="微软雅黑" w:hint="eastAsia"/>
          <w:b w:val="0"/>
          <w:sz w:val="18"/>
          <w:szCs w:val="18"/>
        </w:rPr>
        <w:fldChar w:fldCharType="begin"/>
      </w:r>
      <w:r>
        <w:rPr>
          <w:rFonts w:ascii="微软雅黑" w:eastAsia="微软雅黑" w:hAnsi="微软雅黑" w:cs="微软雅黑" w:hint="eastAsia"/>
          <w:b w:val="0"/>
          <w:sz w:val="18"/>
          <w:szCs w:val="18"/>
        </w:rPr>
        <w:instrText xml:space="preserve"> TOC \o "1-3" \h \z \u </w:instrText>
      </w:r>
      <w:r>
        <w:rPr>
          <w:rFonts w:ascii="微软雅黑" w:eastAsia="微软雅黑" w:hAnsi="微软雅黑" w:cs="微软雅黑" w:hint="eastAsia"/>
          <w:b w:val="0"/>
          <w:sz w:val="18"/>
          <w:szCs w:val="18"/>
        </w:rPr>
        <w:fldChar w:fldCharType="separate"/>
      </w: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_Toc4212 </w:instrText>
      </w:r>
      <w:r>
        <w:rPr>
          <w:rFonts w:ascii="微软雅黑" w:eastAsia="微软雅黑" w:hAnsi="微软雅黑" w:cs="微软雅黑" w:hint="eastAsia"/>
          <w:szCs w:val="18"/>
        </w:rPr>
        <w:fldChar w:fldCharType="separate"/>
      </w:r>
      <w:r>
        <w:rPr>
          <w:rFonts w:ascii="微软雅黑" w:eastAsia="微软雅黑" w:hAnsi="微软雅黑" w:cs="微软雅黑"/>
          <w:szCs w:val="24"/>
        </w:rPr>
        <w:t xml:space="preserve">1. </w:t>
      </w:r>
      <w:r>
        <w:rPr>
          <w:rFonts w:ascii="微软雅黑" w:eastAsia="微软雅黑" w:hAnsi="微软雅黑" w:cs="微软雅黑" w:hint="eastAsia"/>
          <w:szCs w:val="24"/>
        </w:rPr>
        <w:t>总则</w:t>
      </w:r>
      <w:r>
        <w:tab/>
      </w:r>
      <w:r>
        <w:fldChar w:fldCharType="begin"/>
      </w:r>
      <w:r>
        <w:instrText xml:space="preserve"> PAGEREF _Toc4212 \h </w:instrText>
      </w:r>
      <w:r>
        <w:fldChar w:fldCharType="separate"/>
      </w:r>
      <w:r>
        <w:t>5</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_Toc4165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1.1管理目标</w:t>
      </w:r>
      <w:r>
        <w:tab/>
      </w:r>
      <w:r>
        <w:fldChar w:fldCharType="begin"/>
      </w:r>
      <w:r>
        <w:instrText xml:space="preserve"> PAGEREF _Toc4165 \h </w:instrText>
      </w:r>
      <w:r>
        <w:fldChar w:fldCharType="separate"/>
      </w:r>
      <w:r>
        <w:t>5</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_Toc21850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1.2适用范围</w:t>
      </w:r>
      <w:r>
        <w:tab/>
      </w:r>
      <w:r>
        <w:fldChar w:fldCharType="begin"/>
      </w:r>
      <w:r>
        <w:instrText xml:space="preserve"> PAGEREF _Toc21850 \h </w:instrText>
      </w:r>
      <w:r>
        <w:fldChar w:fldCharType="separate"/>
      </w:r>
      <w:r>
        <w:t>5</w:t>
      </w:r>
      <w:r>
        <w:fldChar w:fldCharType="end"/>
      </w:r>
      <w:r>
        <w:rPr>
          <w:rFonts w:ascii="微软雅黑" w:eastAsia="微软雅黑" w:hAnsi="微软雅黑" w:cs="微软雅黑" w:hint="eastAsia"/>
          <w:szCs w:val="18"/>
        </w:rPr>
        <w:fldChar w:fldCharType="end"/>
      </w:r>
    </w:p>
    <w:p>
      <w:pPr>
        <w:pStyle w:val="TOC1"/>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_Toc29359 </w:instrText>
      </w:r>
      <w:r>
        <w:rPr>
          <w:rFonts w:ascii="微软雅黑" w:eastAsia="微软雅黑" w:hAnsi="微软雅黑" w:cs="微软雅黑" w:hint="eastAsia"/>
          <w:szCs w:val="18"/>
        </w:rPr>
        <w:fldChar w:fldCharType="separate"/>
      </w:r>
      <w:r>
        <w:rPr>
          <w:rFonts w:ascii="微软雅黑" w:eastAsia="微软雅黑" w:hAnsi="微软雅黑" w:cs="微软雅黑"/>
          <w:szCs w:val="24"/>
        </w:rPr>
        <w:t xml:space="preserve">2. </w:t>
      </w:r>
      <w:r>
        <w:rPr>
          <w:rFonts w:ascii="微软雅黑" w:eastAsia="微软雅黑" w:hAnsi="微软雅黑" w:cs="微软雅黑" w:hint="eastAsia"/>
          <w:szCs w:val="24"/>
        </w:rPr>
        <w:t>职责分工</w:t>
      </w:r>
      <w:r>
        <w:tab/>
      </w:r>
      <w:r>
        <w:fldChar w:fldCharType="begin"/>
      </w:r>
      <w:r>
        <w:instrText xml:space="preserve"> PAGEREF _Toc29359 \h </w:instrText>
      </w:r>
      <w:r>
        <w:fldChar w:fldCharType="separate"/>
      </w:r>
      <w:r>
        <w:t>5</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_Toc26208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2.1采购专员</w:t>
      </w:r>
      <w:r>
        <w:tab/>
      </w:r>
      <w:r>
        <w:fldChar w:fldCharType="begin"/>
      </w:r>
      <w:r>
        <w:instrText xml:space="preserve"> PAGEREF _Toc26208 \h </w:instrText>
      </w:r>
      <w:r>
        <w:fldChar w:fldCharType="separate"/>
      </w:r>
      <w:r>
        <w:t>5</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_Toc13297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2.2库管</w:t>
      </w:r>
      <w:r>
        <w:tab/>
      </w:r>
      <w:r>
        <w:fldChar w:fldCharType="begin"/>
      </w:r>
      <w:r>
        <w:instrText xml:space="preserve"> PAGEREF _Toc13297 \h </w:instrText>
      </w:r>
      <w:r>
        <w:fldChar w:fldCharType="separate"/>
      </w:r>
      <w:r>
        <w:t>5</w:t>
      </w:r>
      <w:r>
        <w:fldChar w:fldCharType="end"/>
      </w:r>
      <w:r>
        <w:rPr>
          <w:rFonts w:ascii="微软雅黑" w:eastAsia="微软雅黑" w:hAnsi="微软雅黑" w:cs="微软雅黑" w:hint="eastAsia"/>
          <w:szCs w:val="18"/>
        </w:rPr>
        <w:fldChar w:fldCharType="end"/>
      </w:r>
    </w:p>
    <w:p>
      <w:pPr>
        <w:pStyle w:val="TOC1"/>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_Toc28230 </w:instrText>
      </w:r>
      <w:r>
        <w:rPr>
          <w:rFonts w:ascii="微软雅黑" w:eastAsia="微软雅黑" w:hAnsi="微软雅黑" w:cs="微软雅黑" w:hint="eastAsia"/>
          <w:szCs w:val="18"/>
        </w:rPr>
        <w:fldChar w:fldCharType="separate"/>
      </w:r>
      <w:r>
        <w:rPr>
          <w:rFonts w:ascii="微软雅黑" w:eastAsia="微软雅黑" w:hAnsi="微软雅黑" w:cs="微软雅黑"/>
          <w:szCs w:val="24"/>
        </w:rPr>
        <w:t xml:space="preserve">3. </w:t>
      </w:r>
      <w:r>
        <w:rPr>
          <w:rFonts w:ascii="微软雅黑" w:eastAsia="微软雅黑" w:hAnsi="微软雅黑" w:cs="微软雅黑" w:hint="eastAsia"/>
          <w:szCs w:val="24"/>
        </w:rPr>
        <w:t>采购管理</w:t>
      </w:r>
      <w:r>
        <w:tab/>
      </w:r>
      <w:r>
        <w:fldChar w:fldCharType="begin"/>
      </w:r>
      <w:r>
        <w:instrText xml:space="preserve"> PAGEREF _Toc28230 \h </w:instrText>
      </w:r>
      <w:r>
        <w:fldChar w:fldCharType="separate"/>
      </w:r>
      <w:r>
        <w:t>6</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_Toc16221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3.1备品备件采购</w:t>
      </w:r>
      <w:r>
        <w:tab/>
      </w:r>
      <w:r>
        <w:fldChar w:fldCharType="begin"/>
      </w:r>
      <w:r>
        <w:instrText xml:space="preserve"> PAGEREF _Toc16221 \h </w:instrText>
      </w:r>
      <w:r>
        <w:fldChar w:fldCharType="separate"/>
      </w:r>
      <w:r>
        <w:t>6</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_Toc20548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3.2到货验收</w:t>
      </w:r>
      <w:r>
        <w:tab/>
      </w:r>
      <w:r>
        <w:fldChar w:fldCharType="begin"/>
      </w:r>
      <w:r>
        <w:instrText xml:space="preserve"> PAGEREF _Toc20548 \h </w:instrText>
      </w:r>
      <w:r>
        <w:fldChar w:fldCharType="separate"/>
      </w:r>
      <w:r>
        <w:t>6</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_Toc17337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3.3供应商管理</w:t>
      </w:r>
      <w:r>
        <w:tab/>
      </w:r>
      <w:r>
        <w:fldChar w:fldCharType="begin"/>
      </w:r>
      <w:r>
        <w:instrText xml:space="preserve"> PAGEREF _Toc17337 \h </w:instrText>
      </w:r>
      <w:r>
        <w:fldChar w:fldCharType="separate"/>
      </w:r>
      <w:r>
        <w:t>6</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_Toc7885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5.4供应商评价</w:t>
      </w:r>
      <w:r>
        <w:tab/>
      </w:r>
      <w:r>
        <w:fldChar w:fldCharType="begin"/>
      </w:r>
      <w:r>
        <w:instrText xml:space="preserve"> PAGEREF _Toc7885 \h </w:instrText>
      </w:r>
      <w:r>
        <w:fldChar w:fldCharType="separate"/>
      </w:r>
      <w:r>
        <w:t>6</w:t>
      </w:r>
      <w:r>
        <w:fldChar w:fldCharType="end"/>
      </w:r>
      <w:r>
        <w:rPr>
          <w:rFonts w:ascii="微软雅黑" w:eastAsia="微软雅黑" w:hAnsi="微软雅黑" w:cs="微软雅黑" w:hint="eastAsia"/>
          <w:szCs w:val="18"/>
        </w:rPr>
        <w:fldChar w:fldCharType="end"/>
      </w:r>
    </w:p>
    <w:p>
      <w:pPr>
        <w:pStyle w:val="TOC3"/>
        <w:tabs>
          <w:tab w:val="right" w:leader="dot" w:pos="8306"/>
          <w:tab w:val="clear" w:pos="8364"/>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_Toc13668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szCs w:val="24"/>
        </w:rPr>
        <w:t>5.4.1供应商评价程序</w:t>
      </w:r>
      <w:r>
        <w:tab/>
      </w:r>
      <w:r>
        <w:fldChar w:fldCharType="begin"/>
      </w:r>
      <w:r>
        <w:instrText xml:space="preserve"> PAGEREF _Toc13668 \h </w:instrText>
      </w:r>
      <w:r>
        <w:fldChar w:fldCharType="separate"/>
      </w:r>
      <w:r>
        <w:t>6</w:t>
      </w:r>
      <w:r>
        <w:fldChar w:fldCharType="end"/>
      </w:r>
      <w:r>
        <w:rPr>
          <w:rFonts w:ascii="微软雅黑" w:eastAsia="微软雅黑" w:hAnsi="微软雅黑" w:cs="微软雅黑" w:hint="eastAsia"/>
          <w:szCs w:val="18"/>
        </w:rPr>
        <w:fldChar w:fldCharType="end"/>
      </w:r>
    </w:p>
    <w:p>
      <w:pPr>
        <w:pStyle w:val="TOC3"/>
        <w:tabs>
          <w:tab w:val="right" w:leader="dot" w:pos="8306"/>
          <w:tab w:val="clear" w:pos="8364"/>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_Toc24983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szCs w:val="24"/>
        </w:rPr>
        <w:t>5.4.2供应商评价项目</w:t>
      </w:r>
      <w:r>
        <w:tab/>
      </w:r>
      <w:r>
        <w:fldChar w:fldCharType="begin"/>
      </w:r>
      <w:r>
        <w:instrText xml:space="preserve"> PAGEREF _Toc24983 \h </w:instrText>
      </w:r>
      <w:r>
        <w:fldChar w:fldCharType="separate"/>
      </w:r>
      <w:r>
        <w:t>7</w:t>
      </w:r>
      <w:r>
        <w:fldChar w:fldCharType="end"/>
      </w:r>
      <w:r>
        <w:rPr>
          <w:rFonts w:ascii="微软雅黑" w:eastAsia="微软雅黑" w:hAnsi="微软雅黑" w:cs="微软雅黑" w:hint="eastAsia"/>
          <w:szCs w:val="18"/>
        </w:rPr>
        <w:fldChar w:fldCharType="end"/>
      </w:r>
    </w:p>
    <w:p>
      <w:pPr>
        <w:pStyle w:val="TOC3"/>
        <w:tabs>
          <w:tab w:val="right" w:leader="dot" w:pos="8306"/>
          <w:tab w:val="clear" w:pos="8364"/>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_Toc5832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szCs w:val="24"/>
        </w:rPr>
        <w:t>5.4.3</w:t>
      </w:r>
      <w:r>
        <w:rPr>
          <w:rFonts w:ascii="微软雅黑" w:eastAsia="微软雅黑" w:hAnsi="微软雅黑" w:cs="微软雅黑" w:hint="eastAsia"/>
          <w:szCs w:val="24"/>
        </w:rPr>
        <w:t>评价办法</w:t>
      </w:r>
      <w:r>
        <w:tab/>
      </w:r>
      <w:r>
        <w:fldChar w:fldCharType="begin"/>
      </w:r>
      <w:r>
        <w:instrText xml:space="preserve"> PAGEREF _Toc5832 \h </w:instrText>
      </w:r>
      <w:r>
        <w:fldChar w:fldCharType="separate"/>
      </w:r>
      <w:r>
        <w:t>7</w:t>
      </w:r>
      <w:r>
        <w:fldChar w:fldCharType="end"/>
      </w:r>
      <w:r>
        <w:rPr>
          <w:rFonts w:ascii="微软雅黑" w:eastAsia="微软雅黑" w:hAnsi="微软雅黑" w:cs="微软雅黑" w:hint="eastAsia"/>
          <w:szCs w:val="18"/>
        </w:rPr>
        <w:fldChar w:fldCharType="end"/>
      </w:r>
    </w:p>
    <w:p>
      <w:pPr>
        <w:pStyle w:val="TOC1"/>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_Toc27842 </w:instrText>
      </w:r>
      <w:r>
        <w:rPr>
          <w:rFonts w:ascii="微软雅黑" w:eastAsia="微软雅黑" w:hAnsi="微软雅黑" w:cs="微软雅黑" w:hint="eastAsia"/>
          <w:szCs w:val="18"/>
        </w:rPr>
        <w:fldChar w:fldCharType="separate"/>
      </w:r>
      <w:r>
        <w:rPr>
          <w:rFonts w:ascii="微软雅黑" w:eastAsia="微软雅黑" w:hAnsi="微软雅黑" w:cs="微软雅黑"/>
          <w:szCs w:val="24"/>
        </w:rPr>
        <w:t xml:space="preserve">4. </w:t>
      </w:r>
      <w:r>
        <w:rPr>
          <w:rFonts w:ascii="微软雅黑" w:eastAsia="微软雅黑" w:hAnsi="微软雅黑" w:cs="微软雅黑" w:hint="eastAsia"/>
          <w:szCs w:val="24"/>
        </w:rPr>
        <w:t>库房管理</w:t>
      </w:r>
      <w:r>
        <w:tab/>
      </w:r>
      <w:r>
        <w:fldChar w:fldCharType="begin"/>
      </w:r>
      <w:r>
        <w:instrText xml:space="preserve"> PAGEREF _Toc27842 \h </w:instrText>
      </w:r>
      <w:r>
        <w:fldChar w:fldCharType="separate"/>
      </w:r>
      <w:r>
        <w:t>7</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_Toc24930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4.1备品备件存放规定</w:t>
      </w:r>
      <w:r>
        <w:tab/>
      </w:r>
      <w:r>
        <w:fldChar w:fldCharType="begin"/>
      </w:r>
      <w:r>
        <w:instrText xml:space="preserve"> PAGEREF _Toc24930 \h </w:instrText>
      </w:r>
      <w:r>
        <w:fldChar w:fldCharType="separate"/>
      </w:r>
      <w:r>
        <w:t>7</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_Toc23117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4.2备品备件出入库流程</w:t>
      </w:r>
      <w:r>
        <w:tab/>
      </w:r>
      <w:r>
        <w:fldChar w:fldCharType="begin"/>
      </w:r>
      <w:r>
        <w:instrText xml:space="preserve"> PAGEREF _Toc23117 \h </w:instrText>
      </w:r>
      <w:r>
        <w:fldChar w:fldCharType="separate"/>
      </w:r>
      <w:r>
        <w:t>7</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_Toc31703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4.3紧急出库流程</w:t>
      </w:r>
      <w:r>
        <w:tab/>
      </w:r>
      <w:r>
        <w:fldChar w:fldCharType="begin"/>
      </w:r>
      <w:r>
        <w:instrText xml:space="preserve"> PAGEREF _Toc31703 \h </w:instrText>
      </w:r>
      <w:r>
        <w:fldChar w:fldCharType="separate"/>
      </w:r>
      <w:r>
        <w:t>10</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_Toc72 </w:instrText>
      </w:r>
      <w:r>
        <w:rPr>
          <w:rFonts w:ascii="微软雅黑" w:eastAsia="微软雅黑" w:hAnsi="微软雅黑" w:cs="微软雅黑" w:hint="eastAsia"/>
          <w:szCs w:val="18"/>
        </w:rPr>
        <w:fldChar w:fldCharType="separate"/>
      </w:r>
      <w:r>
        <w:rPr>
          <w:rFonts w:ascii="微软雅黑" w:eastAsia="微软雅黑" w:hAnsi="微软雅黑" w:cs="微软雅黑" w:hint="eastAsia"/>
          <w:bCs w:val="0"/>
          <w:kern w:val="0"/>
          <w:szCs w:val="24"/>
        </w:rPr>
        <w:t>4.4备品备件库库存盘点及验机规定</w:t>
      </w:r>
      <w:r>
        <w:tab/>
      </w:r>
      <w:r>
        <w:fldChar w:fldCharType="begin"/>
      </w:r>
      <w:r>
        <w:instrText xml:space="preserve"> PAGEREF _Toc72 \h </w:instrText>
      </w:r>
      <w:r>
        <w:fldChar w:fldCharType="separate"/>
      </w:r>
      <w:r>
        <w:t>10</w:t>
      </w:r>
      <w:r>
        <w:fldChar w:fldCharType="end"/>
      </w:r>
      <w:r>
        <w:rPr>
          <w:rFonts w:ascii="微软雅黑" w:eastAsia="微软雅黑" w:hAnsi="微软雅黑" w:cs="微软雅黑" w:hint="eastAsia"/>
          <w:szCs w:val="18"/>
        </w:rPr>
        <w:fldChar w:fldCharType="end"/>
      </w:r>
    </w:p>
    <w:p>
      <w:pPr>
        <w:pStyle w:val="TOC1"/>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_Toc19960 </w:instrText>
      </w:r>
      <w:r>
        <w:rPr>
          <w:rFonts w:ascii="微软雅黑" w:eastAsia="微软雅黑" w:hAnsi="微软雅黑" w:cs="微软雅黑" w:hint="eastAsia"/>
          <w:szCs w:val="18"/>
        </w:rPr>
        <w:fldChar w:fldCharType="separate"/>
      </w:r>
      <w:r>
        <w:rPr>
          <w:rFonts w:ascii="微软雅黑" w:eastAsia="微软雅黑" w:hAnsi="微软雅黑" w:cs="微软雅黑"/>
          <w:szCs w:val="24"/>
        </w:rPr>
        <w:t xml:space="preserve">5. </w:t>
      </w:r>
      <w:r>
        <w:rPr>
          <w:rFonts w:ascii="微软雅黑" w:eastAsia="微软雅黑" w:hAnsi="微软雅黑" w:cs="微软雅黑" w:hint="eastAsia"/>
          <w:szCs w:val="24"/>
        </w:rPr>
        <w:t>报废管理</w:t>
      </w:r>
      <w:r>
        <w:tab/>
      </w:r>
      <w:r>
        <w:fldChar w:fldCharType="begin"/>
      </w:r>
      <w:r>
        <w:instrText xml:space="preserve"> PAGEREF _Toc19960 \h </w:instrText>
      </w:r>
      <w:r>
        <w:fldChar w:fldCharType="separate"/>
      </w:r>
      <w:r>
        <w:t>10</w:t>
      </w:r>
      <w:r>
        <w:fldChar w:fldCharType="end"/>
      </w:r>
      <w:r>
        <w:rPr>
          <w:rFonts w:ascii="微软雅黑" w:eastAsia="微软雅黑" w:hAnsi="微软雅黑" w:cs="微软雅黑" w:hint="eastAsia"/>
          <w:szCs w:val="18"/>
        </w:rPr>
        <w:fldChar w:fldCharType="end"/>
      </w:r>
    </w:p>
    <w:p>
      <w:pPr>
        <w:pStyle w:val="TOC1"/>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_Toc20822 </w:instrText>
      </w:r>
      <w:r>
        <w:rPr>
          <w:rFonts w:ascii="微软雅黑" w:eastAsia="微软雅黑" w:hAnsi="微软雅黑" w:cs="微软雅黑" w:hint="eastAsia"/>
          <w:szCs w:val="18"/>
        </w:rPr>
        <w:fldChar w:fldCharType="separate"/>
      </w:r>
      <w:r>
        <w:rPr>
          <w:rFonts w:ascii="微软雅黑" w:eastAsia="微软雅黑" w:hAnsi="微软雅黑" w:cs="微软雅黑"/>
          <w:szCs w:val="24"/>
        </w:rPr>
        <w:t xml:space="preserve">6. </w:t>
      </w:r>
      <w:r>
        <w:rPr>
          <w:rFonts w:ascii="微软雅黑" w:eastAsia="微软雅黑" w:hAnsi="微软雅黑" w:cs="微软雅黑" w:hint="eastAsia"/>
          <w:szCs w:val="24"/>
        </w:rPr>
        <w:t>响应级别和方式</w:t>
      </w:r>
      <w:r>
        <w:tab/>
      </w:r>
      <w:r>
        <w:fldChar w:fldCharType="begin"/>
      </w:r>
      <w:r>
        <w:instrText xml:space="preserve"> PAGEREF _Toc20822 \h </w:instrText>
      </w:r>
      <w:r>
        <w:fldChar w:fldCharType="separate"/>
      </w:r>
      <w:r>
        <w:t>11</w:t>
      </w:r>
      <w:r>
        <w:fldChar w:fldCharType="end"/>
      </w:r>
      <w:r>
        <w:rPr>
          <w:rFonts w:ascii="微软雅黑" w:eastAsia="微软雅黑" w:hAnsi="微软雅黑" w:cs="微软雅黑" w:hint="eastAsia"/>
          <w:szCs w:val="18"/>
        </w:rPr>
        <w:fldChar w:fldCharType="end"/>
      </w:r>
    </w:p>
    <w:p>
      <w:pPr>
        <w:pStyle w:val="TOC1"/>
        <w:tabs>
          <w:tab w:val="right" w:leader="dot" w:pos="8306"/>
        </w:tabs>
      </w:pP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_Toc18849 </w:instrText>
      </w:r>
      <w:r>
        <w:rPr>
          <w:rFonts w:ascii="微软雅黑" w:eastAsia="微软雅黑" w:hAnsi="微软雅黑" w:cs="微软雅黑" w:hint="eastAsia"/>
          <w:szCs w:val="18"/>
        </w:rPr>
        <w:fldChar w:fldCharType="separate"/>
      </w:r>
      <w:r>
        <w:rPr>
          <w:rFonts w:ascii="微软雅黑" w:eastAsia="微软雅黑" w:hAnsi="微软雅黑" w:cs="微软雅黑" w:hint="default"/>
          <w:szCs w:val="24"/>
          <w:lang w:val="en-US" w:eastAsia="zh-CN"/>
        </w:rPr>
        <w:t xml:space="preserve">7. </w:t>
      </w:r>
      <w:r>
        <w:rPr>
          <w:rFonts w:ascii="微软雅黑" w:eastAsia="微软雅黑" w:hAnsi="微软雅黑" w:cs="微软雅黑" w:hint="eastAsia"/>
          <w:szCs w:val="24"/>
          <w:lang w:val="en-US" w:eastAsia="zh-CN"/>
        </w:rPr>
        <w:t>考核与度量</w:t>
      </w:r>
      <w:r>
        <w:tab/>
      </w:r>
      <w:r>
        <w:fldChar w:fldCharType="begin"/>
      </w:r>
      <w:r>
        <w:instrText xml:space="preserve"> PAGEREF _Toc18849 \h </w:instrText>
      </w:r>
      <w:r>
        <w:fldChar w:fldCharType="separate"/>
      </w:r>
      <w:r>
        <w:t>11</w:t>
      </w:r>
      <w:r>
        <w:fldChar w:fldCharType="end"/>
      </w:r>
      <w:r>
        <w:rPr>
          <w:rFonts w:ascii="微软雅黑" w:eastAsia="微软雅黑" w:hAnsi="微软雅黑" w:cs="微软雅黑" w:hint="eastAsia"/>
          <w:szCs w:val="18"/>
        </w:rPr>
        <w:fldChar w:fldCharType="end"/>
      </w:r>
    </w:p>
    <w:p>
      <w:pPr>
        <w:pStyle w:val="TOC2"/>
        <w:widowControl/>
        <w:tabs>
          <w:tab w:val="left" w:pos="1440"/>
          <w:tab w:val="right" w:leader="dot" w:pos="8869"/>
        </w:tabs>
        <w:ind w:left="0"/>
        <w:jc w:val="center"/>
        <w:rPr>
          <w:rFonts w:ascii="仿宋" w:eastAsia="仿宋" w:hAnsi="仿宋"/>
          <w:sz w:val="24"/>
          <w:szCs w:val="24"/>
        </w:rPr>
        <w:sectPr>
          <w:headerReference w:type="default" r:id="rId7"/>
          <w:footerReference w:type="default" r:id="rId8"/>
          <w:pgSz w:w="11906" w:h="16838"/>
          <w:pgMar w:top="1560" w:right="1800" w:bottom="1440" w:left="1800" w:header="851" w:footer="992" w:gutter="0"/>
          <w:cols w:num="1" w:space="720"/>
          <w:docGrid w:type="lines" w:linePitch="312" w:charSpace="0"/>
        </w:sectPr>
      </w:pPr>
      <w:r>
        <w:rPr>
          <w:rFonts w:ascii="微软雅黑" w:eastAsia="微软雅黑" w:hAnsi="微软雅黑" w:cs="微软雅黑" w:hint="eastAsia"/>
          <w:szCs w:val="18"/>
        </w:rPr>
        <w:fldChar w:fldCharType="end"/>
      </w:r>
    </w:p>
    <w:p>
      <w:pPr>
        <w:pStyle w:val="Heading1"/>
        <w:numPr>
          <w:ilvl w:val="0"/>
          <w:numId w:val="2"/>
        </w:numPr>
        <w:spacing w:before="0" w:after="0" w:line="360" w:lineRule="auto"/>
        <w:ind w:left="0" w:firstLine="0"/>
        <w:jc w:val="left"/>
        <w:rPr>
          <w:rFonts w:ascii="微软雅黑" w:eastAsia="微软雅黑" w:hAnsi="微软雅黑" w:cs="微软雅黑"/>
          <w:sz w:val="24"/>
          <w:szCs w:val="24"/>
        </w:rPr>
      </w:pPr>
      <w:bookmarkStart w:id="1" w:name="_Toc4212"/>
      <w:r>
        <w:rPr>
          <w:rFonts w:ascii="微软雅黑" w:eastAsia="微软雅黑" w:hAnsi="微软雅黑" w:cs="微软雅黑" w:hint="eastAsia"/>
          <w:sz w:val="24"/>
          <w:szCs w:val="24"/>
        </w:rPr>
        <w:t>总则</w:t>
      </w:r>
      <w:bookmarkEnd w:id="1"/>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备品备件管理工作是运维工作中的重要一环，完善的备品备件管理制度是保证公司完成客户SLA的重要前提。公司为保证运维工作的稳定及时，通过对ITSS的学习，制定了与公司制度及SLA的相关规定相符的管理制定。</w:t>
      </w:r>
    </w:p>
    <w:p>
      <w:pPr>
        <w:pStyle w:val="Heading2"/>
        <w:spacing w:before="0" w:after="0" w:line="360" w:lineRule="auto"/>
        <w:jc w:val="left"/>
        <w:rPr>
          <w:rFonts w:ascii="微软雅黑" w:eastAsia="微软雅黑" w:hAnsi="微软雅黑" w:cs="微软雅黑"/>
          <w:bCs w:val="0"/>
          <w:kern w:val="0"/>
          <w:szCs w:val="24"/>
        </w:rPr>
      </w:pPr>
      <w:bookmarkStart w:id="2" w:name="_Toc319312545"/>
      <w:bookmarkStart w:id="3" w:name="_Toc400547494"/>
      <w:bookmarkStart w:id="4" w:name="_Toc4165"/>
      <w:r>
        <w:rPr>
          <w:rFonts w:ascii="微软雅黑" w:eastAsia="微软雅黑" w:hAnsi="微软雅黑" w:cs="微软雅黑" w:hint="eastAsia"/>
          <w:bCs w:val="0"/>
          <w:kern w:val="0"/>
          <w:szCs w:val="24"/>
        </w:rPr>
        <w:t>1.1</w:t>
      </w:r>
      <w:bookmarkEnd w:id="2"/>
      <w:bookmarkEnd w:id="3"/>
      <w:r>
        <w:rPr>
          <w:rFonts w:ascii="微软雅黑" w:eastAsia="微软雅黑" w:hAnsi="微软雅黑" w:cs="微软雅黑" w:hint="eastAsia"/>
          <w:bCs w:val="0"/>
          <w:kern w:val="0"/>
          <w:szCs w:val="24"/>
        </w:rPr>
        <w:t>管理目标</w:t>
      </w:r>
      <w:bookmarkEnd w:id="4"/>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保障公司备品备件能够以最低的成本，达到最高质、高效的备品备件服务。灵活调动、统一管理，合理利用备件资源，及时完善备件资源。保障备件资源稳定可用，使故障处理中备件服务能够及时响应，快速恢复。</w:t>
      </w:r>
    </w:p>
    <w:p>
      <w:pPr>
        <w:pStyle w:val="Heading2"/>
        <w:spacing w:before="0" w:after="0" w:line="360" w:lineRule="auto"/>
        <w:jc w:val="left"/>
        <w:rPr>
          <w:rFonts w:ascii="微软雅黑" w:eastAsia="微软雅黑" w:hAnsi="微软雅黑" w:cs="微软雅黑"/>
          <w:bCs w:val="0"/>
          <w:kern w:val="0"/>
          <w:szCs w:val="24"/>
        </w:rPr>
      </w:pPr>
      <w:bookmarkStart w:id="5" w:name="_Toc400547495"/>
      <w:bookmarkStart w:id="6" w:name="_Toc319312547"/>
      <w:bookmarkStart w:id="7" w:name="_Toc21850"/>
      <w:r>
        <w:rPr>
          <w:rFonts w:ascii="微软雅黑" w:eastAsia="微软雅黑" w:hAnsi="微软雅黑" w:cs="微软雅黑" w:hint="eastAsia"/>
          <w:bCs w:val="0"/>
          <w:kern w:val="0"/>
          <w:szCs w:val="24"/>
        </w:rPr>
        <w:t>1.2</w:t>
      </w:r>
      <w:bookmarkEnd w:id="5"/>
      <w:bookmarkEnd w:id="6"/>
      <w:r>
        <w:rPr>
          <w:rFonts w:ascii="微软雅黑" w:eastAsia="微软雅黑" w:hAnsi="微软雅黑" w:cs="微软雅黑" w:hint="eastAsia"/>
          <w:bCs w:val="0"/>
          <w:kern w:val="0"/>
          <w:szCs w:val="24"/>
        </w:rPr>
        <w:t>适用范围</w:t>
      </w:r>
      <w:bookmarkEnd w:id="7"/>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本制度适用于公司备品备件管理工作，内容包括备品备件相关的工作：供应商管理、备品备件出入库管理、备品备件可用性管理、响应级别和方式。</w:t>
      </w:r>
    </w:p>
    <w:p>
      <w:pPr>
        <w:pStyle w:val="Heading1"/>
        <w:numPr>
          <w:ilvl w:val="0"/>
          <w:numId w:val="2"/>
        </w:numPr>
        <w:spacing w:before="0" w:after="0" w:line="360" w:lineRule="auto"/>
        <w:jc w:val="left"/>
        <w:rPr>
          <w:rFonts w:ascii="微软雅黑" w:eastAsia="微软雅黑" w:hAnsi="微软雅黑" w:cs="微软雅黑"/>
          <w:sz w:val="24"/>
          <w:szCs w:val="24"/>
        </w:rPr>
      </w:pPr>
      <w:bookmarkStart w:id="8" w:name="_Toc29359"/>
      <w:r>
        <w:rPr>
          <w:rFonts w:ascii="微软雅黑" w:eastAsia="微软雅黑" w:hAnsi="微软雅黑" w:cs="微软雅黑" w:hint="eastAsia"/>
          <w:sz w:val="24"/>
          <w:szCs w:val="24"/>
        </w:rPr>
        <w:t>职责分工</w:t>
      </w:r>
      <w:bookmarkEnd w:id="8"/>
    </w:p>
    <w:p>
      <w:pPr>
        <w:pStyle w:val="Heading2"/>
        <w:spacing w:before="0" w:after="0" w:line="360" w:lineRule="auto"/>
        <w:jc w:val="left"/>
        <w:rPr>
          <w:rFonts w:ascii="微软雅黑" w:eastAsia="微软雅黑" w:hAnsi="微软雅黑" w:cs="微软雅黑"/>
          <w:bCs w:val="0"/>
          <w:kern w:val="0"/>
          <w:szCs w:val="24"/>
        </w:rPr>
      </w:pPr>
      <w:bookmarkStart w:id="9" w:name="_Toc26208"/>
      <w:r>
        <w:rPr>
          <w:rFonts w:ascii="微软雅黑" w:eastAsia="微软雅黑" w:hAnsi="微软雅黑" w:cs="微软雅黑" w:hint="eastAsia"/>
          <w:bCs w:val="0"/>
          <w:kern w:val="0"/>
          <w:szCs w:val="24"/>
        </w:rPr>
        <w:t>2.1采购专员</w:t>
      </w:r>
      <w:bookmarkEnd w:id="9"/>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负责备品备件寻找货源、询价、组织招标等相关采购工作；</w:t>
      </w:r>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负责与备品备件供应商商务谈判；</w:t>
      </w:r>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负责备品备件采购合同的签订及执行。</w:t>
      </w:r>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负责备品备件供应商管理、准入、评价等。</w:t>
      </w:r>
    </w:p>
    <w:p>
      <w:pPr>
        <w:pStyle w:val="Heading2"/>
        <w:spacing w:before="0" w:after="0" w:line="360" w:lineRule="auto"/>
        <w:jc w:val="left"/>
        <w:rPr>
          <w:rFonts w:ascii="微软雅黑" w:eastAsia="微软雅黑" w:hAnsi="微软雅黑" w:cs="微软雅黑"/>
          <w:bCs w:val="0"/>
          <w:kern w:val="0"/>
          <w:szCs w:val="24"/>
        </w:rPr>
      </w:pPr>
      <w:bookmarkStart w:id="10" w:name="_Toc13297"/>
      <w:r>
        <w:rPr>
          <w:rFonts w:ascii="微软雅黑" w:eastAsia="微软雅黑" w:hAnsi="微软雅黑" w:cs="微软雅黑" w:hint="eastAsia"/>
          <w:bCs w:val="0"/>
          <w:kern w:val="0"/>
          <w:szCs w:val="24"/>
        </w:rPr>
        <w:t>2.2库管</w:t>
      </w:r>
      <w:bookmarkEnd w:id="10"/>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负责备品备件的进、出库管理；</w:t>
      </w:r>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负责仓库的人员进出管理；</w:t>
      </w:r>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负责备品备件的分类、整理、保管；</w:t>
      </w:r>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负责备品备件仓库库房物料管理；</w:t>
      </w:r>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每个季度对仓库进行巡检，清理仓库内的杂物和报废物品；</w:t>
      </w:r>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每个季度对备品备件进行验机及盘点，保证备品备件的可用性；</w:t>
      </w:r>
    </w:p>
    <w:p>
      <w:pPr>
        <w:pStyle w:val="ListParagraph"/>
        <w:numPr>
          <w:ilvl w:val="0"/>
          <w:numId w:val="3"/>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观察备品备件的使用、复用情况，及时提出备件增补要求。</w:t>
      </w:r>
    </w:p>
    <w:p>
      <w:pPr>
        <w:pStyle w:val="Heading1"/>
        <w:numPr>
          <w:ilvl w:val="0"/>
          <w:numId w:val="2"/>
        </w:numPr>
        <w:spacing w:before="0" w:after="0" w:line="360" w:lineRule="auto"/>
        <w:jc w:val="left"/>
        <w:rPr>
          <w:rFonts w:ascii="微软雅黑" w:eastAsia="微软雅黑" w:hAnsi="微软雅黑" w:cs="微软雅黑"/>
          <w:sz w:val="24"/>
          <w:szCs w:val="24"/>
        </w:rPr>
      </w:pPr>
      <w:bookmarkStart w:id="11" w:name="_Toc28230"/>
      <w:r>
        <w:rPr>
          <w:rFonts w:ascii="微软雅黑" w:eastAsia="微软雅黑" w:hAnsi="微软雅黑" w:cs="微软雅黑" w:hint="eastAsia"/>
          <w:sz w:val="24"/>
          <w:szCs w:val="24"/>
        </w:rPr>
        <w:t>采购管理</w:t>
      </w:r>
      <w:bookmarkEnd w:id="11"/>
    </w:p>
    <w:p>
      <w:pPr>
        <w:pStyle w:val="Heading2"/>
        <w:spacing w:before="0" w:after="0" w:line="360" w:lineRule="auto"/>
        <w:jc w:val="left"/>
        <w:rPr>
          <w:rFonts w:ascii="微软雅黑" w:eastAsia="微软雅黑" w:hAnsi="微软雅黑" w:cs="微软雅黑"/>
          <w:bCs w:val="0"/>
          <w:kern w:val="0"/>
          <w:szCs w:val="24"/>
        </w:rPr>
      </w:pPr>
      <w:bookmarkStart w:id="12" w:name="_Toc16221"/>
      <w:r>
        <w:rPr>
          <w:rFonts w:ascii="微软雅黑" w:eastAsia="微软雅黑" w:hAnsi="微软雅黑" w:cs="微软雅黑" w:hint="eastAsia"/>
          <w:bCs w:val="0"/>
          <w:kern w:val="0"/>
          <w:szCs w:val="24"/>
        </w:rPr>
        <w:t>3.1备品备件采购</w:t>
      </w:r>
      <w:bookmarkEnd w:id="12"/>
    </w:p>
    <w:p>
      <w:pPr>
        <w:pStyle w:val="30"/>
        <w:numPr>
          <w:ilvl w:val="0"/>
          <w:numId w:val="4"/>
        </w:numPr>
        <w:spacing w:line="360" w:lineRule="auto"/>
        <w:ind w:left="0" w:firstLine="480"/>
        <w:jc w:val="left"/>
        <w:rPr>
          <w:rFonts w:ascii="微软雅黑" w:eastAsia="微软雅黑" w:hAnsi="微软雅黑" w:cs="微软雅黑"/>
          <w:szCs w:val="24"/>
        </w:rPr>
      </w:pPr>
      <w:bookmarkStart w:id="13" w:name="_Toc319312556"/>
      <w:bookmarkStart w:id="14" w:name="_Toc400547501"/>
      <w:r>
        <w:rPr>
          <w:rFonts w:ascii="微软雅黑" w:eastAsia="微软雅黑" w:hAnsi="微软雅黑" w:cs="微软雅黑" w:hint="eastAsia"/>
          <w:szCs w:val="24"/>
        </w:rPr>
        <w:t>采购专员根据备品备件日常使用情况和与用户签订运维合同确定备品备件采购计划并报公司相关领导审批。</w:t>
      </w:r>
    </w:p>
    <w:p>
      <w:pPr>
        <w:pStyle w:val="30"/>
        <w:numPr>
          <w:ilvl w:val="0"/>
          <w:numId w:val="4"/>
        </w:numPr>
        <w:spacing w:line="360" w:lineRule="auto"/>
        <w:ind w:left="0" w:firstLine="480"/>
        <w:jc w:val="left"/>
        <w:rPr>
          <w:rFonts w:ascii="微软雅黑" w:eastAsia="微软雅黑" w:hAnsi="微软雅黑" w:cs="微软雅黑"/>
          <w:szCs w:val="24"/>
        </w:rPr>
      </w:pPr>
      <w:r>
        <w:rPr>
          <w:rFonts w:ascii="微软雅黑" w:eastAsia="微软雅黑" w:hAnsi="微软雅黑" w:cs="微软雅黑" w:hint="eastAsia"/>
          <w:szCs w:val="24"/>
        </w:rPr>
        <w:t>审批通过后，按公司相标工作，与备品备件供应商进行采购商务谈判，并签订备品备件采购合同。</w:t>
      </w:r>
    </w:p>
    <w:p>
      <w:pPr>
        <w:pStyle w:val="30"/>
        <w:numPr>
          <w:ilvl w:val="0"/>
          <w:numId w:val="4"/>
        </w:numPr>
        <w:spacing w:line="360" w:lineRule="auto"/>
        <w:ind w:left="0" w:firstLine="480"/>
        <w:jc w:val="left"/>
        <w:rPr>
          <w:rFonts w:ascii="微软雅黑" w:eastAsia="微软雅黑" w:hAnsi="微软雅黑" w:cs="微软雅黑"/>
          <w:szCs w:val="24"/>
        </w:rPr>
      </w:pPr>
      <w:r>
        <w:rPr>
          <w:rFonts w:ascii="微软雅黑" w:eastAsia="微软雅黑" w:hAnsi="微软雅黑" w:cs="微软雅黑" w:hint="eastAsia"/>
          <w:szCs w:val="24"/>
        </w:rPr>
        <w:t>采购合同签订后，商务部应定期跟踪到货情况，并及时与供应商沟通。</w:t>
      </w:r>
    </w:p>
    <w:p>
      <w:pPr>
        <w:pStyle w:val="30"/>
        <w:numPr>
          <w:ilvl w:val="0"/>
          <w:numId w:val="4"/>
        </w:numPr>
        <w:spacing w:line="360" w:lineRule="auto"/>
        <w:ind w:left="0" w:firstLine="480"/>
        <w:rPr>
          <w:rFonts w:ascii="微软雅黑" w:eastAsia="微软雅黑" w:hAnsi="微软雅黑" w:cs="微软雅黑"/>
          <w:szCs w:val="24"/>
        </w:rPr>
      </w:pPr>
      <w:r>
        <w:rPr>
          <w:rFonts w:ascii="微软雅黑" w:eastAsia="微软雅黑" w:hAnsi="微软雅黑" w:cs="微软雅黑" w:hint="eastAsia"/>
          <w:szCs w:val="24"/>
        </w:rPr>
        <w:t>供应商供货过程中出现超时应提前通知</w:t>
      </w:r>
      <w:r>
        <w:rPr>
          <w:rFonts w:ascii="微软雅黑" w:eastAsia="微软雅黑" w:hAnsi="微软雅黑" w:cs="微软雅黑" w:hint="eastAsia"/>
          <w:color w:val="000000" w:themeColor="text1"/>
          <w:szCs w:val="24"/>
        </w:rPr>
        <w:t>运维部</w:t>
      </w:r>
      <w:r>
        <w:rPr>
          <w:rFonts w:ascii="微软雅黑" w:eastAsia="微软雅黑" w:hAnsi="微软雅黑" w:cs="微软雅黑" w:hint="eastAsia"/>
          <w:szCs w:val="24"/>
        </w:rPr>
        <w:t>。若出现超时，且没有提前通知，并造成不良影响的，视情节严重性扣除当年货款的5%-10%作为处罚款。</w:t>
      </w:r>
    </w:p>
    <w:p>
      <w:pPr>
        <w:pStyle w:val="Heading2"/>
        <w:spacing w:before="0" w:after="0" w:line="360" w:lineRule="auto"/>
        <w:jc w:val="left"/>
        <w:rPr>
          <w:rFonts w:ascii="微软雅黑" w:eastAsia="微软雅黑" w:hAnsi="微软雅黑" w:cs="微软雅黑"/>
          <w:bCs w:val="0"/>
          <w:kern w:val="0"/>
          <w:szCs w:val="24"/>
        </w:rPr>
      </w:pPr>
      <w:bookmarkStart w:id="15" w:name="_Toc20548"/>
      <w:r>
        <w:rPr>
          <w:rFonts w:ascii="微软雅黑" w:eastAsia="微软雅黑" w:hAnsi="微软雅黑" w:cs="微软雅黑" w:hint="eastAsia"/>
          <w:bCs w:val="0"/>
          <w:kern w:val="0"/>
          <w:szCs w:val="24"/>
        </w:rPr>
        <w:t>3.2到货验收</w:t>
      </w:r>
      <w:bookmarkEnd w:id="15"/>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备品备件到货后应严格按照采购需求，采购清单、验收规范等验收新购备品备件；主要验收指标有：数量、型号、合格证、外观等，并做好验收记录；有功能检测要求的，需单独进行功能测试，检测合格后方可验收。</w:t>
      </w:r>
    </w:p>
    <w:p>
      <w:pPr>
        <w:pStyle w:val="Heading2"/>
        <w:spacing w:before="0" w:after="0" w:line="360" w:lineRule="auto"/>
        <w:jc w:val="left"/>
        <w:rPr>
          <w:rFonts w:ascii="微软雅黑" w:eastAsia="微软雅黑" w:hAnsi="微软雅黑" w:cs="微软雅黑"/>
          <w:bCs w:val="0"/>
          <w:kern w:val="0"/>
          <w:szCs w:val="24"/>
        </w:rPr>
      </w:pPr>
      <w:bookmarkStart w:id="16" w:name="_Toc17337"/>
      <w:r>
        <w:rPr>
          <w:rFonts w:ascii="微软雅黑" w:eastAsia="微软雅黑" w:hAnsi="微软雅黑" w:cs="微软雅黑" w:hint="eastAsia"/>
          <w:bCs w:val="0"/>
          <w:kern w:val="0"/>
          <w:szCs w:val="24"/>
        </w:rPr>
        <w:t>3.3供应商管理</w:t>
      </w:r>
      <w:bookmarkEnd w:id="16"/>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sz w:val="24"/>
          <w:szCs w:val="24"/>
        </w:rPr>
        <w:t>供应商管理详见《供应商管理制度》文件。</w:t>
      </w:r>
    </w:p>
    <w:p>
      <w:pPr>
        <w:pStyle w:val="Heading2"/>
        <w:spacing w:before="0" w:after="0" w:line="360" w:lineRule="auto"/>
        <w:jc w:val="left"/>
        <w:rPr>
          <w:rFonts w:ascii="微软雅黑" w:eastAsia="微软雅黑" w:hAnsi="微软雅黑" w:cs="微软雅黑"/>
          <w:bCs w:val="0"/>
          <w:kern w:val="0"/>
          <w:szCs w:val="24"/>
        </w:rPr>
      </w:pPr>
      <w:bookmarkStart w:id="17" w:name="_Toc7885"/>
      <w:r>
        <w:rPr>
          <w:rFonts w:ascii="微软雅黑" w:eastAsia="微软雅黑" w:hAnsi="微软雅黑" w:cs="微软雅黑" w:hint="eastAsia"/>
          <w:bCs w:val="0"/>
          <w:kern w:val="0"/>
          <w:szCs w:val="24"/>
        </w:rPr>
        <w:t>5.4供应商评价</w:t>
      </w:r>
      <w:bookmarkEnd w:id="17"/>
    </w:p>
    <w:p>
      <w:pPr>
        <w:keepNext/>
        <w:keepLines/>
        <w:spacing w:line="360" w:lineRule="auto"/>
        <w:outlineLvl w:val="2"/>
        <w:rPr>
          <w:rFonts w:ascii="微软雅黑" w:eastAsia="微软雅黑" w:hAnsi="微软雅黑" w:cs="微软雅黑"/>
          <w:b/>
          <w:bCs/>
          <w:sz w:val="24"/>
          <w:szCs w:val="24"/>
        </w:rPr>
      </w:pPr>
      <w:bookmarkStart w:id="18" w:name="_Toc13668"/>
      <w:r>
        <w:rPr>
          <w:rFonts w:ascii="微软雅黑" w:eastAsia="微软雅黑" w:hAnsi="微软雅黑" w:cs="微软雅黑" w:hint="eastAsia"/>
          <w:b/>
          <w:bCs/>
          <w:sz w:val="24"/>
          <w:szCs w:val="24"/>
        </w:rPr>
        <w:t>5.4.1供应商评价程序</w:t>
      </w:r>
      <w:bookmarkEnd w:id="18"/>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1、每半年对供应商就品质、交货期、价格、服务等项目作评价。</w:t>
      </w:r>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2、每年进行一次总评，计算方式为：</w:t>
      </w:r>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年平均得分=每次得分总和/评价次数</w:t>
      </w:r>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3、将各项得分汇入《供应商评估表》，并合计总得分。</w:t>
      </w:r>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4、列出各供应商的评估等级，符合要求列入合格供应商名单。</w:t>
      </w:r>
    </w:p>
    <w:p>
      <w:pPr>
        <w:keepNext/>
        <w:keepLines/>
        <w:spacing w:line="360" w:lineRule="auto"/>
        <w:outlineLvl w:val="2"/>
        <w:rPr>
          <w:rFonts w:ascii="微软雅黑" w:eastAsia="微软雅黑" w:hAnsi="微软雅黑" w:cs="微软雅黑"/>
          <w:b/>
          <w:bCs/>
          <w:sz w:val="24"/>
          <w:szCs w:val="24"/>
        </w:rPr>
      </w:pPr>
      <w:bookmarkStart w:id="19" w:name="_Toc24983"/>
      <w:r>
        <w:rPr>
          <w:rFonts w:ascii="微软雅黑" w:eastAsia="微软雅黑" w:hAnsi="微软雅黑" w:cs="微软雅黑" w:hint="eastAsia"/>
          <w:b/>
          <w:bCs/>
          <w:sz w:val="24"/>
          <w:szCs w:val="24"/>
        </w:rPr>
        <w:t>5.4.2供应商评价项目</w:t>
      </w:r>
      <w:bookmarkEnd w:id="19"/>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详见附件《供应商复评表》</w:t>
      </w:r>
    </w:p>
    <w:p>
      <w:pPr>
        <w:keepNext/>
        <w:keepLines/>
        <w:spacing w:line="360" w:lineRule="auto"/>
        <w:outlineLvl w:val="2"/>
        <w:rPr>
          <w:rFonts w:ascii="微软雅黑" w:eastAsia="微软雅黑" w:hAnsi="微软雅黑" w:cs="微软雅黑"/>
          <w:b/>
          <w:bCs/>
          <w:sz w:val="24"/>
          <w:szCs w:val="24"/>
        </w:rPr>
      </w:pPr>
      <w:bookmarkStart w:id="20" w:name="_Toc5832"/>
      <w:r>
        <w:rPr>
          <w:rFonts w:ascii="微软雅黑" w:eastAsia="微软雅黑" w:hAnsi="微软雅黑" w:cs="微软雅黑" w:hint="eastAsia"/>
          <w:b/>
          <w:bCs/>
          <w:sz w:val="24"/>
          <w:szCs w:val="24"/>
        </w:rPr>
        <w:t>5.4.3</w:t>
      </w:r>
      <w:r>
        <w:rPr>
          <w:rFonts w:ascii="微软雅黑" w:eastAsia="微软雅黑" w:hAnsi="微软雅黑" w:cs="微软雅黑" w:hint="eastAsia"/>
          <w:b/>
          <w:sz w:val="24"/>
          <w:szCs w:val="24"/>
        </w:rPr>
        <w:t>评价办法</w:t>
      </w:r>
      <w:bookmarkEnd w:id="20"/>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见附件，《供应商评估表》</w:t>
      </w:r>
    </w:p>
    <w:p>
      <w:pPr>
        <w:pStyle w:val="Heading1"/>
        <w:numPr>
          <w:ilvl w:val="0"/>
          <w:numId w:val="2"/>
        </w:numPr>
        <w:spacing w:before="0" w:after="0" w:line="360" w:lineRule="auto"/>
        <w:jc w:val="left"/>
        <w:rPr>
          <w:rFonts w:ascii="微软雅黑" w:eastAsia="微软雅黑" w:hAnsi="微软雅黑" w:cs="微软雅黑"/>
          <w:sz w:val="24"/>
          <w:szCs w:val="24"/>
        </w:rPr>
      </w:pPr>
      <w:bookmarkStart w:id="21" w:name="_Toc27842"/>
      <w:r>
        <w:rPr>
          <w:rFonts w:ascii="微软雅黑" w:eastAsia="微软雅黑" w:hAnsi="微软雅黑" w:cs="微软雅黑" w:hint="eastAsia"/>
          <w:sz w:val="24"/>
          <w:szCs w:val="24"/>
        </w:rPr>
        <w:t>库房管理</w:t>
      </w:r>
      <w:bookmarkEnd w:id="21"/>
    </w:p>
    <w:p>
      <w:pPr>
        <w:pStyle w:val="Heading2"/>
        <w:spacing w:before="0" w:after="0" w:line="360" w:lineRule="auto"/>
        <w:jc w:val="left"/>
        <w:rPr>
          <w:rFonts w:ascii="微软雅黑" w:eastAsia="微软雅黑" w:hAnsi="微软雅黑" w:cs="微软雅黑"/>
          <w:bCs w:val="0"/>
          <w:kern w:val="0"/>
          <w:szCs w:val="24"/>
        </w:rPr>
      </w:pPr>
      <w:bookmarkStart w:id="22" w:name="_Toc24930"/>
      <w:r>
        <w:rPr>
          <w:rFonts w:ascii="微软雅黑" w:eastAsia="微软雅黑" w:hAnsi="微软雅黑" w:cs="微软雅黑" w:hint="eastAsia"/>
          <w:bCs w:val="0"/>
          <w:kern w:val="0"/>
          <w:szCs w:val="24"/>
        </w:rPr>
        <w:t>4.1备品备件存放规定</w:t>
      </w:r>
      <w:bookmarkEnd w:id="22"/>
    </w:p>
    <w:p>
      <w:pPr>
        <w:pStyle w:val="110"/>
        <w:numPr>
          <w:ilvl w:val="0"/>
          <w:numId w:val="5"/>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备品备件仓库严禁存放或携带易燃易爆物品，防止发生火灾。</w:t>
      </w:r>
    </w:p>
    <w:p>
      <w:pPr>
        <w:pStyle w:val="110"/>
        <w:numPr>
          <w:ilvl w:val="0"/>
          <w:numId w:val="5"/>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备品备件仓库应该做好防水工作，禁止携带饮料、水壶等进出备件库。</w:t>
      </w:r>
    </w:p>
    <w:p>
      <w:pPr>
        <w:pStyle w:val="110"/>
        <w:numPr>
          <w:ilvl w:val="0"/>
          <w:numId w:val="5"/>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备品备件安装类别进行分别摆放，合理利用仓库空间。</w:t>
      </w:r>
    </w:p>
    <w:p>
      <w:pPr>
        <w:pStyle w:val="110"/>
        <w:numPr>
          <w:ilvl w:val="0"/>
          <w:numId w:val="5"/>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易受潮物品，严禁直接摆放于地上，应放货架或卡板进行隔离。</w:t>
      </w:r>
    </w:p>
    <w:p>
      <w:pPr>
        <w:pStyle w:val="110"/>
        <w:numPr>
          <w:ilvl w:val="0"/>
          <w:numId w:val="5"/>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备品备件仓库需要进行人员进出管控，严禁无关人员随意进出。</w:t>
      </w:r>
    </w:p>
    <w:p>
      <w:pPr>
        <w:pStyle w:val="110"/>
        <w:numPr>
          <w:ilvl w:val="0"/>
          <w:numId w:val="5"/>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备品库管需要制定仓库清单，记录设备存放情况及去向用途，实时更新。</w:t>
      </w:r>
    </w:p>
    <w:p>
      <w:pPr>
        <w:pStyle w:val="110"/>
        <w:numPr>
          <w:ilvl w:val="0"/>
          <w:numId w:val="5"/>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备品备件需要除保护设备本身的外包装标识外，应做好规范标签，方便提取设备时，快捷易找。</w:t>
      </w:r>
    </w:p>
    <w:p>
      <w:pPr>
        <w:pStyle w:val="110"/>
        <w:widowControl/>
        <w:numPr>
          <w:ilvl w:val="0"/>
          <w:numId w:val="5"/>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备品库管需要周期性检查仓库，排查安全隐患，检查消防设备是否到位可用。</w:t>
      </w:r>
    </w:p>
    <w:p>
      <w:pPr>
        <w:pStyle w:val="Heading2"/>
        <w:spacing w:before="0" w:after="0" w:line="360" w:lineRule="auto"/>
        <w:jc w:val="left"/>
        <w:rPr>
          <w:rFonts w:ascii="微软雅黑" w:eastAsia="微软雅黑" w:hAnsi="微软雅黑" w:cs="微软雅黑"/>
          <w:bCs w:val="0"/>
          <w:kern w:val="0"/>
          <w:szCs w:val="24"/>
        </w:rPr>
      </w:pPr>
      <w:bookmarkStart w:id="23" w:name="_Toc23117"/>
      <w:r>
        <w:rPr>
          <w:rFonts w:ascii="微软雅黑" w:eastAsia="微软雅黑" w:hAnsi="微软雅黑" w:cs="微软雅黑" w:hint="eastAsia"/>
          <w:bCs w:val="0"/>
          <w:kern w:val="0"/>
          <w:szCs w:val="24"/>
        </w:rPr>
        <w:t>4.2备品备件出入库流程</w:t>
      </w:r>
      <w:bookmarkEnd w:id="23"/>
    </w:p>
    <w:p>
      <w:pPr>
        <w:numPr>
          <w:ilvl w:val="0"/>
          <w:numId w:val="6"/>
        </w:numPr>
        <w:spacing w:line="360" w:lineRule="auto"/>
        <w:jc w:val="left"/>
        <w:rPr>
          <w:rFonts w:ascii="仿宋" w:eastAsia="仿宋" w:hAnsi="仿宋" w:cs="宋体"/>
          <w:b/>
          <w:sz w:val="24"/>
          <w:szCs w:val="24"/>
        </w:rPr>
      </w:pPr>
      <w:bookmarkStart w:id="24" w:name="_Toc439853391"/>
      <w:bookmarkStart w:id="25" w:name="_Toc410053291"/>
      <w:bookmarkStart w:id="26" w:name="_Toc410052990"/>
      <w:r>
        <w:rPr>
          <w:rFonts w:ascii="仿宋" w:eastAsia="仿宋" w:hAnsi="仿宋" w:cs="宋体" w:hint="eastAsia"/>
          <w:b/>
          <w:sz w:val="24"/>
          <w:szCs w:val="24"/>
        </w:rPr>
        <w:t>入库</w:t>
      </w:r>
      <w:bookmarkEnd w:id="24"/>
      <w:bookmarkEnd w:id="25"/>
      <w:bookmarkEnd w:id="26"/>
      <w:r>
        <w:rPr>
          <w:rFonts w:ascii="仿宋" w:eastAsia="仿宋" w:hAnsi="仿宋" w:cs="宋体" w:hint="eastAsia"/>
          <w:b/>
          <w:sz w:val="24"/>
          <w:szCs w:val="24"/>
        </w:rPr>
        <w:t>管理流程</w:t>
      </w:r>
    </w:p>
    <w:p>
      <w:pPr>
        <w:spacing w:line="360" w:lineRule="auto"/>
        <w:jc w:val="center"/>
        <w:rPr>
          <w:rFonts w:ascii="仿宋" w:eastAsia="仿宋" w:hAnsi="仿宋" w:cs="Times New Roman"/>
          <w:sz w:val="24"/>
          <w:szCs w:val="24"/>
        </w:rPr>
      </w:pPr>
      <w:r>
        <w:rPr>
          <w:rFonts w:ascii="仿宋" w:eastAsia="仿宋" w:hAnsi="仿宋" w:cs="Times New Roman"/>
          <w:sz w:val="24"/>
          <w:szCs w:val="24"/>
        </w:rPr>
        <w:br/>
      </w:r>
    </w:p>
    <w:p>
      <w:pPr>
        <w:numPr>
          <w:ilvl w:val="0"/>
          <w:numId w:val="7"/>
        </w:num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备品备件入库前，交接人与备品库管应做好备件交接手续，确认一下备件情况：</w:t>
      </w:r>
    </w:p>
    <w:p>
      <w:pPr>
        <w:pStyle w:val="ListParagraph"/>
        <w:numPr>
          <w:ilvl w:val="0"/>
          <w:numId w:val="8"/>
        </w:numPr>
        <w:tabs>
          <w:tab w:val="left" w:pos="-928"/>
          <w:tab w:val="left" w:pos="0"/>
        </w:tabs>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设备数量及型号。</w:t>
      </w:r>
    </w:p>
    <w:p>
      <w:pPr>
        <w:pStyle w:val="ListParagraph"/>
        <w:numPr>
          <w:ilvl w:val="0"/>
          <w:numId w:val="8"/>
        </w:numPr>
        <w:tabs>
          <w:tab w:val="left" w:pos="-928"/>
          <w:tab w:val="left" w:pos="0"/>
        </w:tabs>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设备配件是否齐全。</w:t>
      </w:r>
    </w:p>
    <w:p>
      <w:pPr>
        <w:pStyle w:val="ListParagraph"/>
        <w:numPr>
          <w:ilvl w:val="0"/>
          <w:numId w:val="8"/>
        </w:numPr>
        <w:tabs>
          <w:tab w:val="left" w:pos="-928"/>
          <w:tab w:val="left" w:pos="0"/>
        </w:tabs>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设备序列号是否与发货清单相同。</w:t>
      </w:r>
    </w:p>
    <w:p>
      <w:pPr>
        <w:pStyle w:val="ListParagraph"/>
        <w:numPr>
          <w:ilvl w:val="0"/>
          <w:numId w:val="8"/>
        </w:numPr>
        <w:tabs>
          <w:tab w:val="left" w:pos="-928"/>
          <w:tab w:val="left" w:pos="0"/>
        </w:tabs>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设备加电运行测试是否正常</w:t>
      </w:r>
    </w:p>
    <w:p>
      <w:pPr>
        <w:pStyle w:val="ListParagraph"/>
        <w:numPr>
          <w:ilvl w:val="0"/>
          <w:numId w:val="8"/>
        </w:numPr>
        <w:tabs>
          <w:tab w:val="left" w:pos="-928"/>
          <w:tab w:val="left" w:pos="0"/>
        </w:tabs>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设备软件授权是否正常。</w:t>
      </w:r>
    </w:p>
    <w:p>
      <w:pPr>
        <w:numPr>
          <w:ilvl w:val="0"/>
          <w:numId w:val="9"/>
        </w:num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双方确认备品备件状态后，备品库管对备品备件进行签收确认。</w:t>
      </w:r>
    </w:p>
    <w:p>
      <w:pPr>
        <w:numPr>
          <w:ilvl w:val="0"/>
          <w:numId w:val="9"/>
        </w:num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备品库管在备品备件签收后应及时更新备品备件账目。</w:t>
      </w:r>
    </w:p>
    <w:p>
      <w:pPr>
        <w:numPr>
          <w:ilvl w:val="0"/>
          <w:numId w:val="9"/>
        </w:num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备品库管对新入库的设备进行分类存放，粘贴标识。</w:t>
      </w:r>
    </w:p>
    <w:p>
      <w:pPr>
        <w:numPr>
          <w:ilvl w:val="0"/>
          <w:numId w:val="6"/>
        </w:numPr>
        <w:spacing w:line="360" w:lineRule="auto"/>
        <w:jc w:val="left"/>
        <w:rPr>
          <w:rFonts w:ascii="微软雅黑" w:eastAsia="微软雅黑" w:hAnsi="微软雅黑" w:cs="微软雅黑"/>
          <w:b/>
          <w:sz w:val="24"/>
          <w:szCs w:val="24"/>
        </w:rPr>
      </w:pPr>
      <w:bookmarkStart w:id="27" w:name="_Toc410052991"/>
      <w:bookmarkStart w:id="28" w:name="_Toc439853392"/>
      <w:bookmarkStart w:id="29" w:name="_Toc410053292"/>
      <w:r>
        <w:rPr>
          <w:rFonts w:ascii="微软雅黑" w:eastAsia="微软雅黑" w:hAnsi="微软雅黑" w:cs="微软雅黑" w:hint="eastAsia"/>
          <w:b/>
          <w:sz w:val="24"/>
          <w:szCs w:val="24"/>
        </w:rPr>
        <w:t>出库管理</w:t>
      </w:r>
      <w:bookmarkEnd w:id="27"/>
      <w:bookmarkEnd w:id="28"/>
      <w:bookmarkEnd w:id="29"/>
      <w:r>
        <w:rPr>
          <w:rFonts w:ascii="微软雅黑" w:eastAsia="微软雅黑" w:hAnsi="微软雅黑" w:cs="微软雅黑" w:hint="eastAsia"/>
          <w:b/>
          <w:sz w:val="24"/>
          <w:szCs w:val="24"/>
        </w:rPr>
        <w:t>流程</w:t>
      </w:r>
    </w:p>
    <w:p>
      <w:pPr>
        <w:tabs>
          <w:tab w:val="left" w:pos="5176"/>
          <w:tab w:val="left" w:pos="6331"/>
        </w:tabs>
        <w:spacing w:line="360" w:lineRule="auto"/>
        <w:ind w:firstLine="480"/>
        <w:jc w:val="center"/>
        <w:rPr>
          <w:rFonts w:ascii="微软雅黑" w:eastAsia="微软雅黑" w:hAnsi="微软雅黑" w:cs="微软雅黑"/>
          <w:sz w:val="24"/>
          <w:szCs w:val="24"/>
        </w:rPr>
      </w:pPr>
      <w:r>
        <w:rPr>
          <w:rFonts w:ascii="微软雅黑" w:eastAsia="微软雅黑" w:hAnsi="微软雅黑" w:cs="微软雅黑" w:hint="eastAsia"/>
          <w:sz w:val="24"/>
          <w:szCs w:val="24"/>
        </w:rPr>
        <w:br/>
      </w:r>
    </w:p>
    <w:p>
      <w:pPr>
        <w:numPr>
          <w:ilvl w:val="0"/>
          <w:numId w:val="10"/>
        </w:num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备品备件领用人需要取用备品备件时，应提交申请。</w:t>
      </w:r>
    </w:p>
    <w:p>
      <w:pPr>
        <w:numPr>
          <w:ilvl w:val="0"/>
          <w:numId w:val="10"/>
        </w:num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备品备件领用申请由相关领导审核后进入备品备件出库交接。</w:t>
      </w:r>
    </w:p>
    <w:p>
      <w:pPr>
        <w:numPr>
          <w:ilvl w:val="0"/>
          <w:numId w:val="10"/>
        </w:num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备品备件出口交接时，领用人需要与备品库管确认备品备件状态。</w:t>
      </w:r>
    </w:p>
    <w:p>
      <w:pPr>
        <w:numPr>
          <w:ilvl w:val="0"/>
          <w:numId w:val="10"/>
        </w:num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完成交接后，领用人签字记录。</w:t>
      </w:r>
    </w:p>
    <w:p>
      <w:pPr>
        <w:numPr>
          <w:ilvl w:val="0"/>
          <w:numId w:val="10"/>
        </w:num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备品库管在备品备件出库后应及时更新备品备件账目，写明备品备件去向、使用时间、归还时间，及时跟进状态。</w:t>
      </w:r>
    </w:p>
    <w:p>
      <w:pPr>
        <w:pStyle w:val="Heading2"/>
        <w:spacing w:before="0" w:after="0" w:line="360" w:lineRule="auto"/>
        <w:jc w:val="left"/>
        <w:rPr>
          <w:rFonts w:ascii="微软雅黑" w:eastAsia="微软雅黑" w:hAnsi="微软雅黑" w:cs="微软雅黑"/>
          <w:bCs w:val="0"/>
          <w:kern w:val="0"/>
          <w:szCs w:val="24"/>
        </w:rPr>
      </w:pPr>
      <w:bookmarkStart w:id="30" w:name="_Toc31703"/>
      <w:r>
        <w:rPr>
          <w:rFonts w:ascii="微软雅黑" w:eastAsia="微软雅黑" w:hAnsi="微软雅黑" w:cs="微软雅黑" w:hint="eastAsia"/>
          <w:bCs w:val="0"/>
          <w:kern w:val="0"/>
          <w:szCs w:val="24"/>
        </w:rPr>
        <w:t>4.3紧急出库流程</w:t>
      </w:r>
      <w:bookmarkEnd w:id="30"/>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在运维工作中存在紧急情况需要直接提取备品备件的应按一下步骤操作：</w:t>
      </w:r>
    </w:p>
    <w:p>
      <w:pPr>
        <w:pStyle w:val="ListParagraph"/>
        <w:numPr>
          <w:ilvl w:val="0"/>
          <w:numId w:val="11"/>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经由相关领导人确认，留存邮件、短信等正式信息记录。</w:t>
      </w:r>
    </w:p>
    <w:p>
      <w:pPr>
        <w:pStyle w:val="ListParagraph"/>
        <w:numPr>
          <w:ilvl w:val="0"/>
          <w:numId w:val="11"/>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备品库管与相关领导确认后，执行快速出口流程。</w:t>
      </w:r>
    </w:p>
    <w:p>
      <w:pPr>
        <w:pStyle w:val="ListParagraph"/>
        <w:numPr>
          <w:ilvl w:val="0"/>
          <w:numId w:val="11"/>
        </w:numPr>
        <w:spacing w:line="360" w:lineRule="auto"/>
        <w:ind w:firstLineChars="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紧急处理后应补办备品备件出库流程，做好记录。</w:t>
      </w:r>
    </w:p>
    <w:p>
      <w:pPr>
        <w:pStyle w:val="Heading2"/>
        <w:spacing w:before="0" w:after="0" w:line="360" w:lineRule="auto"/>
        <w:jc w:val="left"/>
        <w:rPr>
          <w:rFonts w:ascii="微软雅黑" w:eastAsia="微软雅黑" w:hAnsi="微软雅黑" w:cs="微软雅黑"/>
          <w:bCs w:val="0"/>
          <w:kern w:val="0"/>
          <w:szCs w:val="24"/>
        </w:rPr>
      </w:pPr>
      <w:bookmarkStart w:id="31" w:name="_Toc72"/>
      <w:r>
        <w:rPr>
          <w:rFonts w:ascii="微软雅黑" w:eastAsia="微软雅黑" w:hAnsi="微软雅黑" w:cs="微软雅黑" w:hint="eastAsia"/>
          <w:bCs w:val="0"/>
          <w:kern w:val="0"/>
          <w:szCs w:val="24"/>
        </w:rPr>
        <w:t>4.4备品备件库库存盘点及验机规定</w:t>
      </w:r>
      <w:bookmarkEnd w:id="31"/>
    </w:p>
    <w:p>
      <w:pPr>
        <w:pStyle w:val="110"/>
        <w:numPr>
          <w:ilvl w:val="0"/>
          <w:numId w:val="12"/>
        </w:numPr>
        <w:jc w:val="left"/>
        <w:rPr>
          <w:rFonts w:ascii="微软雅黑" w:eastAsia="微软雅黑" w:hAnsi="微软雅黑" w:cs="微软雅黑"/>
          <w:szCs w:val="24"/>
        </w:rPr>
      </w:pPr>
      <w:r>
        <w:rPr>
          <w:rFonts w:ascii="微软雅黑" w:eastAsia="微软雅黑" w:hAnsi="微软雅黑" w:cs="微软雅黑" w:hint="eastAsia"/>
          <w:szCs w:val="24"/>
        </w:rPr>
        <w:t>库管应定期依照备品备件库账目对库存进行盘点。</w:t>
      </w:r>
    </w:p>
    <w:p>
      <w:pPr>
        <w:pStyle w:val="110"/>
        <w:numPr>
          <w:ilvl w:val="0"/>
          <w:numId w:val="12"/>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发现未按时归回的，及时通知设备领用人进行备品备件归回。</w:t>
      </w:r>
    </w:p>
    <w:p>
      <w:pPr>
        <w:pStyle w:val="110"/>
        <w:numPr>
          <w:ilvl w:val="0"/>
          <w:numId w:val="12"/>
        </w:numPr>
        <w:ind w:left="0" w:firstLine="420" w:firstLineChars="200"/>
        <w:jc w:val="left"/>
        <w:rPr>
          <w:rFonts w:ascii="微软雅黑" w:eastAsia="微软雅黑" w:hAnsi="微软雅黑" w:cs="微软雅黑"/>
          <w:szCs w:val="24"/>
        </w:rPr>
      </w:pPr>
      <w:r>
        <w:rPr>
          <w:rFonts w:ascii="微软雅黑" w:eastAsia="微软雅黑" w:hAnsi="微软雅黑" w:cs="微软雅黑" w:hint="eastAsia"/>
          <w:szCs w:val="24"/>
        </w:rPr>
        <w:t>为保证备品备件可用性，应每季度对备品备件进行验机，并留存验机记录及验机人签字确认。</w:t>
      </w:r>
    </w:p>
    <w:p>
      <w:pPr>
        <w:pStyle w:val="Heading1"/>
        <w:numPr>
          <w:ilvl w:val="0"/>
          <w:numId w:val="2"/>
        </w:numPr>
        <w:spacing w:before="0" w:after="0" w:line="360" w:lineRule="auto"/>
        <w:jc w:val="left"/>
        <w:rPr>
          <w:rFonts w:ascii="微软雅黑" w:eastAsia="微软雅黑" w:hAnsi="微软雅黑" w:cs="微软雅黑"/>
          <w:sz w:val="24"/>
          <w:szCs w:val="24"/>
        </w:rPr>
      </w:pPr>
      <w:bookmarkStart w:id="32" w:name="_Toc19960"/>
      <w:r>
        <w:rPr>
          <w:rFonts w:ascii="微软雅黑" w:eastAsia="微软雅黑" w:hAnsi="微软雅黑" w:cs="微软雅黑" w:hint="eastAsia"/>
          <w:sz w:val="24"/>
          <w:szCs w:val="24"/>
        </w:rPr>
        <w:t>报废管理</w:t>
      </w:r>
      <w:bookmarkEnd w:id="32"/>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报废原则：</w:t>
      </w:r>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1)</w:t>
      </w:r>
      <w:r>
        <w:rPr>
          <w:rFonts w:ascii="微软雅黑" w:eastAsia="微软雅黑" w:hAnsi="微软雅黑" w:cs="微软雅黑" w:hint="eastAsia"/>
          <w:kern w:val="0"/>
          <w:sz w:val="24"/>
          <w:szCs w:val="24"/>
        </w:rPr>
        <w:tab/>
      </w:r>
      <w:r>
        <w:rPr>
          <w:rFonts w:ascii="微软雅黑" w:eastAsia="微软雅黑" w:hAnsi="微软雅黑" w:cs="微软雅黑" w:hint="eastAsia"/>
          <w:kern w:val="0"/>
          <w:sz w:val="24"/>
          <w:szCs w:val="24"/>
        </w:rPr>
        <w:t>已上机使用备品备件经生产厂点技术人员确认不能满足原有设备功能精度要求或发生损坏，且不能通过修复及其它手段再利用，可进行报废处理。</w:t>
      </w:r>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2)</w:t>
      </w:r>
      <w:r>
        <w:rPr>
          <w:rFonts w:ascii="微软雅黑" w:eastAsia="微软雅黑" w:hAnsi="微软雅黑" w:cs="微软雅黑" w:hint="eastAsia"/>
          <w:kern w:val="0"/>
          <w:sz w:val="24"/>
          <w:szCs w:val="24"/>
        </w:rPr>
        <w:tab/>
      </w:r>
      <w:r>
        <w:rPr>
          <w:rFonts w:ascii="微软雅黑" w:eastAsia="微软雅黑" w:hAnsi="微软雅黑" w:cs="微软雅黑" w:hint="eastAsia"/>
          <w:kern w:val="0"/>
          <w:sz w:val="24"/>
          <w:szCs w:val="24"/>
        </w:rPr>
        <w:t>因技术改造、产品更新换代、失效等原因造成的在库备品备件不能再使用，需要进行报废处理的备品备件，各生产厂应以书面形式报请公司主管经理或主管部门审批，待批准后方可进行报废处理。</w:t>
      </w:r>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3)</w:t>
      </w:r>
      <w:r>
        <w:rPr>
          <w:rFonts w:ascii="微软雅黑" w:eastAsia="微软雅黑" w:hAnsi="微软雅黑" w:cs="微软雅黑" w:hint="eastAsia"/>
          <w:kern w:val="0"/>
          <w:sz w:val="24"/>
          <w:szCs w:val="24"/>
        </w:rPr>
        <w:tab/>
      </w:r>
      <w:r>
        <w:rPr>
          <w:rFonts w:ascii="微软雅黑" w:eastAsia="微软雅黑" w:hAnsi="微软雅黑" w:cs="微软雅黑" w:hint="eastAsia"/>
          <w:kern w:val="0"/>
          <w:sz w:val="24"/>
          <w:szCs w:val="24"/>
        </w:rPr>
        <w:t>已报废备品备件，生产厂可根据备件种类及完好程度提出处理方案上报商务部，通过竞价外销方式收回残值；对于废钢铁、有色金属按公司规定由指定回收单位进行回收。</w:t>
      </w:r>
    </w:p>
    <w:p>
      <w:pPr>
        <w:widowControl/>
        <w:jc w:val="left"/>
        <w:rPr>
          <w:rFonts w:ascii="仿宋" w:eastAsia="仿宋" w:hAnsi="仿宋" w:cs="宋体"/>
          <w:kern w:val="0"/>
          <w:sz w:val="24"/>
          <w:szCs w:val="24"/>
        </w:rPr>
      </w:pPr>
      <w:r>
        <w:rPr>
          <w:rFonts w:ascii="仿宋" w:eastAsia="仿宋" w:hAnsi="仿宋" w:cs="宋体"/>
          <w:kern w:val="0"/>
          <w:sz w:val="24"/>
          <w:szCs w:val="24"/>
        </w:rPr>
        <w:br w:type="page"/>
      </w:r>
    </w:p>
    <w:p>
      <w:pPr>
        <w:pStyle w:val="Heading1"/>
        <w:numPr>
          <w:ilvl w:val="0"/>
          <w:numId w:val="2"/>
        </w:numPr>
        <w:spacing w:before="0" w:after="0" w:line="360" w:lineRule="auto"/>
        <w:jc w:val="left"/>
        <w:rPr>
          <w:rFonts w:ascii="微软雅黑" w:eastAsia="微软雅黑" w:hAnsi="微软雅黑" w:cs="微软雅黑"/>
          <w:sz w:val="24"/>
          <w:szCs w:val="24"/>
        </w:rPr>
      </w:pPr>
      <w:bookmarkEnd w:id="13"/>
      <w:bookmarkEnd w:id="14"/>
      <w:bookmarkStart w:id="33" w:name="_Toc20822"/>
      <w:r>
        <w:rPr>
          <w:rFonts w:ascii="微软雅黑" w:eastAsia="微软雅黑" w:hAnsi="微软雅黑" w:cs="微软雅黑" w:hint="eastAsia"/>
          <w:sz w:val="24"/>
          <w:szCs w:val="24"/>
        </w:rPr>
        <w:t>响应级别和方式</w:t>
      </w:r>
      <w:bookmarkEnd w:id="33"/>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备品备件响应级别及方式，依照各项目合同及实际现况进行响应。具体响应级别见下表：</w:t>
      </w:r>
    </w:p>
    <w:tbl>
      <w:tblPr>
        <w:tblStyle w:val="TableNormal"/>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00"/>
        <w:gridCol w:w="4168"/>
        <w:gridCol w:w="2628"/>
      </w:tblGrid>
      <w:tr>
        <w:tblPrEx>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84"/>
          <w:jc w:val="center"/>
        </w:trPr>
        <w:tc>
          <w:tcPr>
            <w:tcW w:w="1500" w:type="dxa"/>
            <w:shd w:val="clear" w:color="auto" w:fill="auto"/>
            <w:vAlign w:val="center"/>
          </w:tcPr>
          <w:p>
            <w:pPr>
              <w:pStyle w:val="a2"/>
              <w:spacing w:line="360" w:lineRule="auto"/>
              <w:rPr>
                <w:rFonts w:ascii="仿宋" w:eastAsia="仿宋" w:hAnsi="仿宋" w:cs="宋体"/>
                <w:b/>
                <w:bCs/>
                <w:color w:val="auto"/>
                <w:szCs w:val="24"/>
              </w:rPr>
            </w:pPr>
            <w:r>
              <w:rPr>
                <w:rFonts w:ascii="仿宋" w:eastAsia="仿宋" w:hAnsi="仿宋" w:cs="宋体" w:hint="eastAsia"/>
                <w:b/>
                <w:bCs/>
                <w:color w:val="auto"/>
                <w:szCs w:val="24"/>
              </w:rPr>
              <w:t>响应级别</w:t>
            </w:r>
          </w:p>
        </w:tc>
        <w:tc>
          <w:tcPr>
            <w:tcW w:w="4168" w:type="dxa"/>
            <w:shd w:val="clear" w:color="auto" w:fill="auto"/>
            <w:vAlign w:val="center"/>
          </w:tcPr>
          <w:p>
            <w:pPr>
              <w:pStyle w:val="a2"/>
              <w:spacing w:line="360" w:lineRule="auto"/>
              <w:rPr>
                <w:rFonts w:ascii="仿宋" w:eastAsia="仿宋" w:hAnsi="仿宋" w:cs="宋体"/>
                <w:b/>
                <w:bCs/>
                <w:color w:val="auto"/>
                <w:szCs w:val="24"/>
              </w:rPr>
            </w:pPr>
            <w:r>
              <w:rPr>
                <w:rFonts w:ascii="仿宋" w:eastAsia="仿宋" w:hAnsi="仿宋" w:cs="宋体" w:hint="eastAsia"/>
                <w:b/>
                <w:bCs/>
                <w:color w:val="auto"/>
                <w:szCs w:val="24"/>
              </w:rPr>
              <w:t>响应方式</w:t>
            </w:r>
          </w:p>
        </w:tc>
        <w:tc>
          <w:tcPr>
            <w:tcW w:w="2628" w:type="dxa"/>
            <w:shd w:val="clear" w:color="auto" w:fill="auto"/>
            <w:vAlign w:val="center"/>
          </w:tcPr>
          <w:p>
            <w:pPr>
              <w:pStyle w:val="a2"/>
              <w:spacing w:line="360" w:lineRule="auto"/>
              <w:rPr>
                <w:rFonts w:ascii="仿宋" w:eastAsia="仿宋" w:hAnsi="仿宋" w:cs="宋体"/>
                <w:b/>
                <w:bCs/>
                <w:color w:val="auto"/>
                <w:szCs w:val="24"/>
              </w:rPr>
            </w:pPr>
            <w:r>
              <w:rPr>
                <w:rFonts w:ascii="仿宋" w:eastAsia="仿宋" w:hAnsi="仿宋" w:cs="宋体" w:hint="eastAsia"/>
                <w:b/>
                <w:bCs/>
                <w:color w:val="auto"/>
                <w:szCs w:val="24"/>
              </w:rPr>
              <w:t>备注</w:t>
            </w:r>
          </w:p>
        </w:tc>
      </w:tr>
      <w:tr>
        <w:tblPrEx>
          <w:tblW w:w="8296" w:type="dxa"/>
          <w:jc w:val="center"/>
          <w:tblLayout w:type="fixed"/>
          <w:tblCellMar>
            <w:top w:w="0" w:type="dxa"/>
            <w:left w:w="108" w:type="dxa"/>
            <w:bottom w:w="0" w:type="dxa"/>
            <w:right w:w="108" w:type="dxa"/>
          </w:tblCellMar>
        </w:tblPrEx>
        <w:trPr>
          <w:trHeight w:hRule="exact" w:val="589"/>
          <w:jc w:val="center"/>
        </w:trPr>
        <w:tc>
          <w:tcPr>
            <w:tcW w:w="1500" w:type="dxa"/>
            <w:vAlign w:val="center"/>
          </w:tcPr>
          <w:p>
            <w:pPr>
              <w:pStyle w:val="a2"/>
              <w:spacing w:line="360" w:lineRule="auto"/>
              <w:rPr>
                <w:rFonts w:ascii="仿宋" w:eastAsia="仿宋" w:hAnsi="仿宋" w:cs="宋体"/>
                <w:bCs/>
                <w:color w:val="auto"/>
                <w:szCs w:val="24"/>
              </w:rPr>
            </w:pPr>
            <w:r>
              <w:rPr>
                <w:rFonts w:ascii="仿宋" w:eastAsia="仿宋" w:hAnsi="仿宋" w:cs="宋体"/>
                <w:bCs/>
                <w:color w:val="auto"/>
                <w:szCs w:val="24"/>
              </w:rPr>
              <w:t>1</w:t>
            </w:r>
            <w:r>
              <w:rPr>
                <w:rFonts w:ascii="仿宋" w:eastAsia="仿宋" w:hAnsi="仿宋" w:cs="宋体" w:hint="eastAsia"/>
                <w:bCs/>
                <w:color w:val="auto"/>
                <w:szCs w:val="24"/>
              </w:rPr>
              <w:t>级</w:t>
            </w:r>
          </w:p>
        </w:tc>
        <w:tc>
          <w:tcPr>
            <w:tcW w:w="4168" w:type="dxa"/>
            <w:vAlign w:val="center"/>
          </w:tcPr>
          <w:p>
            <w:pPr>
              <w:pStyle w:val="a2"/>
              <w:spacing w:line="360" w:lineRule="auto"/>
              <w:rPr>
                <w:rFonts w:ascii="仿宋" w:eastAsia="仿宋" w:hAnsi="仿宋" w:cs="宋体"/>
                <w:bCs/>
                <w:color w:val="auto"/>
                <w:szCs w:val="24"/>
              </w:rPr>
            </w:pPr>
            <w:r>
              <w:rPr>
                <w:rFonts w:ascii="仿宋" w:eastAsia="仿宋" w:hAnsi="仿宋" w:cs="宋体" w:hint="eastAsia"/>
                <w:bCs/>
                <w:color w:val="auto"/>
                <w:szCs w:val="24"/>
              </w:rPr>
              <w:t>备件</w:t>
            </w:r>
            <w:r>
              <w:rPr>
                <w:rFonts w:ascii="仿宋" w:eastAsia="仿宋" w:hAnsi="仿宋" w:cs="宋体"/>
                <w:bCs/>
                <w:color w:val="auto"/>
                <w:szCs w:val="24"/>
              </w:rPr>
              <w:t>2</w:t>
            </w:r>
            <w:r>
              <w:rPr>
                <w:rFonts w:ascii="仿宋" w:eastAsia="仿宋" w:hAnsi="仿宋" w:cs="宋体" w:hint="eastAsia"/>
                <w:bCs/>
                <w:color w:val="auto"/>
                <w:szCs w:val="24"/>
              </w:rPr>
              <w:t>小时内到现场</w:t>
            </w:r>
          </w:p>
        </w:tc>
        <w:tc>
          <w:tcPr>
            <w:tcW w:w="2628" w:type="dxa"/>
            <w:vAlign w:val="center"/>
          </w:tcPr>
          <w:p>
            <w:pPr>
              <w:pStyle w:val="a2"/>
              <w:spacing w:line="360" w:lineRule="auto"/>
              <w:rPr>
                <w:rFonts w:ascii="仿宋" w:eastAsia="仿宋" w:hAnsi="仿宋" w:cs="宋体"/>
                <w:bCs/>
                <w:color w:val="auto"/>
                <w:szCs w:val="24"/>
              </w:rPr>
            </w:pPr>
          </w:p>
        </w:tc>
      </w:tr>
      <w:tr>
        <w:tblPrEx>
          <w:tblW w:w="8296" w:type="dxa"/>
          <w:jc w:val="center"/>
          <w:tblLayout w:type="fixed"/>
          <w:tblCellMar>
            <w:top w:w="0" w:type="dxa"/>
            <w:left w:w="108" w:type="dxa"/>
            <w:bottom w:w="0" w:type="dxa"/>
            <w:right w:w="108" w:type="dxa"/>
          </w:tblCellMar>
        </w:tblPrEx>
        <w:trPr>
          <w:trHeight w:hRule="exact" w:val="569"/>
          <w:jc w:val="center"/>
        </w:trPr>
        <w:tc>
          <w:tcPr>
            <w:tcW w:w="1500" w:type="dxa"/>
            <w:vAlign w:val="center"/>
          </w:tcPr>
          <w:p>
            <w:pPr>
              <w:pStyle w:val="a2"/>
              <w:spacing w:line="360" w:lineRule="auto"/>
              <w:rPr>
                <w:rFonts w:ascii="仿宋" w:eastAsia="仿宋" w:hAnsi="仿宋" w:cs="宋体"/>
                <w:bCs/>
                <w:color w:val="auto"/>
                <w:szCs w:val="24"/>
              </w:rPr>
            </w:pPr>
            <w:r>
              <w:rPr>
                <w:rFonts w:ascii="仿宋" w:eastAsia="仿宋" w:hAnsi="仿宋" w:cs="宋体"/>
                <w:bCs/>
                <w:color w:val="auto"/>
                <w:szCs w:val="24"/>
              </w:rPr>
              <w:t>2</w:t>
            </w:r>
            <w:r>
              <w:rPr>
                <w:rFonts w:ascii="仿宋" w:eastAsia="仿宋" w:hAnsi="仿宋" w:cs="宋体" w:hint="eastAsia"/>
                <w:bCs/>
                <w:color w:val="auto"/>
                <w:szCs w:val="24"/>
              </w:rPr>
              <w:t>级</w:t>
            </w:r>
          </w:p>
        </w:tc>
        <w:tc>
          <w:tcPr>
            <w:tcW w:w="4168" w:type="dxa"/>
            <w:vAlign w:val="center"/>
          </w:tcPr>
          <w:p>
            <w:pPr>
              <w:pStyle w:val="a2"/>
              <w:spacing w:line="360" w:lineRule="auto"/>
              <w:rPr>
                <w:rFonts w:ascii="仿宋" w:eastAsia="仿宋" w:hAnsi="仿宋" w:cs="宋体"/>
                <w:bCs/>
                <w:color w:val="auto"/>
                <w:szCs w:val="24"/>
              </w:rPr>
            </w:pPr>
            <w:r>
              <w:rPr>
                <w:rFonts w:ascii="仿宋" w:eastAsia="仿宋" w:hAnsi="仿宋" w:cs="宋体" w:hint="eastAsia"/>
                <w:bCs/>
                <w:color w:val="auto"/>
                <w:szCs w:val="24"/>
              </w:rPr>
              <w:t>备件</w:t>
            </w:r>
            <w:r>
              <w:rPr>
                <w:rFonts w:ascii="仿宋" w:eastAsia="仿宋" w:hAnsi="仿宋" w:cs="宋体"/>
                <w:bCs/>
                <w:color w:val="auto"/>
                <w:szCs w:val="24"/>
              </w:rPr>
              <w:t>4</w:t>
            </w:r>
            <w:r>
              <w:rPr>
                <w:rFonts w:ascii="仿宋" w:eastAsia="仿宋" w:hAnsi="仿宋" w:cs="宋体" w:hint="eastAsia"/>
                <w:bCs/>
                <w:color w:val="auto"/>
                <w:szCs w:val="24"/>
              </w:rPr>
              <w:t>小时内到现场</w:t>
            </w:r>
          </w:p>
        </w:tc>
        <w:tc>
          <w:tcPr>
            <w:tcW w:w="2628" w:type="dxa"/>
            <w:vAlign w:val="center"/>
          </w:tcPr>
          <w:p>
            <w:pPr>
              <w:pStyle w:val="a2"/>
              <w:spacing w:line="360" w:lineRule="auto"/>
              <w:rPr>
                <w:rFonts w:ascii="仿宋" w:eastAsia="仿宋" w:hAnsi="仿宋" w:cs="宋体"/>
                <w:bCs/>
                <w:color w:val="auto"/>
                <w:szCs w:val="24"/>
              </w:rPr>
            </w:pPr>
          </w:p>
        </w:tc>
      </w:tr>
      <w:tr>
        <w:tblPrEx>
          <w:tblW w:w="8296" w:type="dxa"/>
          <w:jc w:val="center"/>
          <w:tblLayout w:type="fixed"/>
          <w:tblCellMar>
            <w:top w:w="0" w:type="dxa"/>
            <w:left w:w="108" w:type="dxa"/>
            <w:bottom w:w="0" w:type="dxa"/>
            <w:right w:w="108" w:type="dxa"/>
          </w:tblCellMar>
        </w:tblPrEx>
        <w:trPr>
          <w:trHeight w:hRule="exact" w:val="519"/>
          <w:jc w:val="center"/>
        </w:trPr>
        <w:tc>
          <w:tcPr>
            <w:tcW w:w="1500" w:type="dxa"/>
            <w:vAlign w:val="center"/>
          </w:tcPr>
          <w:p>
            <w:pPr>
              <w:pStyle w:val="a2"/>
              <w:spacing w:line="360" w:lineRule="auto"/>
              <w:rPr>
                <w:rFonts w:ascii="仿宋" w:eastAsia="仿宋" w:hAnsi="仿宋" w:cs="宋体"/>
                <w:bCs/>
                <w:color w:val="auto"/>
                <w:szCs w:val="24"/>
              </w:rPr>
            </w:pPr>
            <w:r>
              <w:rPr>
                <w:rFonts w:ascii="仿宋" w:eastAsia="仿宋" w:hAnsi="仿宋" w:cs="宋体"/>
                <w:bCs/>
                <w:color w:val="auto"/>
                <w:szCs w:val="24"/>
              </w:rPr>
              <w:t>3</w:t>
            </w:r>
            <w:r>
              <w:rPr>
                <w:rFonts w:ascii="仿宋" w:eastAsia="仿宋" w:hAnsi="仿宋" w:cs="宋体" w:hint="eastAsia"/>
                <w:bCs/>
                <w:color w:val="auto"/>
                <w:szCs w:val="24"/>
              </w:rPr>
              <w:t>级</w:t>
            </w:r>
          </w:p>
        </w:tc>
        <w:tc>
          <w:tcPr>
            <w:tcW w:w="4168" w:type="dxa"/>
            <w:vAlign w:val="center"/>
          </w:tcPr>
          <w:p>
            <w:pPr>
              <w:pStyle w:val="a2"/>
              <w:spacing w:line="360" w:lineRule="auto"/>
              <w:rPr>
                <w:rFonts w:ascii="仿宋" w:eastAsia="仿宋" w:hAnsi="仿宋" w:cs="宋体"/>
                <w:bCs/>
                <w:color w:val="auto"/>
                <w:szCs w:val="24"/>
              </w:rPr>
            </w:pPr>
            <w:r>
              <w:rPr>
                <w:rFonts w:ascii="仿宋" w:eastAsia="仿宋" w:hAnsi="仿宋" w:cs="宋体" w:hint="eastAsia"/>
                <w:bCs/>
                <w:color w:val="auto"/>
                <w:szCs w:val="24"/>
              </w:rPr>
              <w:t>备件</w:t>
            </w:r>
            <w:r>
              <w:rPr>
                <w:rFonts w:ascii="仿宋" w:eastAsia="仿宋" w:hAnsi="仿宋" w:cs="宋体"/>
                <w:bCs/>
                <w:color w:val="auto"/>
                <w:szCs w:val="24"/>
              </w:rPr>
              <w:t>6</w:t>
            </w:r>
            <w:r>
              <w:rPr>
                <w:rFonts w:ascii="仿宋" w:eastAsia="仿宋" w:hAnsi="仿宋" w:cs="宋体" w:hint="eastAsia"/>
                <w:bCs/>
                <w:color w:val="auto"/>
                <w:szCs w:val="24"/>
              </w:rPr>
              <w:t>小时内到现场</w:t>
            </w:r>
          </w:p>
        </w:tc>
        <w:tc>
          <w:tcPr>
            <w:tcW w:w="2628" w:type="dxa"/>
            <w:vAlign w:val="center"/>
          </w:tcPr>
          <w:p>
            <w:pPr>
              <w:pStyle w:val="a2"/>
              <w:spacing w:line="360" w:lineRule="auto"/>
              <w:rPr>
                <w:rFonts w:ascii="仿宋" w:eastAsia="仿宋" w:hAnsi="仿宋" w:cs="宋体"/>
                <w:bCs/>
                <w:color w:val="auto"/>
                <w:szCs w:val="24"/>
              </w:rPr>
            </w:pPr>
          </w:p>
        </w:tc>
      </w:tr>
      <w:tr>
        <w:tblPrEx>
          <w:tblW w:w="8296" w:type="dxa"/>
          <w:jc w:val="center"/>
          <w:tblLayout w:type="fixed"/>
          <w:tblCellMar>
            <w:top w:w="0" w:type="dxa"/>
            <w:left w:w="108" w:type="dxa"/>
            <w:bottom w:w="0" w:type="dxa"/>
            <w:right w:w="108" w:type="dxa"/>
          </w:tblCellMar>
        </w:tblPrEx>
        <w:trPr>
          <w:trHeight w:hRule="exact" w:val="568"/>
          <w:jc w:val="center"/>
        </w:trPr>
        <w:tc>
          <w:tcPr>
            <w:tcW w:w="1500" w:type="dxa"/>
            <w:vAlign w:val="center"/>
          </w:tcPr>
          <w:p>
            <w:pPr>
              <w:pStyle w:val="a2"/>
              <w:spacing w:line="360" w:lineRule="auto"/>
              <w:rPr>
                <w:rFonts w:ascii="仿宋" w:eastAsia="仿宋" w:hAnsi="仿宋" w:cs="宋体"/>
                <w:bCs/>
                <w:color w:val="auto"/>
                <w:szCs w:val="24"/>
              </w:rPr>
            </w:pPr>
            <w:r>
              <w:rPr>
                <w:rFonts w:ascii="仿宋" w:eastAsia="仿宋" w:hAnsi="仿宋" w:cs="宋体"/>
                <w:bCs/>
                <w:color w:val="auto"/>
                <w:szCs w:val="24"/>
              </w:rPr>
              <w:t>4</w:t>
            </w:r>
            <w:r>
              <w:rPr>
                <w:rFonts w:ascii="仿宋" w:eastAsia="仿宋" w:hAnsi="仿宋" w:cs="宋体" w:hint="eastAsia"/>
                <w:bCs/>
                <w:color w:val="auto"/>
                <w:szCs w:val="24"/>
              </w:rPr>
              <w:t>级</w:t>
            </w:r>
          </w:p>
        </w:tc>
        <w:tc>
          <w:tcPr>
            <w:tcW w:w="4168" w:type="dxa"/>
            <w:vAlign w:val="center"/>
          </w:tcPr>
          <w:p>
            <w:pPr>
              <w:pStyle w:val="a2"/>
              <w:spacing w:line="360" w:lineRule="auto"/>
              <w:rPr>
                <w:rFonts w:ascii="仿宋" w:eastAsia="仿宋" w:hAnsi="仿宋" w:cs="宋体"/>
                <w:bCs/>
                <w:color w:val="auto"/>
                <w:szCs w:val="24"/>
              </w:rPr>
            </w:pPr>
            <w:r>
              <w:rPr>
                <w:rFonts w:ascii="仿宋" w:eastAsia="仿宋" w:hAnsi="仿宋" w:cs="宋体" w:hint="eastAsia"/>
                <w:bCs/>
                <w:color w:val="auto"/>
                <w:szCs w:val="24"/>
              </w:rPr>
              <w:t>备件</w:t>
            </w:r>
            <w:r>
              <w:rPr>
                <w:rFonts w:ascii="仿宋" w:eastAsia="仿宋" w:hAnsi="仿宋" w:cs="宋体"/>
                <w:bCs/>
                <w:color w:val="auto"/>
                <w:szCs w:val="24"/>
              </w:rPr>
              <w:t>8</w:t>
            </w:r>
            <w:r>
              <w:rPr>
                <w:rFonts w:ascii="仿宋" w:eastAsia="仿宋" w:hAnsi="仿宋" w:cs="宋体" w:hint="eastAsia"/>
                <w:bCs/>
                <w:color w:val="auto"/>
                <w:szCs w:val="24"/>
              </w:rPr>
              <w:t>小时内到现场</w:t>
            </w:r>
          </w:p>
        </w:tc>
        <w:tc>
          <w:tcPr>
            <w:tcW w:w="2628" w:type="dxa"/>
            <w:vAlign w:val="center"/>
          </w:tcPr>
          <w:p>
            <w:pPr>
              <w:pStyle w:val="a2"/>
              <w:spacing w:line="360" w:lineRule="auto"/>
              <w:rPr>
                <w:rFonts w:ascii="仿宋" w:eastAsia="仿宋" w:hAnsi="仿宋" w:cs="宋体"/>
                <w:bCs/>
                <w:color w:val="auto"/>
                <w:szCs w:val="24"/>
              </w:rPr>
            </w:pPr>
          </w:p>
        </w:tc>
      </w:tr>
    </w:tbl>
    <w:p>
      <w:pPr>
        <w:spacing w:line="360" w:lineRule="auto"/>
        <w:rPr>
          <w:rFonts w:ascii="仿宋" w:eastAsia="仿宋" w:hAnsi="仿宋" w:hint="eastAsia"/>
          <w:sz w:val="24"/>
          <w:szCs w:val="24"/>
          <w:lang w:eastAsia="zh-CN"/>
        </w:rPr>
      </w:pPr>
    </w:p>
    <w:p>
      <w:pPr>
        <w:pStyle w:val="Heading1"/>
        <w:numPr>
          <w:ilvl w:val="0"/>
          <w:numId w:val="2"/>
        </w:numPr>
        <w:spacing w:before="0" w:after="0" w:line="360" w:lineRule="auto"/>
        <w:jc w:val="left"/>
        <w:rPr>
          <w:rFonts w:ascii="微软雅黑" w:eastAsia="微软雅黑" w:hAnsi="微软雅黑" w:cs="微软雅黑" w:hint="default"/>
          <w:sz w:val="24"/>
          <w:szCs w:val="24"/>
          <w:lang w:val="en-US" w:eastAsia="zh-CN"/>
        </w:rPr>
      </w:pPr>
      <w:bookmarkStart w:id="34" w:name="_Toc18849"/>
      <w:r>
        <w:rPr>
          <w:rFonts w:ascii="微软雅黑" w:eastAsia="微软雅黑" w:hAnsi="微软雅黑" w:cs="微软雅黑" w:hint="eastAsia"/>
          <w:sz w:val="24"/>
          <w:szCs w:val="24"/>
          <w:lang w:val="en-US" w:eastAsia="zh-CN"/>
        </w:rPr>
        <w:t>考核与度量</w:t>
      </w:r>
      <w:bookmarkEnd w:id="34"/>
    </w:p>
    <w:p>
      <w:pPr>
        <w:spacing w:line="360" w:lineRule="auto"/>
        <w:ind w:firstLine="420" w:firstLineChars="200"/>
        <w:jc w:val="left"/>
        <w:rPr>
          <w:rFonts w:ascii="微软雅黑" w:eastAsia="微软雅黑" w:hAnsi="微软雅黑" w:cs="微软雅黑" w:hint="default"/>
          <w:kern w:val="0"/>
          <w:sz w:val="24"/>
          <w:szCs w:val="24"/>
          <w:lang w:val="en-US" w:eastAsia="zh-CN"/>
        </w:rPr>
      </w:pPr>
      <w:r>
        <w:rPr>
          <w:rFonts w:ascii="微软雅黑" w:eastAsia="微软雅黑" w:hAnsi="微软雅黑" w:cs="微软雅黑" w:hint="eastAsia"/>
          <w:kern w:val="0"/>
          <w:sz w:val="24"/>
          <w:szCs w:val="24"/>
          <w:lang w:val="en-US" w:eastAsia="zh-CN"/>
        </w:rPr>
        <w:t>备品备件可用率≥95%/季度</w:t>
      </w:r>
    </w:p>
    <w:p>
      <w:pPr>
        <w:spacing w:line="360" w:lineRule="auto"/>
        <w:ind w:firstLine="420" w:firstLineChars="200"/>
        <w:jc w:val="left"/>
        <w:rPr>
          <w:rFonts w:ascii="微软雅黑" w:eastAsia="微软雅黑" w:hAnsi="微软雅黑" w:cs="微软雅黑" w:hint="default"/>
          <w:kern w:val="0"/>
          <w:sz w:val="24"/>
          <w:szCs w:val="24"/>
          <w:lang w:val="en-US" w:eastAsia="zh-CN"/>
        </w:rPr>
      </w:pPr>
      <w:r>
        <w:rPr>
          <w:rFonts w:ascii="微软雅黑" w:eastAsia="微软雅黑" w:hAnsi="微软雅黑" w:cs="微软雅黑" w:hint="eastAsia"/>
          <w:kern w:val="0"/>
          <w:sz w:val="24"/>
          <w:szCs w:val="24"/>
          <w:lang w:val="en-US" w:eastAsia="zh-CN"/>
        </w:rPr>
        <w:t>备品备件可用率=可以使用的备件数量/备件总数*100%</w:t>
      </w:r>
    </w:p>
    <w:sectPr>
      <w:footerReference w:type="default" r:id="rId9"/>
      <w:pgSz w:w="11906" w:h="16838"/>
      <w:pgMar w:top="1560" w:right="1800" w:bottom="1440" w:left="1800"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jc w:val="cente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distribute"/>
    </w:pPr>
    <w:r>
      <w:rPr>
        <w:rFonts w:asciiTheme="minorEastAsia" w:eastAsiaTheme="minorEastAsia" w:hAnsiTheme="minorEastAsia" w:hint="eastAsia"/>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Wingdings" w:hAnsi="Wingdings" w:hint="default"/>
      </w:rPr>
    </w:lvl>
  </w:abstractNum>
  <w:abstractNum w:abstractNumId="1">
    <w:nsid w:val="213B1962"/>
    <w:multiLevelType w:val="multilevel"/>
    <w:tmpl w:val="213B1962"/>
    <w:lvl w:ilvl="0">
      <w:start w:val="1"/>
      <w:numFmt w:val="decimal"/>
      <w:lvlText w:val="%1)"/>
      <w:lvlJc w:val="left"/>
      <w:pPr>
        <w:tabs>
          <w:tab w:val="left" w:pos="0"/>
        </w:tabs>
        <w:ind w:left="900" w:hanging="420"/>
      </w:pPr>
    </w:lvl>
    <w:lvl w:ilvl="1">
      <w:start w:val="1"/>
      <w:numFmt w:val="lowerLetter"/>
      <w:lvlText w:val="%2)"/>
      <w:lvlJc w:val="left"/>
      <w:pPr>
        <w:tabs>
          <w:tab w:val="left" w:pos="0"/>
        </w:tabs>
        <w:ind w:left="1320" w:hanging="420"/>
      </w:pPr>
    </w:lvl>
    <w:lvl w:ilvl="2">
      <w:start w:val="1"/>
      <w:numFmt w:val="lowerRoman"/>
      <w:lvlText w:val="%3."/>
      <w:lvlJc w:val="right"/>
      <w:pPr>
        <w:tabs>
          <w:tab w:val="left" w:pos="0"/>
        </w:tabs>
        <w:ind w:left="1740" w:hanging="420"/>
      </w:pPr>
    </w:lvl>
    <w:lvl w:ilvl="3">
      <w:start w:val="1"/>
      <w:numFmt w:val="decimal"/>
      <w:lvlText w:val="%4."/>
      <w:lvlJc w:val="left"/>
      <w:pPr>
        <w:tabs>
          <w:tab w:val="left" w:pos="0"/>
        </w:tabs>
        <w:ind w:left="2160" w:hanging="420"/>
      </w:pPr>
    </w:lvl>
    <w:lvl w:ilvl="4">
      <w:start w:val="1"/>
      <w:numFmt w:val="lowerLetter"/>
      <w:lvlText w:val="%5)"/>
      <w:lvlJc w:val="left"/>
      <w:pPr>
        <w:tabs>
          <w:tab w:val="left" w:pos="0"/>
        </w:tabs>
        <w:ind w:left="2580" w:hanging="420"/>
      </w:pPr>
    </w:lvl>
    <w:lvl w:ilvl="5">
      <w:start w:val="1"/>
      <w:numFmt w:val="lowerRoman"/>
      <w:lvlText w:val="%6."/>
      <w:lvlJc w:val="right"/>
      <w:pPr>
        <w:tabs>
          <w:tab w:val="left" w:pos="0"/>
        </w:tabs>
        <w:ind w:left="3000" w:hanging="420"/>
      </w:pPr>
    </w:lvl>
    <w:lvl w:ilvl="6">
      <w:start w:val="1"/>
      <w:numFmt w:val="decimal"/>
      <w:lvlText w:val="%7."/>
      <w:lvlJc w:val="left"/>
      <w:pPr>
        <w:tabs>
          <w:tab w:val="left" w:pos="0"/>
        </w:tabs>
        <w:ind w:left="3420" w:hanging="420"/>
      </w:pPr>
    </w:lvl>
    <w:lvl w:ilvl="7">
      <w:start w:val="1"/>
      <w:numFmt w:val="lowerLetter"/>
      <w:lvlText w:val="%8)"/>
      <w:lvlJc w:val="left"/>
      <w:pPr>
        <w:tabs>
          <w:tab w:val="left" w:pos="0"/>
        </w:tabs>
        <w:ind w:left="3840" w:hanging="420"/>
      </w:pPr>
    </w:lvl>
    <w:lvl w:ilvl="8">
      <w:start w:val="1"/>
      <w:numFmt w:val="lowerRoman"/>
      <w:lvlText w:val="%9."/>
      <w:lvlJc w:val="right"/>
      <w:pPr>
        <w:tabs>
          <w:tab w:val="left" w:pos="0"/>
        </w:tabs>
        <w:ind w:left="4260" w:hanging="420"/>
      </w:pPr>
    </w:lvl>
  </w:abstractNum>
  <w:abstractNum w:abstractNumId="2">
    <w:nsid w:val="23BD3A1B"/>
    <w:multiLevelType w:val="multilevel"/>
    <w:tmpl w:val="23BD3A1B"/>
    <w:lvl w:ilvl="0">
      <w:start w:val="1"/>
      <w:numFmt w:val="bullet"/>
      <w:lvlText w:val=""/>
      <w:lvlJc w:val="left"/>
      <w:pPr>
        <w:tabs>
          <w:tab w:val="left" w:pos="0"/>
        </w:tabs>
        <w:ind w:left="900" w:hanging="420"/>
      </w:pPr>
      <w:rPr>
        <w:rFonts w:ascii="Wingdings" w:hAnsi="Wingdings" w:hint="default"/>
      </w:rPr>
    </w:lvl>
    <w:lvl w:ilvl="1">
      <w:start w:val="1"/>
      <w:numFmt w:val="bullet"/>
      <w:lvlText w:val=""/>
      <w:lvlJc w:val="left"/>
      <w:pPr>
        <w:tabs>
          <w:tab w:val="left" w:pos="0"/>
        </w:tabs>
        <w:ind w:left="1320" w:hanging="420"/>
      </w:pPr>
      <w:rPr>
        <w:rFonts w:ascii="Wingdings" w:hAnsi="Wingdings" w:hint="default"/>
      </w:rPr>
    </w:lvl>
    <w:lvl w:ilvl="2">
      <w:start w:val="1"/>
      <w:numFmt w:val="bullet"/>
      <w:lvlText w:val=""/>
      <w:lvlJc w:val="left"/>
      <w:pPr>
        <w:tabs>
          <w:tab w:val="left" w:pos="0"/>
        </w:tabs>
        <w:ind w:left="1740" w:hanging="420"/>
      </w:pPr>
      <w:rPr>
        <w:rFonts w:ascii="Wingdings" w:hAnsi="Wingdings" w:hint="default"/>
      </w:rPr>
    </w:lvl>
    <w:lvl w:ilvl="3">
      <w:start w:val="1"/>
      <w:numFmt w:val="bullet"/>
      <w:lvlText w:val=""/>
      <w:lvlJc w:val="left"/>
      <w:pPr>
        <w:tabs>
          <w:tab w:val="left" w:pos="0"/>
        </w:tabs>
        <w:ind w:left="2160" w:hanging="420"/>
      </w:pPr>
      <w:rPr>
        <w:rFonts w:ascii="Wingdings" w:hAnsi="Wingdings" w:hint="default"/>
      </w:rPr>
    </w:lvl>
    <w:lvl w:ilvl="4">
      <w:start w:val="1"/>
      <w:numFmt w:val="bullet"/>
      <w:lvlText w:val=""/>
      <w:lvlJc w:val="left"/>
      <w:pPr>
        <w:tabs>
          <w:tab w:val="left" w:pos="0"/>
        </w:tabs>
        <w:ind w:left="2580" w:hanging="420"/>
      </w:pPr>
      <w:rPr>
        <w:rFonts w:ascii="Wingdings" w:hAnsi="Wingdings" w:hint="default"/>
      </w:rPr>
    </w:lvl>
    <w:lvl w:ilvl="5">
      <w:start w:val="1"/>
      <w:numFmt w:val="bullet"/>
      <w:lvlText w:val=""/>
      <w:lvlJc w:val="left"/>
      <w:pPr>
        <w:tabs>
          <w:tab w:val="left" w:pos="0"/>
        </w:tabs>
        <w:ind w:left="3000" w:hanging="420"/>
      </w:pPr>
      <w:rPr>
        <w:rFonts w:ascii="Wingdings" w:hAnsi="Wingdings" w:hint="default"/>
      </w:rPr>
    </w:lvl>
    <w:lvl w:ilvl="6">
      <w:start w:val="1"/>
      <w:numFmt w:val="bullet"/>
      <w:lvlText w:val=""/>
      <w:lvlJc w:val="left"/>
      <w:pPr>
        <w:tabs>
          <w:tab w:val="left" w:pos="0"/>
        </w:tabs>
        <w:ind w:left="3420" w:hanging="420"/>
      </w:pPr>
      <w:rPr>
        <w:rFonts w:ascii="Wingdings" w:hAnsi="Wingdings" w:hint="default"/>
      </w:rPr>
    </w:lvl>
    <w:lvl w:ilvl="7">
      <w:start w:val="1"/>
      <w:numFmt w:val="bullet"/>
      <w:lvlText w:val=""/>
      <w:lvlJc w:val="left"/>
      <w:pPr>
        <w:tabs>
          <w:tab w:val="left" w:pos="0"/>
        </w:tabs>
        <w:ind w:left="3840" w:hanging="420"/>
      </w:pPr>
      <w:rPr>
        <w:rFonts w:ascii="Wingdings" w:hAnsi="Wingdings" w:hint="default"/>
      </w:rPr>
    </w:lvl>
    <w:lvl w:ilvl="8">
      <w:start w:val="1"/>
      <w:numFmt w:val="bullet"/>
      <w:lvlText w:val=""/>
      <w:lvlJc w:val="left"/>
      <w:pPr>
        <w:tabs>
          <w:tab w:val="left" w:pos="0"/>
        </w:tabs>
        <w:ind w:left="4260" w:hanging="420"/>
      </w:pPr>
      <w:rPr>
        <w:rFonts w:ascii="Wingdings" w:hAnsi="Wingdings" w:hint="default"/>
      </w:rPr>
    </w:lvl>
  </w:abstractNum>
  <w:abstractNum w:abstractNumId="3">
    <w:nsid w:val="296530A8"/>
    <w:multiLevelType w:val="multilevel"/>
    <w:tmpl w:val="296530A8"/>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4">
    <w:nsid w:val="2CE9332F"/>
    <w:multiLevelType w:val="multilevel"/>
    <w:tmpl w:val="2CE9332F"/>
    <w:lvl w:ilvl="0">
      <w:start w:val="1"/>
      <w:numFmt w:val="decimal"/>
      <w:lvlText w:val="%1)"/>
      <w:lvlJc w:val="left"/>
      <w:pPr>
        <w:tabs>
          <w:tab w:val="left" w:pos="0"/>
        </w:tabs>
        <w:ind w:left="900" w:hanging="420"/>
      </w:pPr>
    </w:lvl>
    <w:lvl w:ilvl="1">
      <w:start w:val="1"/>
      <w:numFmt w:val="lowerLetter"/>
      <w:lvlText w:val="%2)"/>
      <w:lvlJc w:val="left"/>
      <w:pPr>
        <w:tabs>
          <w:tab w:val="left" w:pos="0"/>
        </w:tabs>
        <w:ind w:left="1320" w:hanging="420"/>
      </w:pPr>
    </w:lvl>
    <w:lvl w:ilvl="2">
      <w:start w:val="1"/>
      <w:numFmt w:val="lowerRoman"/>
      <w:lvlText w:val="%3."/>
      <w:lvlJc w:val="right"/>
      <w:pPr>
        <w:tabs>
          <w:tab w:val="left" w:pos="0"/>
        </w:tabs>
        <w:ind w:left="1740" w:hanging="420"/>
      </w:pPr>
    </w:lvl>
    <w:lvl w:ilvl="3">
      <w:start w:val="1"/>
      <w:numFmt w:val="decimal"/>
      <w:lvlText w:val="%4."/>
      <w:lvlJc w:val="left"/>
      <w:pPr>
        <w:tabs>
          <w:tab w:val="left" w:pos="0"/>
        </w:tabs>
        <w:ind w:left="2160" w:hanging="420"/>
      </w:pPr>
    </w:lvl>
    <w:lvl w:ilvl="4">
      <w:start w:val="1"/>
      <w:numFmt w:val="lowerLetter"/>
      <w:lvlText w:val="%5)"/>
      <w:lvlJc w:val="left"/>
      <w:pPr>
        <w:tabs>
          <w:tab w:val="left" w:pos="0"/>
        </w:tabs>
        <w:ind w:left="2580" w:hanging="420"/>
      </w:pPr>
    </w:lvl>
    <w:lvl w:ilvl="5">
      <w:start w:val="1"/>
      <w:numFmt w:val="lowerRoman"/>
      <w:lvlText w:val="%6."/>
      <w:lvlJc w:val="right"/>
      <w:pPr>
        <w:tabs>
          <w:tab w:val="left" w:pos="0"/>
        </w:tabs>
        <w:ind w:left="3000" w:hanging="420"/>
      </w:pPr>
    </w:lvl>
    <w:lvl w:ilvl="6">
      <w:start w:val="1"/>
      <w:numFmt w:val="decimal"/>
      <w:lvlText w:val="%7."/>
      <w:lvlJc w:val="left"/>
      <w:pPr>
        <w:tabs>
          <w:tab w:val="left" w:pos="0"/>
        </w:tabs>
        <w:ind w:left="3420" w:hanging="420"/>
      </w:pPr>
    </w:lvl>
    <w:lvl w:ilvl="7">
      <w:start w:val="1"/>
      <w:numFmt w:val="lowerLetter"/>
      <w:lvlText w:val="%8)"/>
      <w:lvlJc w:val="left"/>
      <w:pPr>
        <w:tabs>
          <w:tab w:val="left" w:pos="0"/>
        </w:tabs>
        <w:ind w:left="3840" w:hanging="420"/>
      </w:pPr>
    </w:lvl>
    <w:lvl w:ilvl="8">
      <w:start w:val="1"/>
      <w:numFmt w:val="lowerRoman"/>
      <w:lvlText w:val="%9."/>
      <w:lvlJc w:val="right"/>
      <w:pPr>
        <w:tabs>
          <w:tab w:val="left" w:pos="0"/>
        </w:tabs>
        <w:ind w:left="4260" w:hanging="420"/>
      </w:pPr>
    </w:lvl>
  </w:abstractNum>
  <w:abstractNum w:abstractNumId="5">
    <w:nsid w:val="38EE40EB"/>
    <w:multiLevelType w:val="multilevel"/>
    <w:tmpl w:val="38EE40EB"/>
    <w:lvl w:ilvl="0">
      <w:start w:val="1"/>
      <w:numFmt w:val="bullet"/>
      <w:lvlText w:val=""/>
      <w:lvlJc w:val="left"/>
      <w:pPr>
        <w:tabs>
          <w:tab w:val="left" w:pos="0"/>
        </w:tabs>
        <w:ind w:left="900" w:hanging="420"/>
      </w:pPr>
      <w:rPr>
        <w:rFonts w:ascii="Wingdings" w:hAnsi="Wingdings" w:hint="default"/>
      </w:rPr>
    </w:lvl>
    <w:lvl w:ilvl="1">
      <w:start w:val="1"/>
      <w:numFmt w:val="bullet"/>
      <w:lvlText w:val=""/>
      <w:lvlJc w:val="left"/>
      <w:pPr>
        <w:tabs>
          <w:tab w:val="left" w:pos="0"/>
        </w:tabs>
        <w:ind w:left="1320" w:hanging="420"/>
      </w:pPr>
      <w:rPr>
        <w:rFonts w:ascii="Wingdings" w:hAnsi="Wingdings" w:hint="default"/>
      </w:rPr>
    </w:lvl>
    <w:lvl w:ilvl="2">
      <w:start w:val="1"/>
      <w:numFmt w:val="bullet"/>
      <w:lvlText w:val=""/>
      <w:lvlJc w:val="left"/>
      <w:pPr>
        <w:tabs>
          <w:tab w:val="left" w:pos="0"/>
        </w:tabs>
        <w:ind w:left="1740" w:hanging="420"/>
      </w:pPr>
      <w:rPr>
        <w:rFonts w:ascii="Wingdings" w:hAnsi="Wingdings" w:hint="default"/>
      </w:rPr>
    </w:lvl>
    <w:lvl w:ilvl="3">
      <w:start w:val="1"/>
      <w:numFmt w:val="bullet"/>
      <w:lvlText w:val=""/>
      <w:lvlJc w:val="left"/>
      <w:pPr>
        <w:tabs>
          <w:tab w:val="left" w:pos="0"/>
        </w:tabs>
        <w:ind w:left="2160" w:hanging="420"/>
      </w:pPr>
      <w:rPr>
        <w:rFonts w:ascii="Wingdings" w:hAnsi="Wingdings" w:hint="default"/>
      </w:rPr>
    </w:lvl>
    <w:lvl w:ilvl="4">
      <w:start w:val="1"/>
      <w:numFmt w:val="bullet"/>
      <w:lvlText w:val=""/>
      <w:lvlJc w:val="left"/>
      <w:pPr>
        <w:tabs>
          <w:tab w:val="left" w:pos="0"/>
        </w:tabs>
        <w:ind w:left="2580" w:hanging="420"/>
      </w:pPr>
      <w:rPr>
        <w:rFonts w:ascii="Wingdings" w:hAnsi="Wingdings" w:hint="default"/>
      </w:rPr>
    </w:lvl>
    <w:lvl w:ilvl="5">
      <w:start w:val="1"/>
      <w:numFmt w:val="bullet"/>
      <w:lvlText w:val=""/>
      <w:lvlJc w:val="left"/>
      <w:pPr>
        <w:tabs>
          <w:tab w:val="left" w:pos="0"/>
        </w:tabs>
        <w:ind w:left="3000" w:hanging="420"/>
      </w:pPr>
      <w:rPr>
        <w:rFonts w:ascii="Wingdings" w:hAnsi="Wingdings" w:hint="default"/>
      </w:rPr>
    </w:lvl>
    <w:lvl w:ilvl="6">
      <w:start w:val="1"/>
      <w:numFmt w:val="bullet"/>
      <w:lvlText w:val=""/>
      <w:lvlJc w:val="left"/>
      <w:pPr>
        <w:tabs>
          <w:tab w:val="left" w:pos="0"/>
        </w:tabs>
        <w:ind w:left="3420" w:hanging="420"/>
      </w:pPr>
      <w:rPr>
        <w:rFonts w:ascii="Wingdings" w:hAnsi="Wingdings" w:hint="default"/>
      </w:rPr>
    </w:lvl>
    <w:lvl w:ilvl="7">
      <w:start w:val="1"/>
      <w:numFmt w:val="bullet"/>
      <w:lvlText w:val=""/>
      <w:lvlJc w:val="left"/>
      <w:pPr>
        <w:tabs>
          <w:tab w:val="left" w:pos="0"/>
        </w:tabs>
        <w:ind w:left="3840" w:hanging="420"/>
      </w:pPr>
      <w:rPr>
        <w:rFonts w:ascii="Wingdings" w:hAnsi="Wingdings" w:hint="default"/>
      </w:rPr>
    </w:lvl>
    <w:lvl w:ilvl="8">
      <w:start w:val="1"/>
      <w:numFmt w:val="bullet"/>
      <w:lvlText w:val=""/>
      <w:lvlJc w:val="left"/>
      <w:pPr>
        <w:tabs>
          <w:tab w:val="left" w:pos="0"/>
        </w:tabs>
        <w:ind w:left="4260" w:hanging="420"/>
      </w:pPr>
      <w:rPr>
        <w:rFonts w:ascii="Wingdings" w:hAnsi="Wingdings" w:hint="default"/>
      </w:rPr>
    </w:lvl>
  </w:abstractNum>
  <w:abstractNum w:abstractNumId="6">
    <w:nsid w:val="39813848"/>
    <w:multiLevelType w:val="multilevel"/>
    <w:tmpl w:val="39813848"/>
    <w:lvl w:ilvl="0">
      <w:start w:val="1"/>
      <w:numFmt w:val="decimal"/>
      <w:lvlText w:val="%1."/>
      <w:lvlJc w:val="left"/>
      <w:pPr>
        <w:tabs>
          <w:tab w:val="left" w:pos="0"/>
        </w:tabs>
        <w:ind w:left="846" w:hanging="420"/>
      </w:pPr>
      <w:rPr>
        <w:rFonts w:eastAsia="宋体" w:hint="eastAsia"/>
      </w:rPr>
    </w:lvl>
    <w:lvl w:ilvl="1">
      <w:start w:val="1"/>
      <w:numFmt w:val="lowerLetter"/>
      <w:lvlText w:val="%2)"/>
      <w:lvlJc w:val="left"/>
      <w:pPr>
        <w:tabs>
          <w:tab w:val="left" w:pos="0"/>
        </w:tabs>
        <w:ind w:left="1266" w:hanging="420"/>
      </w:pPr>
    </w:lvl>
    <w:lvl w:ilvl="2">
      <w:start w:val="1"/>
      <w:numFmt w:val="lowerRoman"/>
      <w:lvlText w:val="%3."/>
      <w:lvlJc w:val="right"/>
      <w:pPr>
        <w:tabs>
          <w:tab w:val="left" w:pos="0"/>
        </w:tabs>
        <w:ind w:left="1686" w:hanging="420"/>
      </w:pPr>
    </w:lvl>
    <w:lvl w:ilvl="3">
      <w:start w:val="1"/>
      <w:numFmt w:val="decimal"/>
      <w:lvlText w:val="%4."/>
      <w:lvlJc w:val="left"/>
      <w:pPr>
        <w:tabs>
          <w:tab w:val="left" w:pos="0"/>
        </w:tabs>
        <w:ind w:left="2106" w:hanging="420"/>
      </w:pPr>
    </w:lvl>
    <w:lvl w:ilvl="4">
      <w:start w:val="1"/>
      <w:numFmt w:val="lowerLetter"/>
      <w:lvlText w:val="%5)"/>
      <w:lvlJc w:val="left"/>
      <w:pPr>
        <w:tabs>
          <w:tab w:val="left" w:pos="0"/>
        </w:tabs>
        <w:ind w:left="2526" w:hanging="420"/>
      </w:pPr>
    </w:lvl>
    <w:lvl w:ilvl="5">
      <w:start w:val="1"/>
      <w:numFmt w:val="lowerRoman"/>
      <w:lvlText w:val="%6."/>
      <w:lvlJc w:val="right"/>
      <w:pPr>
        <w:tabs>
          <w:tab w:val="left" w:pos="0"/>
        </w:tabs>
        <w:ind w:left="2946" w:hanging="420"/>
      </w:pPr>
    </w:lvl>
    <w:lvl w:ilvl="6">
      <w:start w:val="1"/>
      <w:numFmt w:val="decimal"/>
      <w:lvlText w:val="%7."/>
      <w:lvlJc w:val="left"/>
      <w:pPr>
        <w:tabs>
          <w:tab w:val="left" w:pos="0"/>
        </w:tabs>
        <w:ind w:left="3366" w:hanging="420"/>
      </w:pPr>
    </w:lvl>
    <w:lvl w:ilvl="7">
      <w:start w:val="1"/>
      <w:numFmt w:val="lowerLetter"/>
      <w:lvlText w:val="%8)"/>
      <w:lvlJc w:val="left"/>
      <w:pPr>
        <w:tabs>
          <w:tab w:val="left" w:pos="0"/>
        </w:tabs>
        <w:ind w:left="3786" w:hanging="420"/>
      </w:pPr>
    </w:lvl>
    <w:lvl w:ilvl="8">
      <w:start w:val="1"/>
      <w:numFmt w:val="lowerRoman"/>
      <w:lvlText w:val="%9."/>
      <w:lvlJc w:val="right"/>
      <w:pPr>
        <w:tabs>
          <w:tab w:val="left" w:pos="0"/>
        </w:tabs>
        <w:ind w:left="4206" w:hanging="420"/>
      </w:pPr>
    </w:lvl>
  </w:abstractNum>
  <w:abstractNum w:abstractNumId="7">
    <w:nsid w:val="40E66663"/>
    <w:multiLevelType w:val="multilevel"/>
    <w:tmpl w:val="40E66663"/>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
    <w:nsid w:val="5C736937"/>
    <w:multiLevelType w:val="multilevel"/>
    <w:tmpl w:val="5C736937"/>
    <w:lvl w:ilvl="0">
      <w:start w:val="1"/>
      <w:numFmt w:val="decimal"/>
      <w:lvlText w:val="%1)"/>
      <w:lvlJc w:val="left"/>
      <w:pPr>
        <w:ind w:left="2100" w:hanging="420"/>
      </w:pPr>
      <w:rPr>
        <w:rFonts w:hint="eastAsia"/>
      </w:rPr>
    </w:lvl>
    <w:lvl w:ilvl="1">
      <w:start w:val="1"/>
      <w:numFmt w:val="lowerLetter"/>
      <w:lvlText w:val="%2)"/>
      <w:lvlJc w:val="left"/>
      <w:pPr>
        <w:ind w:left="2520" w:hanging="420"/>
      </w:pPr>
    </w:lvl>
    <w:lvl w:ilvl="2">
      <w:start w:val="1"/>
      <w:numFmt w:val="lowerRoman"/>
      <w:lvlText w:val="%3."/>
      <w:lvlJc w:val="right"/>
      <w:pPr>
        <w:ind w:left="2940" w:hanging="420"/>
      </w:pPr>
    </w:lvl>
    <w:lvl w:ilvl="3">
      <w:start w:val="1"/>
      <w:numFmt w:val="decimal"/>
      <w:lvlText w:val="%4."/>
      <w:lvlJc w:val="left"/>
      <w:pPr>
        <w:ind w:left="3360" w:hanging="420"/>
      </w:pPr>
    </w:lvl>
    <w:lvl w:ilvl="4">
      <w:start w:val="1"/>
      <w:numFmt w:val="lowerLetter"/>
      <w:lvlText w:val="%5)"/>
      <w:lvlJc w:val="left"/>
      <w:pPr>
        <w:ind w:left="3780" w:hanging="420"/>
      </w:pPr>
    </w:lvl>
    <w:lvl w:ilvl="5">
      <w:start w:val="1"/>
      <w:numFmt w:val="lowerRoman"/>
      <w:lvlText w:val="%6."/>
      <w:lvlJc w:val="right"/>
      <w:pPr>
        <w:ind w:left="4200" w:hanging="420"/>
      </w:pPr>
    </w:lvl>
    <w:lvl w:ilvl="6">
      <w:start w:val="1"/>
      <w:numFmt w:val="decimal"/>
      <w:lvlText w:val="%7."/>
      <w:lvlJc w:val="left"/>
      <w:pPr>
        <w:ind w:left="4620" w:hanging="420"/>
      </w:pPr>
    </w:lvl>
    <w:lvl w:ilvl="7">
      <w:start w:val="1"/>
      <w:numFmt w:val="lowerLetter"/>
      <w:lvlText w:val="%8)"/>
      <w:lvlJc w:val="left"/>
      <w:pPr>
        <w:ind w:left="5040" w:hanging="420"/>
      </w:pPr>
    </w:lvl>
    <w:lvl w:ilvl="8">
      <w:start w:val="1"/>
      <w:numFmt w:val="lowerRoman"/>
      <w:lvlText w:val="%9."/>
      <w:lvlJc w:val="right"/>
      <w:pPr>
        <w:ind w:left="5460" w:hanging="420"/>
      </w:pPr>
    </w:lvl>
  </w:abstractNum>
  <w:abstractNum w:abstractNumId="9">
    <w:nsid w:val="679645A0"/>
    <w:multiLevelType w:val="multilevel"/>
    <w:tmpl w:val="679645A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nsid w:val="72405255"/>
    <w:multiLevelType w:val="multilevel"/>
    <w:tmpl w:val="72405255"/>
    <w:lvl w:ilvl="0">
      <w:start w:val="1"/>
      <w:numFmt w:val="bullet"/>
      <w:lvlText w:val=""/>
      <w:lvlJc w:val="left"/>
      <w:pPr>
        <w:tabs>
          <w:tab w:val="left" w:pos="0"/>
        </w:tabs>
        <w:ind w:left="900" w:hanging="420"/>
      </w:pPr>
      <w:rPr>
        <w:rFonts w:ascii="Wingdings" w:hAnsi="Wingdings" w:hint="default"/>
      </w:rPr>
    </w:lvl>
    <w:lvl w:ilvl="1">
      <w:start w:val="1"/>
      <w:numFmt w:val="bullet"/>
      <w:lvlText w:val=""/>
      <w:lvlJc w:val="left"/>
      <w:pPr>
        <w:tabs>
          <w:tab w:val="left" w:pos="0"/>
        </w:tabs>
        <w:ind w:left="1320" w:hanging="420"/>
      </w:pPr>
      <w:rPr>
        <w:rFonts w:ascii="Wingdings" w:hAnsi="Wingdings" w:hint="default"/>
      </w:rPr>
    </w:lvl>
    <w:lvl w:ilvl="2">
      <w:start w:val="1"/>
      <w:numFmt w:val="bullet"/>
      <w:lvlText w:val=""/>
      <w:lvlJc w:val="left"/>
      <w:pPr>
        <w:tabs>
          <w:tab w:val="left" w:pos="0"/>
        </w:tabs>
        <w:ind w:left="1740" w:hanging="420"/>
      </w:pPr>
      <w:rPr>
        <w:rFonts w:ascii="Wingdings" w:hAnsi="Wingdings" w:hint="default"/>
      </w:rPr>
    </w:lvl>
    <w:lvl w:ilvl="3">
      <w:start w:val="1"/>
      <w:numFmt w:val="bullet"/>
      <w:lvlText w:val=""/>
      <w:lvlJc w:val="left"/>
      <w:pPr>
        <w:tabs>
          <w:tab w:val="left" w:pos="0"/>
        </w:tabs>
        <w:ind w:left="2160" w:hanging="420"/>
      </w:pPr>
      <w:rPr>
        <w:rFonts w:ascii="Wingdings" w:hAnsi="Wingdings" w:hint="default"/>
      </w:rPr>
    </w:lvl>
    <w:lvl w:ilvl="4">
      <w:start w:val="1"/>
      <w:numFmt w:val="bullet"/>
      <w:lvlText w:val=""/>
      <w:lvlJc w:val="left"/>
      <w:pPr>
        <w:tabs>
          <w:tab w:val="left" w:pos="0"/>
        </w:tabs>
        <w:ind w:left="2580" w:hanging="420"/>
      </w:pPr>
      <w:rPr>
        <w:rFonts w:ascii="Wingdings" w:hAnsi="Wingdings" w:hint="default"/>
      </w:rPr>
    </w:lvl>
    <w:lvl w:ilvl="5">
      <w:start w:val="1"/>
      <w:numFmt w:val="bullet"/>
      <w:lvlText w:val=""/>
      <w:lvlJc w:val="left"/>
      <w:pPr>
        <w:tabs>
          <w:tab w:val="left" w:pos="0"/>
        </w:tabs>
        <w:ind w:left="3000" w:hanging="420"/>
      </w:pPr>
      <w:rPr>
        <w:rFonts w:ascii="Wingdings" w:hAnsi="Wingdings" w:hint="default"/>
      </w:rPr>
    </w:lvl>
    <w:lvl w:ilvl="6">
      <w:start w:val="1"/>
      <w:numFmt w:val="bullet"/>
      <w:lvlText w:val=""/>
      <w:lvlJc w:val="left"/>
      <w:pPr>
        <w:tabs>
          <w:tab w:val="left" w:pos="0"/>
        </w:tabs>
        <w:ind w:left="3420" w:hanging="420"/>
      </w:pPr>
      <w:rPr>
        <w:rFonts w:ascii="Wingdings" w:hAnsi="Wingdings" w:hint="default"/>
      </w:rPr>
    </w:lvl>
    <w:lvl w:ilvl="7">
      <w:start w:val="1"/>
      <w:numFmt w:val="bullet"/>
      <w:lvlText w:val=""/>
      <w:lvlJc w:val="left"/>
      <w:pPr>
        <w:tabs>
          <w:tab w:val="left" w:pos="0"/>
        </w:tabs>
        <w:ind w:left="3840" w:hanging="420"/>
      </w:pPr>
      <w:rPr>
        <w:rFonts w:ascii="Wingdings" w:hAnsi="Wingdings" w:hint="default"/>
      </w:rPr>
    </w:lvl>
    <w:lvl w:ilvl="8">
      <w:start w:val="1"/>
      <w:numFmt w:val="bullet"/>
      <w:lvlText w:val=""/>
      <w:lvlJc w:val="left"/>
      <w:pPr>
        <w:tabs>
          <w:tab w:val="left" w:pos="0"/>
        </w:tabs>
        <w:ind w:left="4260" w:hanging="420"/>
      </w:pPr>
      <w:rPr>
        <w:rFonts w:ascii="Wingdings" w:hAnsi="Wingdings" w:hint="default"/>
      </w:rPr>
    </w:lvl>
  </w:abstractNum>
  <w:abstractNum w:abstractNumId="11">
    <w:nsid w:val="76A85AFF"/>
    <w:multiLevelType w:val="multilevel"/>
    <w:tmpl w:val="76A85AFF"/>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 w:numId="2">
    <w:abstractNumId w:val="3"/>
  </w:num>
  <w:num w:numId="3">
    <w:abstractNumId w:val="7"/>
  </w:num>
  <w:num w:numId="4">
    <w:abstractNumId w:val="11"/>
  </w:num>
  <w:num w:numId="5">
    <w:abstractNumId w:val="1"/>
  </w:num>
  <w:num w:numId="6">
    <w:abstractNumId w:val="6"/>
  </w:num>
  <w:num w:numId="7">
    <w:abstractNumId w:val="2"/>
  </w:num>
  <w:num w:numId="8">
    <w:abstractNumId w:val="8"/>
  </w:num>
  <w:num w:numId="9">
    <w:abstractNumId w:val="5"/>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eastAsia="等线" w:hAnsi="等线"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semiHidden="0" w:uiPriority="0" w:unhideWhenUsed="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0"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Arial"/>
      <w:kern w:val="2"/>
      <w:sz w:val="21"/>
      <w:szCs w:val="22"/>
      <w:lang w:val="en-US" w:eastAsia="zh-CN" w:bidi="ar-SA"/>
    </w:rPr>
  </w:style>
  <w:style w:type="paragraph" w:styleId="Heading1">
    <w:name w:val="heading 1"/>
    <w:basedOn w:val="Normal"/>
    <w:next w:val="Normal"/>
    <w:qFormat/>
    <w:pPr>
      <w:keepNext/>
      <w:keepLines/>
      <w:spacing w:before="340" w:after="330" w:line="578" w:lineRule="auto"/>
      <w:outlineLvl w:val="0"/>
    </w:pPr>
    <w:rPr>
      <w:rFonts w:eastAsia="黑体"/>
      <w:b/>
      <w:bCs/>
      <w:kern w:val="44"/>
      <w:sz w:val="32"/>
      <w:szCs w:val="44"/>
    </w:rPr>
  </w:style>
  <w:style w:type="paragraph" w:styleId="Heading2">
    <w:name w:val="heading 2"/>
    <w:basedOn w:val="Normal"/>
    <w:next w:val="Normal"/>
    <w:qFormat/>
    <w:pPr>
      <w:keepNext/>
      <w:keepLines/>
      <w:spacing w:before="260" w:after="260" w:line="415" w:lineRule="auto"/>
      <w:outlineLvl w:val="1"/>
    </w:pPr>
    <w:rPr>
      <w:rFonts w:ascii="Cambria" w:eastAsia="黑体" w:hAnsi="Cambria" w:cs="Times New Roman"/>
      <w:b/>
      <w:bCs/>
      <w:sz w:val="24"/>
      <w:szCs w:val="32"/>
    </w:rPr>
  </w:style>
  <w:style w:type="paragraph" w:styleId="Heading3">
    <w:name w:val="heading 3"/>
    <w:basedOn w:val="Normal"/>
    <w:next w:val="Normal"/>
    <w:qFormat/>
    <w:pPr>
      <w:keepNext/>
      <w:keepLines/>
      <w:spacing w:before="260" w:after="260" w:line="415" w:lineRule="auto"/>
      <w:outlineLvl w:val="2"/>
    </w:pPr>
    <w:rPr>
      <w:rFonts w:eastAsia="黑体"/>
      <w:b/>
      <w:bCs/>
      <w:sz w:val="24"/>
      <w:szCs w:val="32"/>
    </w:rPr>
  </w:style>
  <w:style w:type="paragraph" w:styleId="Heading4">
    <w:name w:val="heading 4"/>
    <w:basedOn w:val="Normal"/>
    <w:next w:val="Normal"/>
    <w:qFormat/>
    <w:pPr>
      <w:keepNext/>
      <w:keepLines/>
      <w:spacing w:before="280" w:after="290" w:line="377" w:lineRule="auto"/>
      <w:outlineLvl w:val="3"/>
    </w:pPr>
    <w:rPr>
      <w:rFonts w:ascii="Cambria" w:hAnsi="Cambria" w:cs="Times New Roman"/>
      <w:b/>
      <w:bCs/>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ListBullet">
    <w:name w:val="List Bullet"/>
    <w:basedOn w:val="Normal"/>
    <w:autoRedefine/>
    <w:qFormat/>
    <w:pPr>
      <w:widowControl/>
      <w:numPr>
        <w:ilvl w:val="0"/>
        <w:numId w:val="1"/>
      </w:numPr>
      <w:spacing w:after="200" w:line="252" w:lineRule="auto"/>
      <w:contextualSpacing/>
      <w:jc w:val="left"/>
    </w:pPr>
    <w:rPr>
      <w:rFonts w:ascii="Cambria" w:hAnsi="Cambria" w:cs="Times New Roman"/>
      <w:kern w:val="0"/>
      <w:sz w:val="22"/>
      <w:lang w:eastAsia="en-US" w:bidi="en-US"/>
    </w:rPr>
  </w:style>
  <w:style w:type="paragraph" w:styleId="DocumentMap">
    <w:name w:val="Document Map"/>
    <w:basedOn w:val="Normal"/>
    <w:link w:val="a1"/>
    <w:uiPriority w:val="99"/>
    <w:semiHidden/>
    <w:unhideWhenUsed/>
    <w:qFormat/>
    <w:rPr>
      <w:rFonts w:ascii="宋体"/>
      <w:sz w:val="18"/>
      <w:szCs w:val="18"/>
    </w:rPr>
  </w:style>
  <w:style w:type="paragraph" w:styleId="BodyText">
    <w:name w:val="Body Text"/>
    <w:basedOn w:val="Normal"/>
    <w:qFormat/>
    <w:pPr>
      <w:spacing w:after="120"/>
    </w:pPr>
  </w:style>
  <w:style w:type="paragraph" w:styleId="BodyTextIndent">
    <w:name w:val="Body Text Indent"/>
    <w:basedOn w:val="Normal"/>
    <w:qFormat/>
    <w:pPr>
      <w:widowControl/>
      <w:spacing w:before="100" w:beforeAutospacing="1" w:after="100" w:afterAutospacing="1"/>
      <w:jc w:val="left"/>
    </w:pPr>
    <w:rPr>
      <w:rFonts w:ascii="宋体" w:cs="宋体"/>
      <w:kern w:val="0"/>
      <w:sz w:val="24"/>
      <w:szCs w:val="24"/>
    </w:rPr>
  </w:style>
  <w:style w:type="paragraph" w:styleId="TOC3">
    <w:name w:val="toc 3"/>
    <w:basedOn w:val="Normal"/>
    <w:next w:val="Normal"/>
    <w:uiPriority w:val="39"/>
    <w:qFormat/>
    <w:pPr>
      <w:tabs>
        <w:tab w:val="right" w:leader="dot" w:pos="8364"/>
      </w:tabs>
      <w:ind w:left="400" w:leftChars="400"/>
    </w:pPr>
    <w:rPr>
      <w:rFonts w:eastAsia="微软雅黑"/>
    </w:rPr>
  </w:style>
  <w:style w:type="paragraph" w:styleId="BalloonText">
    <w:name w:val="Balloon Text"/>
    <w:basedOn w:val="Normal"/>
    <w:qFormat/>
    <w:rPr>
      <w:sz w:val="18"/>
      <w:szCs w:val="18"/>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spacing w:before="120" w:after="120"/>
      <w:jc w:val="left"/>
    </w:pPr>
    <w:rPr>
      <w:rFonts w:cs="黑体"/>
      <w:b/>
      <w:bCs/>
      <w:caps/>
      <w:sz w:val="20"/>
      <w:szCs w:val="20"/>
    </w:rPr>
  </w:style>
  <w:style w:type="paragraph" w:styleId="Subtitle">
    <w:name w:val="Subtitle"/>
    <w:basedOn w:val="Normal"/>
    <w:next w:val="Normal"/>
    <w:qFormat/>
    <w:pPr>
      <w:spacing w:before="240" w:after="60" w:line="312" w:lineRule="auto"/>
      <w:jc w:val="center"/>
      <w:outlineLvl w:val="1"/>
    </w:pPr>
    <w:rPr>
      <w:rFonts w:ascii="Cambria" w:hAnsi="Cambria" w:cs="Times New Roman"/>
      <w:b/>
      <w:bCs/>
      <w:kern w:val="28"/>
      <w:sz w:val="32"/>
      <w:szCs w:val="32"/>
    </w:rPr>
  </w:style>
  <w:style w:type="paragraph" w:styleId="TOC2">
    <w:name w:val="toc 2"/>
    <w:basedOn w:val="Normal"/>
    <w:next w:val="Normal"/>
    <w:uiPriority w:val="39"/>
    <w:qFormat/>
    <w:pPr>
      <w:ind w:left="210"/>
      <w:jc w:val="left"/>
    </w:pPr>
    <w:rPr>
      <w:rFonts w:cs="黑体"/>
      <w:smallCaps/>
      <w:sz w:val="20"/>
      <w:szCs w:val="20"/>
    </w:rPr>
  </w:style>
  <w:style w:type="paragraph" w:styleId="NormalWeb">
    <w:name w:val="Normal (Web)"/>
    <w:basedOn w:val="Normal"/>
    <w:uiPriority w:val="99"/>
    <w:qFormat/>
    <w:pPr>
      <w:spacing w:line="360" w:lineRule="auto"/>
    </w:pPr>
    <w:rPr>
      <w:rFonts w:ascii="Times New Roman" w:hAnsi="Times New Roman" w:cs="Times New Roman"/>
      <w:sz w:val="24"/>
      <w:szCs w:val="24"/>
    </w:rPr>
  </w:style>
  <w:style w:type="paragraph" w:styleId="Title">
    <w:name w:val="Title"/>
    <w:basedOn w:val="Normal"/>
    <w:next w:val="Normal"/>
    <w:qFormat/>
    <w:pPr>
      <w:spacing w:before="240" w:after="60"/>
      <w:jc w:val="center"/>
      <w:outlineLvl w:val="0"/>
    </w:pPr>
    <w:rPr>
      <w:rFonts w:ascii="Cambria" w:hAnsi="Cambria" w:cs="Times New Roman"/>
      <w:b/>
      <w:bCs/>
      <w:sz w:val="32"/>
      <w:szCs w:val="32"/>
    </w:rPr>
  </w:style>
  <w:style w:type="character" w:styleId="Strong">
    <w:name w:val="Strong"/>
    <w:qFormat/>
    <w:rPr>
      <w:b/>
      <w:bCs/>
    </w:rPr>
  </w:style>
  <w:style w:type="character" w:styleId="Hyperlink">
    <w:name w:val="Hyperlink"/>
    <w:basedOn w:val="DefaultParagraphFont"/>
    <w:uiPriority w:val="99"/>
    <w:qFormat/>
    <w:rPr>
      <w:color w:val="0000FF"/>
      <w:u w:val="single"/>
    </w:rPr>
  </w:style>
  <w:style w:type="paragraph" w:customStyle="1" w:styleId="1">
    <w:name w:val="列出段落1"/>
    <w:basedOn w:val="Normal"/>
    <w:qFormat/>
    <w:pPr>
      <w:ind w:firstLine="200" w:firstLineChars="200"/>
    </w:pPr>
  </w:style>
  <w:style w:type="paragraph" w:customStyle="1" w:styleId="10">
    <w:name w:val="纯文本1"/>
    <w:basedOn w:val="Normal"/>
    <w:qFormat/>
    <w:pPr>
      <w:spacing w:before="60" w:after="60"/>
    </w:pPr>
    <w:rPr>
      <w:rFonts w:ascii="宋体"/>
      <w:szCs w:val="21"/>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lang w:val="en-US" w:eastAsia="zh-CN" w:bidi="ar-SA"/>
    </w:rPr>
  </w:style>
  <w:style w:type="paragraph" w:customStyle="1" w:styleId="a">
    <w:name w:val="普通文本"/>
    <w:basedOn w:val="Normal"/>
    <w:qFormat/>
    <w:pPr>
      <w:autoSpaceDE w:val="0"/>
      <w:autoSpaceDN w:val="0"/>
      <w:adjustRightInd w:val="0"/>
    </w:pPr>
    <w:rPr>
      <w:rFonts w:ascii="宋体" w:cs="宋体"/>
      <w:szCs w:val="21"/>
    </w:rPr>
  </w:style>
  <w:style w:type="paragraph" w:customStyle="1" w:styleId="11">
    <w:name w:val="无间隔1"/>
    <w:qFormat/>
    <w:rPr>
      <w:rFonts w:ascii="Calibri" w:eastAsia="宋体" w:hAnsi="Calibri" w:cs="Arial"/>
      <w:kern w:val="2"/>
      <w:sz w:val="22"/>
      <w:szCs w:val="22"/>
      <w:lang w:val="en-US" w:eastAsia="zh-CN" w:bidi="ar-SA"/>
    </w:rPr>
  </w:style>
  <w:style w:type="paragraph" w:styleId="ListParagraph">
    <w:name w:val="List Paragraph"/>
    <w:basedOn w:val="Normal"/>
    <w:uiPriority w:val="34"/>
    <w:qFormat/>
    <w:pPr>
      <w:ind w:firstLine="420" w:firstLineChars="200"/>
    </w:pPr>
  </w:style>
  <w:style w:type="character" w:customStyle="1" w:styleId="a0">
    <w:name w:val="页脚 字符"/>
    <w:basedOn w:val="DefaultParagraphFont"/>
    <w:link w:val="Footer"/>
    <w:uiPriority w:val="99"/>
    <w:qFormat/>
    <w:rPr>
      <w:rFonts w:ascii="Calibri" w:hAnsi="Calibri" w:cs="Arial"/>
      <w:kern w:val="2"/>
      <w:sz w:val="18"/>
      <w:szCs w:val="18"/>
    </w:rPr>
  </w:style>
  <w:style w:type="paragraph" w:customStyle="1" w:styleId="3">
    <w:name w:val="标题3"/>
    <w:basedOn w:val="Normal"/>
    <w:qFormat/>
    <w:pPr>
      <w:spacing w:line="360" w:lineRule="auto"/>
      <w:jc w:val="left"/>
      <w:outlineLvl w:val="2"/>
    </w:pPr>
    <w:rPr>
      <w:rFonts w:ascii="宋体" w:hAnsi="宋体" w:cs="Times New Roman"/>
      <w:b/>
      <w:sz w:val="24"/>
      <w:szCs w:val="24"/>
    </w:rPr>
  </w:style>
  <w:style w:type="character" w:customStyle="1" w:styleId="a1">
    <w:name w:val="文档结构图 字符"/>
    <w:basedOn w:val="DefaultParagraphFont"/>
    <w:link w:val="DocumentMap"/>
    <w:uiPriority w:val="99"/>
    <w:semiHidden/>
    <w:qFormat/>
    <w:rPr>
      <w:rFonts w:ascii="宋体" w:hAnsi="Calibri" w:cs="Arial"/>
      <w:kern w:val="2"/>
      <w:sz w:val="18"/>
      <w:szCs w:val="18"/>
    </w:rPr>
  </w:style>
  <w:style w:type="paragraph" w:customStyle="1" w:styleId="110">
    <w:name w:val="列出段落11"/>
    <w:basedOn w:val="Normal"/>
    <w:qFormat/>
    <w:pPr>
      <w:spacing w:line="360" w:lineRule="auto"/>
      <w:ind w:left="420"/>
    </w:pPr>
    <w:rPr>
      <w:rFonts w:ascii="仿宋_GB2312" w:eastAsia="仿宋_GB2312" w:cs="Times New Roman"/>
      <w:kern w:val="0"/>
      <w:sz w:val="24"/>
      <w:szCs w:val="20"/>
    </w:rPr>
  </w:style>
  <w:style w:type="paragraph" w:customStyle="1" w:styleId="30">
    <w:name w:val="列出段落3"/>
    <w:basedOn w:val="Normal"/>
    <w:uiPriority w:val="34"/>
    <w:qFormat/>
    <w:pPr>
      <w:ind w:firstLine="420" w:firstLineChars="200"/>
    </w:pPr>
    <w:rPr>
      <w:rFonts w:eastAsia="黑体"/>
      <w:sz w:val="24"/>
    </w:rPr>
  </w:style>
  <w:style w:type="paragraph" w:customStyle="1" w:styleId="a2">
    <w:name w:val="表格"/>
    <w:basedOn w:val="Normal"/>
    <w:qFormat/>
    <w:pPr>
      <w:widowControl/>
      <w:jc w:val="center"/>
    </w:pPr>
    <w:rPr>
      <w:rFonts w:ascii="宋体"/>
      <w:color w:val="000000"/>
      <w:sz w:val="24"/>
    </w:rPr>
  </w:style>
  <w:style w:type="paragraph" w:customStyle="1" w:styleId="a3">
    <w:name w:val="表头"/>
    <w:basedOn w:val="Normal"/>
    <w:qFormat/>
    <w:pPr>
      <w:spacing w:line="520" w:lineRule="exact"/>
      <w:jc w:val="center"/>
    </w:pPr>
    <w:rPr>
      <w:rFonts w:ascii="黑体" w:eastAsia="黑体" w:hAnsi="微软雅黑"/>
      <w:sz w:val="24"/>
      <w:szCs w:val="24"/>
    </w:rPr>
  </w:style>
  <w:style w:type="paragraph" w:customStyle="1" w:styleId="a4">
    <w:name w:val="表内容居中"/>
    <w:basedOn w:val="Normal"/>
    <w:qFormat/>
    <w:pPr>
      <w:spacing w:line="520" w:lineRule="exact"/>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1A2F8F29-105C-4967-BFAD-619FDB4BB7A7}">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2399</Words>
  <Characters>2530</Characters>
  <Application>Microsoft Office Word</Application>
  <DocSecurity>0</DocSecurity>
  <Lines>27</Lines>
  <Paragraphs>7</Paragraphs>
  <ScaleCrop>false</ScaleCrop>
  <Company>Microsoft</Company>
  <LinksUpToDate>false</LinksUpToDate>
  <CharactersWithSpaces>2629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24</cp:revision>
  <dcterms:created xsi:type="dcterms:W3CDTF">2019-03-07T06:18:00Z</dcterms:created>
  <dcterms:modified xsi:type="dcterms:W3CDTF">2025-11-27T10:38:24Z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E3477BE44D57455A816276B46D3DA32D</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