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b/>
          <w:sz w:val="48"/>
          <w:szCs w:val="48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-1259205</wp:posOffset>
            </wp:positionH>
            <wp:positionV relativeFrom="paragraph">
              <wp:posOffset>-1231900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供应商管理制度</w:t>
      </w:r>
    </w:p>
    <w:p>
      <w:pPr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GSGB-ITSS-12-02</w:t>
      </w:r>
    </w:p>
    <w:p>
      <w:pPr>
        <w:spacing w:after="156" w:afterLines="50"/>
        <w:rPr>
          <w:sz w:val="36"/>
          <w:szCs w:val="36"/>
        </w:rPr>
      </w:pPr>
    </w:p>
    <w:p>
      <w:pPr>
        <w:spacing w:after="156" w:afterLines="50"/>
        <w:rPr>
          <w:sz w:val="36"/>
          <w:szCs w:val="36"/>
        </w:rPr>
      </w:pPr>
    </w:p>
    <w:p>
      <w:pPr>
        <w:spacing w:after="156" w:afterLines="5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 xml:space="preserve">        胡葛鹏宇</w:t>
      </w:r>
      <w:bookmarkStart w:id="0" w:name="_GoBack"/>
      <w:bookmarkEnd w:id="0"/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 xml:space="preserve">         兰伟东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 xml:space="preserve">         赵  鑫            </w:t>
      </w:r>
    </w:p>
    <w:p>
      <w:pPr>
        <w:tabs>
          <w:tab w:val="left" w:pos="0"/>
        </w:tabs>
        <w:spacing w:before="312" w:beforeLines="100" w:after="312" w:afterLines="100"/>
        <w:jc w:val="center"/>
        <w:rPr>
          <w:rFonts w:ascii="黑体" w:eastAsia="黑体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</w:pPr>
            <w:r>
              <w:rPr>
                <w:rFonts w:hint="eastAsia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</w:pPr>
            <w:r>
              <w:rPr>
                <w:rFonts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</w:pPr>
            <w:r>
              <w:rPr>
                <w:rFonts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</w:pPr>
            <w:r>
              <w:rPr>
                <w:rFonts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2"/>
              <w:spacing w:line="240" w:lineRule="auto"/>
            </w:pPr>
            <w:r>
              <w:rPr>
                <w:rFonts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2"/>
              <w:spacing w:line="240" w:lineRule="auto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hint="eastAsia"/>
              </w:rPr>
              <w:t>v1.0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hint="eastAsia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hint="eastAsia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</w:pPr>
          </w:p>
        </w:tc>
      </w:tr>
    </w:tbl>
    <w:p>
      <w:pPr>
        <w:rPr>
          <w:rFonts w:ascii="微软雅黑" w:eastAsia="微软雅黑" w:hAnsi="微软雅黑" w:cs="微软雅黑"/>
          <w:sz w:val="24"/>
        </w:rPr>
      </w:pPr>
    </w:p>
    <w:p>
      <w:pPr>
        <w:rPr>
          <w:rFonts w:ascii="微软雅黑" w:eastAsia="微软雅黑" w:hAnsi="微软雅黑" w:cs="微软雅黑"/>
          <w:sz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24"/>
          <w:szCs w:val="24"/>
        </w:rPr>
      </w:pPr>
    </w:p>
    <w:p>
      <w:pPr>
        <w:pStyle w:val="TOC1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目录</w:t>
      </w:r>
    </w:p>
    <w:p>
      <w:pPr>
        <w:pStyle w:val="TOC1"/>
        <w:tabs>
          <w:tab w:val="right" w:leader="dot" w:pos="8306"/>
        </w:tabs>
      </w:pPr>
      <w:r>
        <w:rPr>
          <w:rFonts w:ascii="仿宋" w:eastAsia="仿宋" w:hAnsi="仿宋"/>
          <w:b w:val="0"/>
          <w:sz w:val="24"/>
          <w:szCs w:val="24"/>
        </w:rPr>
        <w:fldChar w:fldCharType="begin"/>
      </w:r>
      <w:r>
        <w:rPr>
          <w:rFonts w:ascii="仿宋" w:eastAsia="仿宋" w:hAnsi="仿宋"/>
          <w:b w:val="0"/>
          <w:sz w:val="24"/>
          <w:szCs w:val="24"/>
        </w:rPr>
        <w:instrText xml:space="preserve"> TOC \o "1-3" \h \z \u </w:instrText>
      </w:r>
      <w:r>
        <w:rPr>
          <w:rFonts w:ascii="仿宋" w:eastAsia="仿宋" w:hAnsi="仿宋"/>
          <w:b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"_Toc18449" </w:instrText>
      </w:r>
      <w: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1. </w:t>
      </w:r>
      <w:r>
        <w:rPr>
          <w:rFonts w:ascii="微软雅黑" w:eastAsia="微软雅黑" w:hAnsi="微软雅黑" w:cs="微软雅黑" w:hint="eastAsia"/>
          <w:szCs w:val="24"/>
        </w:rPr>
        <w:t>目的</w:t>
      </w:r>
      <w:r>
        <w:tab/>
      </w:r>
      <w:r>
        <w:fldChar w:fldCharType="begin"/>
      </w:r>
      <w:r>
        <w:instrText xml:space="preserve"> PAGEREF _Toc18449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HYPERLINK \l "_Toc3195" </w:instrText>
      </w:r>
      <w: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2. </w:t>
      </w:r>
      <w:r>
        <w:rPr>
          <w:rFonts w:ascii="微软雅黑" w:eastAsia="微软雅黑" w:hAnsi="微软雅黑" w:cs="微软雅黑" w:hint="eastAsia"/>
          <w:szCs w:val="24"/>
        </w:rPr>
        <w:t>范围</w:t>
      </w:r>
      <w:r>
        <w:tab/>
      </w:r>
      <w:r>
        <w:fldChar w:fldCharType="begin"/>
      </w:r>
      <w:r>
        <w:instrText xml:space="preserve"> PAGEREF _Toc3195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HYPERLINK \l "_Toc4815" </w:instrText>
      </w:r>
      <w: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3. </w:t>
      </w:r>
      <w:r>
        <w:rPr>
          <w:rFonts w:ascii="微软雅黑" w:eastAsia="微软雅黑" w:hAnsi="微软雅黑" w:cs="微软雅黑" w:hint="eastAsia"/>
          <w:szCs w:val="24"/>
        </w:rPr>
        <w:t>职责</w:t>
      </w:r>
      <w:r>
        <w:tab/>
      </w:r>
      <w:r>
        <w:fldChar w:fldCharType="begin"/>
      </w:r>
      <w:r>
        <w:instrText xml:space="preserve"> PAGEREF _Toc4815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HYPERLINK \l "_Toc21069" </w:instrText>
      </w:r>
      <w: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4. </w:t>
      </w:r>
      <w:r>
        <w:rPr>
          <w:rFonts w:ascii="微软雅黑" w:eastAsia="微软雅黑" w:hAnsi="微软雅黑" w:cs="微软雅黑" w:hint="eastAsia"/>
          <w:szCs w:val="24"/>
        </w:rPr>
        <w:t>供应商准入</w:t>
      </w:r>
      <w:r>
        <w:tab/>
      </w:r>
      <w:r>
        <w:fldChar w:fldCharType="begin"/>
      </w:r>
      <w:r>
        <w:instrText xml:space="preserve"> PAGEREF _Toc21069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"_Toc29904"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4.1供应商准入的需求：</w:t>
      </w:r>
      <w:r>
        <w:tab/>
      </w:r>
      <w:r>
        <w:fldChar w:fldCharType="begin"/>
      </w:r>
      <w:r>
        <w:instrText xml:space="preserve"> PAGEREF _Toc29904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"_Toc8446"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4.2供应商开发渠道</w:t>
      </w:r>
      <w:r>
        <w:tab/>
      </w:r>
      <w:r>
        <w:fldChar w:fldCharType="begin"/>
      </w:r>
      <w:r>
        <w:instrText xml:space="preserve"> PAGEREF _Toc8446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"_Toc32065"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4.3供应商准入需符合的条件</w:t>
      </w:r>
      <w:r>
        <w:tab/>
      </w:r>
      <w:r>
        <w:fldChar w:fldCharType="begin"/>
      </w:r>
      <w:r>
        <w:instrText xml:space="preserve"> PAGEREF _Toc32065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HYPERLINK \l "_Toc12866" </w:instrText>
      </w:r>
      <w: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5. </w:t>
      </w:r>
      <w:r>
        <w:rPr>
          <w:rFonts w:ascii="微软雅黑" w:eastAsia="微软雅黑" w:hAnsi="微软雅黑" w:cs="微软雅黑" w:hint="eastAsia"/>
          <w:szCs w:val="24"/>
        </w:rPr>
        <w:t>供应商管理细则</w:t>
      </w:r>
      <w:r>
        <w:tab/>
      </w:r>
      <w:r>
        <w:fldChar w:fldCharType="begin"/>
      </w:r>
      <w:r>
        <w:instrText xml:space="preserve"> PAGEREF _Toc12866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"_Toc12629"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5.1供应商基本资料</w:t>
      </w:r>
      <w:r>
        <w:tab/>
      </w:r>
      <w:r>
        <w:fldChar w:fldCharType="begin"/>
      </w:r>
      <w:r>
        <w:instrText xml:space="preserve"> PAGEREF _Toc12629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"_Toc10116"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5.2供应商调查</w:t>
      </w:r>
      <w:r>
        <w:tab/>
      </w:r>
      <w:r>
        <w:fldChar w:fldCharType="begin"/>
      </w:r>
      <w:r>
        <w:instrText xml:space="preserve"> PAGEREF _Toc10116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"_Toc16813" </w:instrText>
      </w:r>
      <w:r>
        <w:fldChar w:fldCharType="separate"/>
      </w:r>
      <w:r>
        <w:rPr>
          <w:rFonts w:ascii="微软雅黑" w:hAnsi="微软雅黑" w:cs="微软雅黑" w:hint="eastAsia"/>
          <w:szCs w:val="24"/>
        </w:rPr>
        <w:t>5.2.1供应商调查程序</w:t>
      </w:r>
      <w:r>
        <w:tab/>
      </w:r>
      <w:r>
        <w:fldChar w:fldCharType="begin"/>
      </w:r>
      <w:r>
        <w:instrText xml:space="preserve"> PAGEREF _Toc16813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"_Toc14403"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5.2.2准入供应商调查评价</w:t>
      </w:r>
      <w:r>
        <w:tab/>
      </w:r>
      <w:r>
        <w:fldChar w:fldCharType="begin"/>
      </w:r>
      <w:r>
        <w:instrText xml:space="preserve"> PAGEREF _Toc14403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"_Toc5055"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5.3供应商报价管理</w:t>
      </w:r>
      <w:r>
        <w:tab/>
      </w:r>
      <w:r>
        <w:fldChar w:fldCharType="begin"/>
      </w:r>
      <w:r>
        <w:instrText xml:space="preserve"> PAGEREF _Toc5055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"_Toc22596"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5.4供应商评价</w:t>
      </w:r>
      <w:r>
        <w:tab/>
      </w:r>
      <w:r>
        <w:fldChar w:fldCharType="begin"/>
      </w:r>
      <w:r>
        <w:instrText xml:space="preserve"> PAGEREF _Toc22596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"_Toc1981"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5.4.1供应商评价程序</w:t>
      </w:r>
      <w:r>
        <w:tab/>
      </w:r>
      <w:r>
        <w:fldChar w:fldCharType="begin"/>
      </w:r>
      <w:r>
        <w:instrText xml:space="preserve"> PAGEREF _Toc1981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"_Toc15463"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5.4.2供应商评价项目</w:t>
      </w:r>
      <w:r>
        <w:tab/>
      </w:r>
      <w:r>
        <w:fldChar w:fldCharType="begin"/>
      </w:r>
      <w:r>
        <w:instrText xml:space="preserve"> PAGEREF _Toc15463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"_Toc26264"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5.4.3</w:t>
      </w:r>
      <w:r>
        <w:rPr>
          <w:rFonts w:ascii="微软雅黑" w:hAnsi="微软雅黑" w:cs="微软雅黑" w:hint="eastAsia"/>
          <w:szCs w:val="24"/>
        </w:rPr>
        <w:t>评价办法</w:t>
      </w:r>
      <w:r>
        <w:tab/>
      </w:r>
      <w:r>
        <w:fldChar w:fldCharType="begin"/>
      </w:r>
      <w:r>
        <w:instrText xml:space="preserve"> PAGEREF _Toc26264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"_Toc6951"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5.4.4评价等级划分（满分100分）</w:t>
      </w:r>
      <w:r>
        <w:tab/>
      </w:r>
      <w:r>
        <w:fldChar w:fldCharType="begin"/>
      </w:r>
      <w:r>
        <w:instrText xml:space="preserve"> PAGEREF _Toc6951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"_Toc258"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5.4.5评价处理</w:t>
      </w:r>
      <w:r>
        <w:tab/>
      </w:r>
      <w:r>
        <w:fldChar w:fldCharType="begin"/>
      </w:r>
      <w:r>
        <w:instrText xml:space="preserve"> PAGEREF _Toc258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"_Toc11785"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5.5供应商审查</w:t>
      </w:r>
      <w:r>
        <w:tab/>
      </w:r>
      <w:r>
        <w:fldChar w:fldCharType="begin"/>
      </w:r>
      <w:r>
        <w:instrText xml:space="preserve"> PAGEREF _Toc11785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"_Toc4002"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5.6供应商辅导</w:t>
      </w:r>
      <w:r>
        <w:tab/>
      </w:r>
      <w:r>
        <w:fldChar w:fldCharType="begin"/>
      </w:r>
      <w:r>
        <w:instrText xml:space="preserve"> PAGEREF _Toc4002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"_Toc25471"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5.7供应商奖惩</w:t>
      </w:r>
      <w:r>
        <w:tab/>
      </w:r>
      <w:r>
        <w:fldChar w:fldCharType="begin"/>
      </w:r>
      <w:r>
        <w:instrText xml:space="preserve"> PAGEREF _Toc25471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"_Toc9691"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5.7.1</w:t>
      </w:r>
      <w:r>
        <w:rPr>
          <w:rFonts w:ascii="微软雅黑" w:hAnsi="微软雅黑" w:cs="微软雅黑" w:hint="eastAsia"/>
          <w:szCs w:val="24"/>
        </w:rPr>
        <w:t>奖励方式</w:t>
      </w:r>
      <w:r>
        <w:tab/>
      </w:r>
      <w:r>
        <w:fldChar w:fldCharType="begin"/>
      </w:r>
      <w:r>
        <w:instrText xml:space="preserve"> PAGEREF _Toc9691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"_Toc27931"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5.7.2惩处方式</w:t>
      </w:r>
      <w:r>
        <w:tab/>
      </w:r>
      <w:r>
        <w:fldChar w:fldCharType="begin"/>
      </w:r>
      <w:r>
        <w:instrText xml:space="preserve"> PAGEREF _Toc27931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fldChar w:fldCharType="begin"/>
      </w:r>
      <w:r>
        <w:instrText xml:space="preserve"> HYPERLINK \l "_Toc21459" </w:instrText>
      </w:r>
      <w: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5.8供应商的走访</w:t>
      </w:r>
      <w:r>
        <w:tab/>
      </w:r>
      <w:r>
        <w:fldChar w:fldCharType="begin"/>
      </w:r>
      <w:r>
        <w:instrText xml:space="preserve"> PAGEREF _Toc21459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"_Toc29686"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5.8.1走访的目的</w:t>
      </w:r>
      <w:r>
        <w:tab/>
      </w:r>
      <w:r>
        <w:fldChar w:fldCharType="begin"/>
      </w:r>
      <w:r>
        <w:instrText xml:space="preserve"> PAGEREF _Toc29686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8306"/>
          <w:tab w:val="clear" w:pos="8364"/>
        </w:tabs>
        <w:ind w:left="840"/>
      </w:pPr>
      <w:r>
        <w:fldChar w:fldCharType="begin"/>
      </w:r>
      <w:r>
        <w:instrText xml:space="preserve"> HYPERLINK \l "_Toc14745" </w:instrText>
      </w:r>
      <w:r>
        <w:fldChar w:fldCharType="separate"/>
      </w:r>
      <w:r>
        <w:rPr>
          <w:rFonts w:ascii="微软雅黑" w:hAnsi="微软雅黑" w:cs="微软雅黑" w:hint="eastAsia"/>
          <w:bCs/>
          <w:szCs w:val="24"/>
        </w:rPr>
        <w:t>5.8.2走访内容和时间频率</w:t>
      </w:r>
      <w:r>
        <w:tab/>
      </w:r>
      <w:r>
        <w:fldChar w:fldCharType="begin"/>
      </w:r>
      <w:r>
        <w:instrText xml:space="preserve"> PAGEREF _Toc14745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HYPERLINK \l "_Toc19900" </w:instrText>
      </w:r>
      <w: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6. </w:t>
      </w:r>
      <w:r>
        <w:rPr>
          <w:rFonts w:ascii="微软雅黑" w:eastAsia="微软雅黑" w:hAnsi="微软雅黑" w:cs="微软雅黑" w:hint="eastAsia"/>
          <w:szCs w:val="24"/>
        </w:rPr>
        <w:t>相关文件</w:t>
      </w:r>
      <w:r>
        <w:tab/>
      </w:r>
      <w:r>
        <w:fldChar w:fldCharType="begin"/>
      </w:r>
      <w:r>
        <w:instrText xml:space="preserve"> PAGEREF _Toc19900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360" w:lineRule="auto"/>
        <w:ind w:left="0"/>
        <w:rPr>
          <w:rFonts w:ascii="黑体" w:eastAsia="黑体" w:hAnsi="黑体"/>
          <w:sz w:val="24"/>
          <w:szCs w:val="24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仿宋" w:eastAsia="仿宋" w:hAnsi="仿宋"/>
          <w:szCs w:val="24"/>
        </w:rPr>
        <w:fldChar w:fldCharType="end"/>
      </w:r>
    </w:p>
    <w:p>
      <w:pPr>
        <w:pStyle w:val="Heading1"/>
        <w:numPr>
          <w:ilvl w:val="0"/>
          <w:numId w:val="2"/>
        </w:numPr>
        <w:spacing w:before="0" w:after="0" w:line="360" w:lineRule="auto"/>
        <w:ind w:left="0" w:firstLine="0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1" w:name="_Toc319312543"/>
      <w:bookmarkStart w:id="2" w:name="_Toc400547492"/>
      <w:bookmarkStart w:id="3" w:name="_Toc18449"/>
      <w:r>
        <w:rPr>
          <w:rFonts w:ascii="微软雅黑" w:eastAsia="微软雅黑" w:hAnsi="微软雅黑" w:cs="微软雅黑" w:hint="eastAsia"/>
          <w:sz w:val="24"/>
          <w:szCs w:val="24"/>
        </w:rPr>
        <w:t>目的</w:t>
      </w:r>
      <w:bookmarkEnd w:id="1"/>
      <w:bookmarkEnd w:id="2"/>
      <w:bookmarkEnd w:id="3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为规范公司供应商管理，提高公司经营合理化水平，加强信息共享，降低供应成本，增强供应安全系数及供应可靠性，实现使之有章可循，特制定本管理制度。</w:t>
      </w:r>
    </w:p>
    <w:p>
      <w:pPr>
        <w:pStyle w:val="Heading1"/>
        <w:numPr>
          <w:ilvl w:val="0"/>
          <w:numId w:val="2"/>
        </w:numPr>
        <w:spacing w:before="0" w:after="0" w:line="360" w:lineRule="auto"/>
        <w:ind w:left="0" w:firstLine="0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4" w:name="_Toc319312545"/>
      <w:bookmarkStart w:id="5" w:name="_Toc400547494"/>
      <w:bookmarkStart w:id="6" w:name="_Toc3195"/>
      <w:r>
        <w:rPr>
          <w:rFonts w:ascii="微软雅黑" w:eastAsia="微软雅黑" w:hAnsi="微软雅黑" w:cs="微软雅黑" w:hint="eastAsia"/>
          <w:sz w:val="24"/>
          <w:szCs w:val="24"/>
        </w:rPr>
        <w:t>范围</w:t>
      </w:r>
      <w:bookmarkEnd w:id="4"/>
      <w:bookmarkEnd w:id="5"/>
      <w:bookmarkEnd w:id="6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本公司物资采购、供应、加工等相关方的活动管理及评价工作，均悉依本制度执行。</w:t>
      </w:r>
    </w:p>
    <w:p>
      <w:pPr>
        <w:pStyle w:val="Heading1"/>
        <w:numPr>
          <w:ilvl w:val="0"/>
          <w:numId w:val="2"/>
        </w:numPr>
        <w:spacing w:before="0" w:after="0" w:line="360" w:lineRule="auto"/>
        <w:ind w:left="0" w:firstLine="0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7" w:name="_Toc319312547"/>
      <w:bookmarkStart w:id="8" w:name="_Toc400547495"/>
      <w:bookmarkStart w:id="9" w:name="_Toc4815"/>
      <w:r>
        <w:rPr>
          <w:rFonts w:ascii="微软雅黑" w:eastAsia="微软雅黑" w:hAnsi="微软雅黑" w:cs="微软雅黑" w:hint="eastAsia"/>
          <w:sz w:val="24"/>
          <w:szCs w:val="24"/>
        </w:rPr>
        <w:t>职责</w:t>
      </w:r>
      <w:bookmarkEnd w:id="7"/>
      <w:bookmarkEnd w:id="8"/>
      <w:bookmarkEnd w:id="9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1、运维部、质量部</w:t>
      </w:r>
      <w:r>
        <w:rPr>
          <w:rFonts w:ascii="微软雅黑" w:eastAsia="微软雅黑" w:hAnsi="微软雅黑" w:cs="微软雅黑" w:hint="eastAsia"/>
          <w:kern w:val="0"/>
          <w:sz w:val="24"/>
          <w:szCs w:val="24"/>
          <w:lang w:val="en-US" w:eastAsia="zh-CN"/>
        </w:rPr>
        <w:t>和</w:t>
      </w: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行政部负责对供应商准入时的资质进行审核及评价。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2、运维部负责对供应商的交期、品质、服务进行考核。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3、质量部、行政部负责对供应商的基本信息进行核查监督。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4、负责对从供应商的价格进行考核。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5、总经理负责合格供应商的审批工作。</w:t>
      </w:r>
    </w:p>
    <w:p>
      <w:pPr>
        <w:pStyle w:val="Heading1"/>
        <w:numPr>
          <w:ilvl w:val="0"/>
          <w:numId w:val="2"/>
        </w:numPr>
        <w:spacing w:before="0" w:after="0" w:line="360" w:lineRule="auto"/>
        <w:ind w:left="0" w:firstLine="0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10" w:name="_Toc21069"/>
      <w:r>
        <w:rPr>
          <w:rFonts w:ascii="微软雅黑" w:eastAsia="微软雅黑" w:hAnsi="微软雅黑" w:cs="微软雅黑" w:hint="eastAsia"/>
          <w:sz w:val="24"/>
          <w:szCs w:val="24"/>
        </w:rPr>
        <w:t>供应商准入</w:t>
      </w:r>
      <w:bookmarkEnd w:id="10"/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11" w:name="_Toc29904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4.1供应商准入的需求：</w:t>
      </w:r>
      <w:bookmarkEnd w:id="11"/>
    </w:p>
    <w:p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针对供应商库每半年度、或年度的更新和淘汰；</w:t>
      </w:r>
    </w:p>
    <w:p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针对公司项目质量和成本的考量；</w:t>
      </w:r>
    </w:p>
    <w:p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新型项目的增加；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12" w:name="_Toc8446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4.2供应商开发渠道</w:t>
      </w:r>
      <w:bookmarkEnd w:id="12"/>
    </w:p>
    <w:p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各类产品展销会、发表会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行业协会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同行或供应商介绍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供应商主动联络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电话或网络查找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其他途径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13" w:name="_Toc32065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4.3供应商准入需符合的条件</w:t>
      </w:r>
      <w:bookmarkEnd w:id="13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依法成立，具备独立承担民事责任的能力，具有法人资格或得到企业法人的授权，属于一般纳税人；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具备签订合同和履行的能力和信誉；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具备国家有关部门、行业要求必须取得的质量、安全、环保、认证以及其他生产经营许可；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具有良好的商业信誉，近三年营业活动中无违法、违规记录和重大法律纠纷；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特殊行业具有国家、行业相关部门颁发的证书。</w:t>
      </w:r>
    </w:p>
    <w:p>
      <w:pPr>
        <w:pStyle w:val="Heading1"/>
        <w:numPr>
          <w:ilvl w:val="0"/>
          <w:numId w:val="2"/>
        </w:numPr>
        <w:spacing w:before="0" w:after="0" w:line="360" w:lineRule="auto"/>
        <w:ind w:left="0" w:firstLine="0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14" w:name="_Toc12866"/>
      <w:r>
        <w:rPr>
          <w:rFonts w:ascii="微软雅黑" w:eastAsia="微软雅黑" w:hAnsi="微软雅黑" w:cs="微软雅黑" w:hint="eastAsia"/>
          <w:sz w:val="24"/>
          <w:szCs w:val="24"/>
        </w:rPr>
        <w:t>供应商管理细则</w:t>
      </w:r>
      <w:bookmarkEnd w:id="14"/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15" w:name="_Toc12629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5.1供应商基本资料</w:t>
      </w:r>
      <w:bookmarkEnd w:id="15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bookmarkStart w:id="16" w:name="_Toc400547501"/>
      <w:bookmarkStart w:id="17" w:name="_Toc319312556"/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应由供应商填写《供应商基本资料表》。该表包括下列内容：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1、供应商信息：公司名称、地址、电话、传真、E-mail、网址、负责人、联系人、经营形态、市场分布、目标客户、人力资源状况、一般纳税人等。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2、产品信息：产品经营范围、目前主推产品、我司感兴趣的产品。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3、竞争力评估：品牌、品质、设计、价格、综合管理水平、综合竞争力等。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18" w:name="_Toc10116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5.2供应商调查</w:t>
      </w:r>
      <w:bookmarkEnd w:id="18"/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19" w:name="_Toc16813"/>
      <w:r>
        <w:rPr>
          <w:rFonts w:ascii="微软雅黑" w:eastAsia="微软雅黑" w:hAnsi="微软雅黑" w:cs="微软雅黑" w:hint="eastAsia"/>
          <w:szCs w:val="24"/>
        </w:rPr>
        <w:t>5.2.1供应商调查程序</w:t>
      </w:r>
      <w:bookmarkEnd w:id="19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运维部实施采购前，应优先对公司物资合格供应商目录上的合格供应商进行考察，并跟进填写的《供应商基本资料表》通过市场调查，了解供方产品质量、企业信息、售后服务等详细情况，初步确定质量可靠、价格合理的供应商作为候选方，并做好《供应商评估表》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2、由运维部、质量部人员组成供应商调查小组，对供应商实施调查评价，并填写《供应商评估表》。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评价结果由各部门做出建议，公司领导确定，合格的供应商进入《合格供应商目录》，同时签订《廉洁合作协议》、《供应环保材料的保证书》、《相关方环境安全要求》、《社会责任政策》、《供应商安全管理协议》。</w:t>
      </w:r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20" w:name="_Toc14403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5.2.2准入供应商调查评价</w:t>
      </w:r>
      <w:bookmarkEnd w:id="20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1、总体情况。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对供应商所提供的企业相关信息，市场部依据下列因素作出相应评价：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（1）企业知名度。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（2）管理层稳定性。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（3）供货能力。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（4）市场接受程度。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（5）地理位置。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（6）市场地位。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2、生产制造。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对供应商所提供生产制造的相关信息，市场部依据下列因素作出相应评价：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（1）生产能力。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（2）生产技术及设备。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（3）生产员工素质。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（4）生产制造过程控制。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3、技术研发。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对供应商所提供技术研发的相关信息，运维部、内控管理部依据下列因素作出相应评价：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（1）研发业绩。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（2）技术资料完整性。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（3）样品提供及时性。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4、质量管理。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对供应商所提供产品品质，由运维部依据下列因素作出相应评价：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（1）质量管理体系。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（2）质量控制过程。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（3）产品质量总体合格率。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（4）质量改进。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（5）产品质量认证。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5、物流及交货。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对供应商所提供产品的交货周期，由运维部依据下列因素作出相应评价：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（1）交期。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（2）运输方式。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（3）紧急订单处理。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（4）预警系统。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6、原材料采购。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对供应商所提供产品的原材料采购，由运维部依据下列因素作出相应评价：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（1）供应商管理。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（2）原材料使用。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（3）原材料成本改善。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7、环保。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对供应商所提供产品的原材料采购，由运维部依据下列因素作出相应评价并：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（1）ISO14000和SA8000认证。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（2）环境保护。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（3）安全管理。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21" w:name="_Toc5055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5.3供应商报价管理</w:t>
      </w:r>
      <w:bookmarkEnd w:id="21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1、报价单由</w:t>
      </w:r>
      <w:r>
        <w:rPr>
          <w:rFonts w:ascii="微软雅黑" w:eastAsia="微软雅黑" w:hAnsi="微软雅黑" w:cs="微软雅黑" w:hint="eastAsia"/>
          <w:kern w:val="0"/>
          <w:sz w:val="24"/>
          <w:szCs w:val="24"/>
          <w:lang w:eastAsia="zh-CN"/>
        </w:rPr>
        <w:t>采购专员</w:t>
      </w: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统一发送给供应商库中的供应商报价，再由供应商返回至专用邮箱；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2、新增供应商，需填写供应商资料评鉴表并提供公司资料和对应产品资料；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22" w:name="_Toc22596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5.4供应商评价</w:t>
      </w:r>
      <w:bookmarkEnd w:id="22"/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23" w:name="_Toc1981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5.4.1供应商评价程序</w:t>
      </w:r>
      <w:bookmarkEnd w:id="23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1、每半年对供应商就品质、交货期、价格、服务等项目作评价。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2、每年进行一次总评，计算方式为：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年平均得分=每次得分总和/评价次数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3、将各项得分汇入《供应商评估表》，并合计总得分。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4、列出各供应商的评估等级，符合要求列入合格供应商名单。</w:t>
      </w:r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24" w:name="_Toc15463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5.4.2供应商评价项目</w:t>
      </w:r>
      <w:bookmarkEnd w:id="24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详见附件《供应商复评表》</w:t>
      </w:r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25" w:name="_Toc26264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5.4.3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评价办法</w:t>
      </w:r>
      <w:bookmarkEnd w:id="25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见附件，《供应商评估表》</w:t>
      </w:r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26" w:name="_Toc6951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5.4.4评价等级划分（满分100分）</w:t>
      </w:r>
      <w:bookmarkEnd w:id="26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1、平均得分98以上分者为卓越级。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2、平均得分90-98分者为优质级。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3、平均得分80分者为合格级。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4、平均得分80分以下者为警示级。</w:t>
      </w:r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27" w:name="_Toc258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5.4.5评价处理</w:t>
      </w:r>
      <w:bookmarkEnd w:id="27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1、卓越级厂商为优秀供应商，予以付款、订单、检验之优惠奖励。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2、优质级厂商为良好供应商，由运维部提请供应商改善不足。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3、合格级厂商为合格供应商，由运维部、质量部等部门予以必要辅导。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4、警示级为辅导供应商，由运维部、质量部等部门予以辅导，三个月内未能达到合格级以上予以淘汰，性质较为恶劣的进入黑名单。被淘汰供应商如欲再向本公司供货，需再经过供应商调查评估，进入黑名单供应商不允许再与本公司发生业务关系。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28" w:name="_Toc11785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5.5供应商审查</w:t>
      </w:r>
      <w:bookmarkEnd w:id="28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1、先将所有的供应分等级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一级供应商：业务量大，产品对本公司比较重要的。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每半年进行一次实地审查。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二级供应商：业务量小，产品对本公司比较重要的。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每年进行一次实地审查。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三级供应商：业务量小，产品相对比简单。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每年进行一次书面资料复查。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2、审查流程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审查流程按《合格供应商复评表》实施每项审查，并附审查报告，交总经理批示。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3、有重大品质、交期、价格、服务等问题时，随时可以作供应商审查。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29" w:name="_Toc4002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5.6供应商辅导</w:t>
      </w:r>
      <w:bookmarkEnd w:id="29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1、对合格级以下之供应商采取必要的辅导。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2、不合格供应商应予除名或列入公司黑名单。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3、不合格供应商欲重新向本公司供货，应予辅导及重新调查评审。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4、列入黑名单的供应商不允许与公司发生业务关系。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30" w:name="_Toc25471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5.7供应商奖惩</w:t>
      </w:r>
      <w:bookmarkEnd w:id="30"/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31" w:name="_Toc9691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5.7.1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奖励方式</w:t>
      </w:r>
      <w:bookmarkEnd w:id="31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1、卓越级供应商，在本公司有新业务时，可优先取得交易机会。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2、卓越级供应商，特殊情况下，只要提出要求，可优先支付货款。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3、卓越级和优质级供应商，可参加本公司举办各项培训和交流活动。</w:t>
      </w:r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32" w:name="_Toc27931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5.7.2惩处方式</w:t>
      </w:r>
      <w:bookmarkEnd w:id="32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 xml:space="preserve">1、凡因供应商品质不良或交期延误而造成之损失，由供应商负责赔偿。 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2、合格级供应商，应接受订单减量、适当审查及改善辅导措施。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3、警示级供应商三个月内未能达到合格级以上供应商之标准， 应予以停止交易，性质恶劣的列入公司供应商黑名单。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4、因上述原因停止交易之供应商，如欲恢复交易，需接受重新调查评核，并采用逐步加量之方式交易。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5、信誉不佳的供应商酌情作延期付款或减少合作等处理。</w:t>
      </w: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33" w:name="_Toc21459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5.8供应商的走访</w:t>
      </w:r>
      <w:bookmarkEnd w:id="33"/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34" w:name="_Toc29686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5.8.1走访的目的</w:t>
      </w:r>
      <w:bookmarkEnd w:id="34"/>
    </w:p>
    <w:p>
      <w:pPr>
        <w:pStyle w:val="ListParagraph"/>
        <w:numPr>
          <w:ilvl w:val="0"/>
          <w:numId w:val="6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与供应商进行面对面沟通，分析出现不合格加工件的根源所在，确立针对性的解决方案；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同步监督供应商的生产管理过程，找出弊端并要求对方进行改善。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通过走访过程逐步完善我司对所有供应商的管理体制。</w:t>
      </w:r>
    </w:p>
    <w:p>
      <w:pPr>
        <w:keepNext/>
        <w:keepLines/>
        <w:spacing w:line="360" w:lineRule="auto"/>
        <w:outlineLvl w:val="2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35" w:name="_Toc14745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5.8.2走访内容和时间频率</w:t>
      </w:r>
      <w:bookmarkEnd w:id="35"/>
    </w:p>
    <w:p>
      <w:pPr>
        <w:pStyle w:val="ListParagraph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商谈：通过面对面沟通进一步了解生产出现的问题，我方可向供方针对生产过程提出合理化建议，让双方达到共赢。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车间生产巡查：对供方生产车间及生产过程进行巡视工作，试图从中找出会影响加工质量的工序并记录，之后再进行统计分析。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质检过程的监督：检查供方的质检程序是否合理，质检仪器是否达标，质检人员是否做好本职工作，测量数据是否真实、一致、准确，防止质检过程的疏忽造成不合格品的产生。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安全规范：供方是否做好安全工作，确保生产过程不会出现安全隐患，间接影响加工件质量。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产品出厂管理：检查供方产品在出厂时是否包装规范，出厂后运输途中是否会出现碰损等因素。 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根据新进供应商的数量和现有供应链的采购频次，可按季度、半年度和年度的时间安排走访。</w:t>
      </w:r>
    </w:p>
    <w:p>
      <w:pPr>
        <w:pStyle w:val="Heading1"/>
        <w:numPr>
          <w:ilvl w:val="0"/>
          <w:numId w:val="2"/>
        </w:numPr>
        <w:spacing w:before="0" w:after="0" w:line="360" w:lineRule="auto"/>
        <w:ind w:left="0" w:firstLine="0"/>
        <w:jc w:val="left"/>
        <w:rPr>
          <w:rFonts w:ascii="微软雅黑" w:eastAsia="微软雅黑" w:hAnsi="微软雅黑" w:cs="微软雅黑"/>
          <w:sz w:val="24"/>
          <w:szCs w:val="24"/>
        </w:rPr>
      </w:pPr>
      <w:bookmarkEnd w:id="16"/>
      <w:bookmarkEnd w:id="17"/>
      <w:bookmarkStart w:id="36" w:name="_Toc19900"/>
      <w:bookmarkStart w:id="37" w:name="_Toc319312585"/>
      <w:bookmarkStart w:id="38" w:name="_Toc400547513"/>
      <w:r>
        <w:rPr>
          <w:rFonts w:ascii="微软雅黑" w:eastAsia="微软雅黑" w:hAnsi="微软雅黑" w:cs="微软雅黑" w:hint="eastAsia"/>
          <w:sz w:val="24"/>
          <w:szCs w:val="24"/>
        </w:rPr>
        <w:t>相关文件</w:t>
      </w:r>
      <w:bookmarkEnd w:id="36"/>
      <w:bookmarkEnd w:id="37"/>
      <w:bookmarkEnd w:id="38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《供应商资质评鉴表》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《供应商评估表》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《合格供应商目录》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《供应商复评录》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《廉洁合作协议》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《供应环保材料的保证书》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《相关方环境安全要求》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《社会责任政策》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《供应商安全管理协议》</w:t>
      </w:r>
    </w:p>
    <w:p>
      <w:pPr>
        <w:spacing w:line="360" w:lineRule="auto"/>
        <w:ind w:firstLine="420" w:firstLineChars="200"/>
        <w:jc w:val="left"/>
        <w:rPr>
          <w:rFonts w:ascii="仿宋" w:eastAsia="仿宋" w:hAnsi="仿宋" w:cs="宋体"/>
          <w:kern w:val="0"/>
          <w:sz w:val="24"/>
          <w:szCs w:val="24"/>
        </w:rPr>
      </w:pPr>
    </w:p>
    <w:p>
      <w:pPr>
        <w:spacing w:line="360" w:lineRule="auto"/>
        <w:ind w:firstLine="418"/>
        <w:jc w:val="left"/>
        <w:rPr>
          <w:rStyle w:val="Strong"/>
          <w:rFonts w:ascii="仿宋" w:eastAsia="仿宋" w:hAnsi="仿宋"/>
          <w:b w:val="0"/>
          <w:sz w:val="24"/>
          <w:szCs w:val="24"/>
        </w:rPr>
      </w:pPr>
    </w:p>
    <w:sectPr>
      <w:footerReference w:type="default" r:id="rId9"/>
      <w:pgSz w:w="11906" w:h="16838"/>
      <w:pgMar w:top="1560" w:right="1800" w:bottom="1440" w:left="1800" w:header="851" w:footer="992" w:gutter="0"/>
      <w:pgNumType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Fonts w:hint="eastAsia"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distribute"/>
    </w:pPr>
    <w:r>
      <w:rPr>
        <w:rFonts w:asciiTheme="minorEastAsia" w:eastAsiaTheme="minorEastAsia" w:hAnsiTheme="minorEastAsia" w:hint="eastAsia"/>
        <w:szCs w:val="24"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296530A8"/>
    <w:multiLevelType w:val="multilevel"/>
    <w:tmpl w:val="296530A8"/>
    <w:lvl w:ilvl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2">
    <w:nsid w:val="2F39652E"/>
    <w:multiLevelType w:val="multilevel"/>
    <w:tmpl w:val="2F39652E"/>
    <w:lvl w:ilvl="0">
      <w:start w:val="1"/>
      <w:numFmt w:val="decimal"/>
      <w:lvlText w:val="%1."/>
      <w:lvlJc w:val="left"/>
      <w:pPr>
        <w:ind w:left="900" w:hanging="420"/>
      </w:pPr>
      <w:rPr>
        <w:rFonts w:eastAsia="宋体"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3D437F2E"/>
    <w:multiLevelType w:val="multilevel"/>
    <w:tmpl w:val="3D437F2E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>
    <w:nsid w:val="40E66663"/>
    <w:multiLevelType w:val="multilevel"/>
    <w:tmpl w:val="40E66663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52B119FC"/>
    <w:multiLevelType w:val="multilevel"/>
    <w:tmpl w:val="52B119FC"/>
    <w:lvl w:ilvl="0">
      <w:start w:val="1"/>
      <w:numFmt w:val="decimal"/>
      <w:lvlText w:val="%1."/>
      <w:lvlJc w:val="left"/>
      <w:pPr>
        <w:ind w:left="900" w:hanging="420"/>
      </w:pPr>
      <w:rPr>
        <w:rFonts w:eastAsia="宋体"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62DF5957"/>
    <w:multiLevelType w:val="multilevel"/>
    <w:tmpl w:val="62DF5957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Arial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5" w:lineRule="auto"/>
      <w:outlineLvl w:val="1"/>
    </w:pPr>
    <w:rPr>
      <w:rFonts w:ascii="Cambria" w:eastAsia="黑体" w:hAnsi="Cambria" w:cs="Times New Roman"/>
      <w:b/>
      <w:bCs/>
      <w:sz w:val="24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5" w:lineRule="auto"/>
      <w:outlineLvl w:val="2"/>
    </w:pPr>
    <w:rPr>
      <w:rFonts w:eastAsia="黑体"/>
      <w:b/>
      <w:bCs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7" w:lineRule="auto"/>
      <w:outlineLvl w:val="3"/>
    </w:pPr>
    <w:rPr>
      <w:rFonts w:ascii="Cambria" w:hAnsi="Cambria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1"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3">
    <w:name w:val="toc 3"/>
    <w:basedOn w:val="Normal"/>
    <w:next w:val="Normal"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Subtitle">
    <w:name w:val="Subtitle"/>
    <w:basedOn w:val="Normal"/>
    <w:next w:val="Normal"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autoRedefine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autoRedefine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autoRedefine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autoRedefine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1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2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3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E53F3FD5-268D-48AF-9DFE-AF69D4E29C46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3432</Words>
  <Characters>3623</Characters>
  <Application>Microsoft Office Word</Application>
  <DocSecurity>0</DocSecurity>
  <Lines>38</Lines>
  <Paragraphs>10</Paragraphs>
  <ScaleCrop>false</ScaleCrop>
  <Company>Microsoft</Company>
  <LinksUpToDate>false</LinksUpToDate>
  <CharactersWithSpaces>3724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16</cp:revision>
  <dcterms:created xsi:type="dcterms:W3CDTF">2019-03-07T05:58:00Z</dcterms:created>
  <dcterms:modified xsi:type="dcterms:W3CDTF">2025-11-27T10:38:23Z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C1697E3756B648C9AF449E1137B803DA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