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jc w:val="center"/>
        <w:rPr>
          <w:b/>
          <w:sz w:val="48"/>
          <w:szCs w:val="48"/>
        </w:rPr>
      </w:pPr>
      <w:r>
        <w:rPr>
          <w:rFonts w:ascii="微软雅黑" w:eastAsia="微软雅黑" w:hAnsi="微软雅黑" w:cs="微软雅黑" w:hint="eastAsia"/>
        </w:rPr>
        <w:drawing>
          <wp:anchor distT="0" distB="0" distL="114300" distR="114300" simplePos="0" relativeHeight="251658240" behindDoc="1" locked="0" layoutInCell="1" allowOverlap="1">
            <wp:simplePos x="0" y="0"/>
            <wp:positionH relativeFrom="column">
              <wp:posOffset>-1233805</wp:posOffset>
            </wp:positionH>
            <wp:positionV relativeFrom="paragraph">
              <wp:posOffset>-1183640</wp:posOffset>
            </wp:positionV>
            <wp:extent cx="7776210" cy="11254105"/>
            <wp:effectExtent l="0" t="0" r="15240" b="444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5" cstate="print">
                      <a:extLst>
                        <a:ext uri="{28A0092B-C50C-407E-A947-70E740481C1C}">
                          <a14:useLocalDpi xmlns:a14="http://schemas.microsoft.com/office/drawing/2010/main" val="0"/>
                        </a:ext>
                      </a:extLst>
                    </a:blip>
                    <a:stretch>
                      <a:fillRect/>
                    </a:stretch>
                  </pic:blipFill>
                  <pic:spPr>
                    <a:xfrm>
                      <a:off x="0" y="0"/>
                      <a:ext cx="7776210" cy="11254105"/>
                    </a:xfrm>
                    <a:prstGeom prst="rect">
                      <a:avLst/>
                    </a:prstGeom>
                  </pic:spPr>
                </pic:pic>
              </a:graphicData>
            </a:graphic>
          </wp:anchor>
        </w:drawing>
      </w:r>
    </w:p>
    <w:p>
      <w:pPr>
        <w:jc w:val="center"/>
        <w:rPr>
          <w:b/>
          <w:sz w:val="48"/>
          <w:szCs w:val="48"/>
        </w:rPr>
      </w:pPr>
    </w:p>
    <w:p>
      <w:pPr>
        <w:jc w:val="center"/>
        <w:rPr>
          <w:b/>
          <w:sz w:val="48"/>
          <w:szCs w:val="48"/>
        </w:rPr>
      </w:pPr>
    </w:p>
    <w:p>
      <w:pPr>
        <w:jc w:val="cente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知识库管理制度</w:t>
      </w:r>
    </w:p>
    <w:p>
      <w:pPr>
        <w:jc w:val="center"/>
        <w:rPr>
          <w:b/>
          <w:sz w:val="48"/>
          <w:szCs w:val="48"/>
        </w:rPr>
      </w:pPr>
    </w:p>
    <w:p>
      <w:pPr>
        <w:spacing w:after="156" w:afterLines="50"/>
        <w:jc w:val="center"/>
        <w:rPr>
          <w:b/>
          <w:bCs/>
          <w:sz w:val="36"/>
          <w:szCs w:val="36"/>
        </w:rPr>
      </w:pPr>
      <w:r>
        <w:rPr>
          <w:rFonts w:ascii="宋体" w:hAnsi="宋体" w:cs="宋体" w:hint="eastAsia"/>
          <w:b/>
          <w:bCs/>
          <w:sz w:val="36"/>
          <w:szCs w:val="36"/>
        </w:rPr>
        <w:t>GSGB-ITSS-13-01</w:t>
      </w:r>
    </w:p>
    <w:p>
      <w:pPr>
        <w:spacing w:after="156" w:afterLines="50"/>
        <w:rPr>
          <w:sz w:val="36"/>
          <w:szCs w:val="36"/>
        </w:rPr>
      </w:pPr>
    </w:p>
    <w:p>
      <w:pPr>
        <w:spacing w:after="156" w:afterLines="50"/>
        <w:rPr>
          <w:sz w:val="36"/>
          <w:szCs w:val="36"/>
        </w:rPr>
      </w:pPr>
    </w:p>
    <w:p>
      <w:pPr>
        <w:spacing w:after="156" w:afterLines="50"/>
        <w:rPr>
          <w:sz w:val="36"/>
          <w:szCs w:val="36"/>
        </w:rPr>
      </w:pPr>
    </w:p>
    <w:p>
      <w:pPr>
        <w:tabs>
          <w:tab w:val="left" w:pos="0"/>
        </w:tabs>
        <w:spacing w:line="1000" w:lineRule="exact"/>
        <w:ind w:firstLine="1050" w:firstLineChars="500"/>
        <w:jc w:val="left"/>
        <w:rPr>
          <w:sz w:val="32"/>
          <w:szCs w:val="32"/>
          <w:u w:val="single"/>
        </w:rPr>
      </w:pPr>
      <w:r>
        <w:rPr>
          <w:rFonts w:hint="eastAsia"/>
          <w:sz w:val="32"/>
          <w:szCs w:val="32"/>
        </w:rPr>
        <w:t>拟制人：</w:t>
      </w:r>
      <w:r>
        <w:rPr>
          <w:rFonts w:hint="eastAsia"/>
          <w:sz w:val="32"/>
          <w:szCs w:val="32"/>
          <w:u w:val="single"/>
        </w:rPr>
        <w:t xml:space="preserve">         胡葛鹏宇    </w:t>
      </w:r>
      <w:bookmarkStart w:id="0" w:name="_GoBack"/>
      <w:bookmarkEnd w:id="0"/>
      <w:r>
        <w:rPr>
          <w:rFonts w:hint="eastAsia"/>
          <w:sz w:val="32"/>
          <w:szCs w:val="32"/>
          <w:u w:val="single"/>
        </w:rPr>
        <w:t xml:space="preserve">      </w:t>
      </w:r>
    </w:p>
    <w:p>
      <w:pPr>
        <w:tabs>
          <w:tab w:val="left" w:pos="0"/>
        </w:tabs>
        <w:spacing w:line="1000" w:lineRule="exact"/>
        <w:ind w:firstLine="1050" w:firstLineChars="500"/>
        <w:jc w:val="left"/>
        <w:rPr>
          <w:sz w:val="32"/>
          <w:szCs w:val="32"/>
        </w:rPr>
      </w:pPr>
      <w:r>
        <w:rPr>
          <w:rFonts w:hint="eastAsia"/>
          <w:sz w:val="32"/>
          <w:szCs w:val="32"/>
        </w:rPr>
        <w:t>审核人：</w:t>
      </w:r>
      <w:r>
        <w:rPr>
          <w:rFonts w:hint="eastAsia"/>
          <w:sz w:val="32"/>
          <w:szCs w:val="32"/>
          <w:u w:val="single"/>
        </w:rPr>
        <w:t xml:space="preserve">         兰伟东            </w:t>
      </w:r>
    </w:p>
    <w:p>
      <w:pPr>
        <w:tabs>
          <w:tab w:val="left" w:pos="0"/>
        </w:tabs>
        <w:spacing w:line="1000" w:lineRule="exact"/>
        <w:ind w:firstLine="1050" w:firstLineChars="500"/>
        <w:jc w:val="left"/>
        <w:rPr>
          <w:b/>
          <w:sz w:val="32"/>
          <w:szCs w:val="32"/>
        </w:rPr>
      </w:pPr>
      <w:r>
        <w:rPr>
          <w:rFonts w:hint="eastAsia"/>
          <w:sz w:val="32"/>
          <w:szCs w:val="32"/>
        </w:rPr>
        <w:t>批准人：</w:t>
      </w:r>
      <w:r>
        <w:rPr>
          <w:rFonts w:hint="eastAsia"/>
          <w:sz w:val="32"/>
          <w:szCs w:val="32"/>
          <w:u w:val="single"/>
        </w:rPr>
        <w:t xml:space="preserve">         赵  鑫            </w:t>
      </w:r>
    </w:p>
    <w:p>
      <w:pPr>
        <w:tabs>
          <w:tab w:val="left" w:pos="0"/>
        </w:tabs>
        <w:spacing w:before="312" w:beforeLines="100" w:after="312" w:afterLines="100"/>
        <w:jc w:val="center"/>
        <w:rPr>
          <w:rFonts w:ascii="黑体" w:eastAsia="黑体"/>
          <w:sz w:val="36"/>
          <w:szCs w:val="36"/>
        </w:rPr>
      </w:pPr>
    </w:p>
    <w:p>
      <w:pPr>
        <w:tabs>
          <w:tab w:val="left" w:pos="0"/>
        </w:tabs>
        <w:spacing w:before="312" w:beforeLines="100" w:after="312" w:afterLines="100"/>
        <w:jc w:val="center"/>
        <w:rPr>
          <w:rFonts w:ascii="黑体" w:eastAsia="黑体"/>
          <w:sz w:val="36"/>
          <w:szCs w:val="36"/>
        </w:rPr>
      </w:pPr>
      <w:r>
        <w:rPr>
          <w:rFonts w:ascii="黑体" w:eastAsia="黑体"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vAlign w:val="center"/>
          </w:tcPr>
          <w:p>
            <w:pPr>
              <w:pStyle w:val="a4"/>
              <w:spacing w:line="240" w:lineRule="auto"/>
              <w:rPr>
                <w:rFonts w:cs="Arial"/>
              </w:rPr>
            </w:pPr>
            <w:r>
              <w:rPr>
                <w:rFonts w:cs="Arial" w:hint="eastAsia"/>
              </w:rPr>
              <w:t>序号</w:t>
            </w:r>
          </w:p>
        </w:tc>
        <w:tc>
          <w:tcPr>
            <w:tcW w:w="810" w:type="pct"/>
            <w:vAlign w:val="center"/>
          </w:tcPr>
          <w:p>
            <w:pPr>
              <w:pStyle w:val="a4"/>
              <w:spacing w:line="240" w:lineRule="auto"/>
              <w:rPr>
                <w:rFonts w:cs="Arial"/>
              </w:rPr>
            </w:pPr>
            <w:r>
              <w:rPr>
                <w:rFonts w:cs="Arial" w:hint="eastAsia"/>
              </w:rPr>
              <w:t>新建/修改</w:t>
            </w:r>
          </w:p>
        </w:tc>
        <w:tc>
          <w:tcPr>
            <w:tcW w:w="810" w:type="pct"/>
            <w:vAlign w:val="center"/>
          </w:tcPr>
          <w:p>
            <w:pPr>
              <w:pStyle w:val="a4"/>
              <w:spacing w:line="240" w:lineRule="auto"/>
              <w:rPr>
                <w:rFonts w:cs="Arial"/>
              </w:rPr>
            </w:pPr>
            <w:r>
              <w:rPr>
                <w:rFonts w:cs="Arial" w:hint="eastAsia"/>
              </w:rPr>
              <w:t>拟制人</w:t>
            </w:r>
          </w:p>
        </w:tc>
        <w:tc>
          <w:tcPr>
            <w:tcW w:w="810" w:type="pct"/>
            <w:vAlign w:val="center"/>
          </w:tcPr>
          <w:p>
            <w:pPr>
              <w:pStyle w:val="a4"/>
              <w:spacing w:line="240" w:lineRule="auto"/>
              <w:rPr>
                <w:rFonts w:cs="Arial"/>
              </w:rPr>
            </w:pPr>
            <w:r>
              <w:rPr>
                <w:rFonts w:cs="Arial" w:hint="eastAsia"/>
              </w:rPr>
              <w:t>审核人</w:t>
            </w:r>
          </w:p>
        </w:tc>
        <w:tc>
          <w:tcPr>
            <w:tcW w:w="878" w:type="pct"/>
            <w:vAlign w:val="center"/>
          </w:tcPr>
          <w:p>
            <w:pPr>
              <w:pStyle w:val="a4"/>
              <w:spacing w:line="240" w:lineRule="auto"/>
              <w:rPr>
                <w:rFonts w:cs="Arial"/>
              </w:rPr>
            </w:pPr>
            <w:r>
              <w:rPr>
                <w:rFonts w:cs="Arial" w:hint="eastAsia"/>
              </w:rPr>
              <w:t>批准人</w:t>
            </w:r>
          </w:p>
        </w:tc>
        <w:tc>
          <w:tcPr>
            <w:tcW w:w="878" w:type="pct"/>
            <w:vAlign w:val="center"/>
          </w:tcPr>
          <w:p>
            <w:pPr>
              <w:pStyle w:val="a4"/>
              <w:spacing w:line="240" w:lineRule="auto"/>
              <w:rPr>
                <w:rFonts w:cs="Arial"/>
              </w:rPr>
            </w:pPr>
            <w:r>
              <w:rPr>
                <w:rFonts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spacing w:line="240" w:lineRule="auto"/>
            </w:pPr>
            <w:r>
              <w:rPr>
                <w:rFonts w:hint="eastAsia"/>
              </w:rPr>
              <w:t>v1.0</w:t>
            </w:r>
          </w:p>
        </w:tc>
        <w:tc>
          <w:tcPr>
            <w:tcW w:w="810" w:type="pct"/>
            <w:vAlign w:val="center"/>
          </w:tcPr>
          <w:p>
            <w:pPr>
              <w:pStyle w:val="a5"/>
              <w:spacing w:line="240" w:lineRule="auto"/>
            </w:pPr>
            <w:r>
              <w:rPr>
                <w:rFonts w:hint="eastAsia"/>
              </w:rPr>
              <w:t>新建</w:t>
            </w:r>
          </w:p>
        </w:tc>
        <w:tc>
          <w:tcPr>
            <w:tcW w:w="810" w:type="pct"/>
            <w:vAlign w:val="center"/>
          </w:tcPr>
          <w:p>
            <w:pPr>
              <w:pStyle w:val="a5"/>
              <w:spacing w:line="240" w:lineRule="auto"/>
            </w:pPr>
            <w:r>
              <w:rPr>
                <w:rFonts w:hint="eastAsia"/>
                <w:lang w:val="en-US" w:eastAsia="zh-CN"/>
              </w:rPr>
              <w:t>胡葛鹏宇</w:t>
            </w:r>
          </w:p>
        </w:tc>
        <w:tc>
          <w:tcPr>
            <w:tcW w:w="810" w:type="pct"/>
            <w:vAlign w:val="center"/>
          </w:tcPr>
          <w:p>
            <w:pPr>
              <w:pStyle w:val="a5"/>
              <w:spacing w:line="240" w:lineRule="auto"/>
            </w:pPr>
            <w:r>
              <w:rPr>
                <w:rFonts w:hint="eastAsia"/>
              </w:rPr>
              <w:t>兰伟东</w:t>
            </w:r>
          </w:p>
        </w:tc>
        <w:tc>
          <w:tcPr>
            <w:tcW w:w="878" w:type="pct"/>
            <w:vAlign w:val="center"/>
          </w:tcPr>
          <w:p>
            <w:pPr>
              <w:pStyle w:val="a5"/>
              <w:spacing w:line="240" w:lineRule="auto"/>
            </w:pPr>
            <w:r>
              <w:rPr>
                <w:rFonts w:hint="eastAsia"/>
              </w:rPr>
              <w:t>黄益溪</w:t>
            </w:r>
          </w:p>
        </w:tc>
        <w:tc>
          <w:tcPr>
            <w:tcW w:w="878" w:type="pct"/>
            <w:vAlign w:val="center"/>
          </w:tcPr>
          <w:p>
            <w:pPr>
              <w:pStyle w:val="a5"/>
              <w:spacing w:line="240" w:lineRule="auto"/>
            </w:pPr>
            <w:r>
              <w:rPr>
                <w:rFonts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r>
        <w:tblPrEx>
          <w:tblW w:w="4997" w:type="pct"/>
          <w:jc w:val="center"/>
          <w:tblCellMar>
            <w:top w:w="0" w:type="dxa"/>
            <w:left w:w="108" w:type="dxa"/>
            <w:bottom w:w="0" w:type="dxa"/>
            <w:right w:w="108" w:type="dxa"/>
          </w:tblCellMar>
        </w:tblPrEx>
        <w:trPr>
          <w:trHeight w:val="454"/>
          <w:jc w:val="center"/>
        </w:trPr>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10" w:type="pct"/>
            <w:vAlign w:val="center"/>
          </w:tcPr>
          <w:p>
            <w:pPr>
              <w:pStyle w:val="a5"/>
              <w:ind w:firstLine="480"/>
            </w:pPr>
          </w:p>
        </w:tc>
        <w:tc>
          <w:tcPr>
            <w:tcW w:w="878" w:type="pct"/>
            <w:vAlign w:val="center"/>
          </w:tcPr>
          <w:p>
            <w:pPr>
              <w:pStyle w:val="a5"/>
              <w:ind w:firstLine="480"/>
            </w:pPr>
          </w:p>
        </w:tc>
        <w:tc>
          <w:tcPr>
            <w:tcW w:w="878" w:type="pct"/>
            <w:vAlign w:val="center"/>
          </w:tcPr>
          <w:p>
            <w:pPr>
              <w:pStyle w:val="a5"/>
              <w:ind w:firstLine="480"/>
            </w:pPr>
          </w:p>
        </w:tc>
      </w:tr>
    </w:tbl>
    <w:p>
      <w:pPr>
        <w:rPr>
          <w:rFonts w:ascii="微软雅黑" w:eastAsia="微软雅黑" w:hAnsi="微软雅黑" w:cs="微软雅黑"/>
          <w:sz w:val="24"/>
        </w:rPr>
      </w:pPr>
    </w:p>
    <w:p>
      <w:pPr>
        <w:rPr>
          <w:rFonts w:ascii="微软雅黑" w:eastAsia="微软雅黑" w:hAnsi="微软雅黑" w:cs="微软雅黑"/>
          <w:sz w:val="24"/>
        </w:rPr>
      </w:pPr>
    </w:p>
    <w:p>
      <w:pPr>
        <w:widowControl/>
        <w:jc w:val="left"/>
        <w:sectPr>
          <w:headerReference w:type="default" r:id="rId6"/>
          <w:footerReference w:type="default" r:id="rId7"/>
          <w:pgSz w:w="11906" w:h="16838"/>
          <w:pgMar w:top="1440" w:right="1800" w:bottom="1440" w:left="1800" w:header="851" w:footer="992" w:gutter="0"/>
          <w:pgNumType w:start="1"/>
          <w:cols w:num="1" w:space="425"/>
          <w:docGrid w:type="lines" w:linePitch="312" w:charSpace="0"/>
        </w:sectPr>
      </w:pPr>
    </w:p>
    <w:p>
      <w:pPr>
        <w:pStyle w:val="TOC1"/>
        <w:spacing w:line="360" w:lineRule="auto"/>
        <w:jc w:val="center"/>
        <w:rPr>
          <w:rFonts w:ascii="仿宋" w:eastAsia="仿宋" w:hAnsi="仿宋" w:cs="仿宋"/>
          <w:b/>
          <w:sz w:val="28"/>
          <w:szCs w:val="28"/>
        </w:rPr>
      </w:pPr>
      <w:r>
        <w:rPr>
          <w:rFonts w:ascii="仿宋" w:eastAsia="仿宋" w:hAnsi="仿宋" w:cs="仿宋" w:hint="eastAsia"/>
          <w:b/>
          <w:sz w:val="28"/>
          <w:szCs w:val="28"/>
        </w:rPr>
        <w:t>目  录</w:t>
      </w:r>
    </w:p>
    <w:p>
      <w:pPr>
        <w:pStyle w:val="TOC1"/>
        <w:tabs>
          <w:tab w:val="right" w:leader="dot" w:pos="8306"/>
        </w:tabs>
      </w:pPr>
      <w:r>
        <w:rPr>
          <w:rFonts w:ascii="仿宋" w:eastAsia="仿宋" w:hAnsi="仿宋" w:cs="仿宋" w:hint="eastAsia"/>
          <w:b/>
          <w:bCs/>
          <w:caps/>
          <w:color w:val="000000"/>
          <w:sz w:val="24"/>
          <w:szCs w:val="24"/>
        </w:rPr>
        <w:fldChar w:fldCharType="begin"/>
      </w:r>
      <w:r>
        <w:rPr>
          <w:rFonts w:ascii="仿宋" w:eastAsia="仿宋" w:hAnsi="仿宋" w:cs="仿宋" w:hint="eastAsia"/>
          <w:sz w:val="24"/>
          <w:szCs w:val="24"/>
        </w:rPr>
        <w:instrText xml:space="preserve"> TOC \o "1-3" \h \z \u </w:instrText>
      </w:r>
      <w:r>
        <w:rPr>
          <w:rFonts w:ascii="仿宋" w:eastAsia="仿宋" w:hAnsi="仿宋" w:cs="仿宋" w:hint="eastAsia"/>
          <w:b/>
          <w:bCs/>
          <w:caps/>
          <w:color w:val="000000"/>
          <w:sz w:val="24"/>
          <w:szCs w:val="24"/>
        </w:rPr>
        <w:fldChar w:fldCharType="separate"/>
      </w:r>
      <w:r>
        <w:rPr>
          <w:rFonts w:ascii="仿宋" w:eastAsia="仿宋" w:hAnsi="仿宋" w:cs="仿宋" w:hint="eastAsia"/>
          <w:bCs/>
          <w:caps/>
          <w:color w:val="000000"/>
          <w:szCs w:val="24"/>
        </w:rPr>
        <w:fldChar w:fldCharType="begin"/>
      </w:r>
      <w:r>
        <w:rPr>
          <w:rFonts w:ascii="仿宋" w:eastAsia="仿宋" w:hAnsi="仿宋" w:cs="仿宋" w:hint="eastAsia"/>
          <w:bCs/>
          <w:caps/>
          <w:szCs w:val="24"/>
        </w:rPr>
        <w:instrText xml:space="preserve"> HYPERLINK \l _Toc29589 </w:instrText>
      </w:r>
      <w:r>
        <w:rPr>
          <w:rFonts w:ascii="仿宋" w:eastAsia="仿宋" w:hAnsi="仿宋" w:cs="仿宋" w:hint="eastAsia"/>
          <w:bCs/>
          <w:caps/>
          <w:szCs w:val="24"/>
        </w:rPr>
        <w:fldChar w:fldCharType="separate"/>
      </w:r>
      <w:r>
        <w:rPr>
          <w:rFonts w:ascii="微软雅黑" w:eastAsia="微软雅黑" w:hAnsi="微软雅黑" w:cs="微软雅黑"/>
          <w:szCs w:val="24"/>
        </w:rPr>
        <w:t xml:space="preserve">1. </w:t>
      </w:r>
      <w:r>
        <w:rPr>
          <w:rFonts w:ascii="微软雅黑" w:eastAsia="微软雅黑" w:hAnsi="微软雅黑" w:cs="微软雅黑" w:hint="eastAsia"/>
          <w:szCs w:val="24"/>
        </w:rPr>
        <w:t>总则</w:t>
      </w:r>
      <w:r>
        <w:tab/>
      </w:r>
      <w:r>
        <w:fldChar w:fldCharType="begin"/>
      </w:r>
      <w:r>
        <w:instrText xml:space="preserve"> PAGEREF _Toc29589 \h </w:instrText>
      </w:r>
      <w:r>
        <w:fldChar w:fldCharType="separate"/>
      </w:r>
      <w:r>
        <w:t>1</w:t>
      </w:r>
      <w:r>
        <w:fldChar w:fldCharType="end"/>
      </w:r>
      <w:r>
        <w:rPr>
          <w:rFonts w:ascii="仿宋" w:eastAsia="仿宋" w:hAnsi="仿宋" w:cs="仿宋" w:hint="eastAsia"/>
          <w:bCs/>
          <w:caps/>
          <w:color w:val="000000"/>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_Toc4656 </w:instrText>
      </w:r>
      <w:r>
        <w:rPr>
          <w:rFonts w:ascii="仿宋" w:eastAsia="仿宋" w:hAnsi="仿宋" w:cs="仿宋" w:hint="eastAsia"/>
          <w:szCs w:val="24"/>
        </w:rPr>
        <w:fldChar w:fldCharType="separate"/>
      </w:r>
      <w:r>
        <w:rPr>
          <w:rFonts w:ascii="微软雅黑" w:hAnsi="微软雅黑" w:cs="微软雅黑" w:hint="eastAsia"/>
          <w:szCs w:val="24"/>
        </w:rPr>
        <w:t>1.1制定目的</w:t>
      </w:r>
      <w:r>
        <w:tab/>
      </w:r>
      <w:r>
        <w:fldChar w:fldCharType="begin"/>
      </w:r>
      <w:r>
        <w:instrText xml:space="preserve"> PAGEREF _Toc4656 \h </w:instrText>
      </w:r>
      <w:r>
        <w:fldChar w:fldCharType="separate"/>
      </w:r>
      <w:r>
        <w:t>1</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_Toc19558 </w:instrText>
      </w:r>
      <w:r>
        <w:rPr>
          <w:rFonts w:ascii="仿宋" w:eastAsia="仿宋" w:hAnsi="仿宋" w:cs="仿宋" w:hint="eastAsia"/>
          <w:szCs w:val="24"/>
        </w:rPr>
        <w:fldChar w:fldCharType="separate"/>
      </w:r>
      <w:r>
        <w:rPr>
          <w:rFonts w:ascii="微软雅黑" w:hAnsi="微软雅黑" w:cs="微软雅黑" w:hint="eastAsia"/>
          <w:szCs w:val="24"/>
        </w:rPr>
        <w:t>1.2制定目标</w:t>
      </w:r>
      <w:r>
        <w:tab/>
      </w:r>
      <w:r>
        <w:fldChar w:fldCharType="begin"/>
      </w:r>
      <w:r>
        <w:instrText xml:space="preserve"> PAGEREF _Toc19558 \h </w:instrText>
      </w:r>
      <w:r>
        <w:fldChar w:fldCharType="separate"/>
      </w:r>
      <w:r>
        <w:t>1</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_Toc6883 </w:instrText>
      </w:r>
      <w:r>
        <w:rPr>
          <w:rFonts w:ascii="仿宋" w:eastAsia="仿宋" w:hAnsi="仿宋" w:cs="仿宋" w:hint="eastAsia"/>
          <w:szCs w:val="24"/>
        </w:rPr>
        <w:fldChar w:fldCharType="separate"/>
      </w:r>
      <w:r>
        <w:rPr>
          <w:rFonts w:ascii="微软雅黑" w:hAnsi="微软雅黑" w:cs="微软雅黑" w:hint="eastAsia"/>
          <w:szCs w:val="24"/>
        </w:rPr>
        <w:t>1.3知识库价值</w:t>
      </w:r>
      <w:r>
        <w:tab/>
      </w:r>
      <w:r>
        <w:fldChar w:fldCharType="begin"/>
      </w:r>
      <w:r>
        <w:instrText xml:space="preserve"> PAGEREF _Toc6883 \h </w:instrText>
      </w:r>
      <w:r>
        <w:fldChar w:fldCharType="separate"/>
      </w:r>
      <w:r>
        <w:t>1</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_Toc14978 </w:instrText>
      </w:r>
      <w:r>
        <w:rPr>
          <w:rFonts w:ascii="仿宋" w:eastAsia="仿宋" w:hAnsi="仿宋" w:cs="仿宋" w:hint="eastAsia"/>
          <w:szCs w:val="24"/>
        </w:rPr>
        <w:fldChar w:fldCharType="separate"/>
      </w:r>
      <w:r>
        <w:rPr>
          <w:rFonts w:ascii="微软雅黑" w:hAnsi="微软雅黑" w:cs="微软雅黑" w:hint="eastAsia"/>
          <w:szCs w:val="24"/>
        </w:rPr>
        <w:t>1.4知识库内容</w:t>
      </w:r>
      <w:r>
        <w:tab/>
      </w:r>
      <w:r>
        <w:fldChar w:fldCharType="begin"/>
      </w:r>
      <w:r>
        <w:instrText xml:space="preserve"> PAGEREF _Toc14978 \h </w:instrText>
      </w:r>
      <w:r>
        <w:fldChar w:fldCharType="separate"/>
      </w:r>
      <w:r>
        <w:t>2</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_Toc29457 </w:instrText>
      </w:r>
      <w:r>
        <w:rPr>
          <w:rFonts w:ascii="仿宋" w:eastAsia="仿宋" w:hAnsi="仿宋" w:cs="仿宋" w:hint="eastAsia"/>
          <w:szCs w:val="24"/>
        </w:rPr>
        <w:fldChar w:fldCharType="separate"/>
      </w:r>
      <w:r>
        <w:rPr>
          <w:rFonts w:ascii="微软雅黑" w:hAnsi="微软雅黑" w:cs="微软雅黑" w:hint="eastAsia"/>
          <w:szCs w:val="24"/>
        </w:rPr>
        <w:t>1.5适用范围</w:t>
      </w:r>
      <w:r>
        <w:tab/>
      </w:r>
      <w:r>
        <w:fldChar w:fldCharType="begin"/>
      </w:r>
      <w:r>
        <w:instrText xml:space="preserve"> PAGEREF _Toc29457 \h </w:instrText>
      </w:r>
      <w:r>
        <w:fldChar w:fldCharType="separate"/>
      </w:r>
      <w:r>
        <w:t>2</w:t>
      </w:r>
      <w:r>
        <w:fldChar w:fldCharType="end"/>
      </w:r>
      <w:r>
        <w:rPr>
          <w:rFonts w:ascii="仿宋" w:eastAsia="仿宋" w:hAnsi="仿宋" w:cs="仿宋" w:hint="eastAsia"/>
          <w:szCs w:val="24"/>
        </w:rPr>
        <w:fldChar w:fldCharType="end"/>
      </w:r>
    </w:p>
    <w:p>
      <w:pPr>
        <w:pStyle w:val="TOC1"/>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_Toc6413 </w:instrText>
      </w:r>
      <w:r>
        <w:rPr>
          <w:rFonts w:ascii="仿宋" w:eastAsia="仿宋" w:hAnsi="仿宋" w:cs="仿宋" w:hint="eastAsia"/>
          <w:szCs w:val="24"/>
        </w:rPr>
        <w:fldChar w:fldCharType="separate"/>
      </w:r>
      <w:r>
        <w:rPr>
          <w:rFonts w:ascii="微软雅黑" w:eastAsia="微软雅黑" w:hAnsi="微软雅黑" w:cs="微软雅黑"/>
          <w:szCs w:val="24"/>
        </w:rPr>
        <w:t xml:space="preserve">2. </w:t>
      </w:r>
      <w:r>
        <w:rPr>
          <w:rFonts w:ascii="微软雅黑" w:eastAsia="微软雅黑" w:hAnsi="微软雅黑" w:cs="微软雅黑" w:hint="eastAsia"/>
          <w:szCs w:val="24"/>
        </w:rPr>
        <w:t>术语</w:t>
      </w:r>
      <w:r>
        <w:tab/>
      </w:r>
      <w:r>
        <w:fldChar w:fldCharType="begin"/>
      </w:r>
      <w:r>
        <w:instrText xml:space="preserve"> PAGEREF _Toc6413 \h </w:instrText>
      </w:r>
      <w:r>
        <w:fldChar w:fldCharType="separate"/>
      </w:r>
      <w:r>
        <w:t>2</w:t>
      </w:r>
      <w:r>
        <w:fldChar w:fldCharType="end"/>
      </w:r>
      <w:r>
        <w:rPr>
          <w:rFonts w:ascii="仿宋" w:eastAsia="仿宋" w:hAnsi="仿宋" w:cs="仿宋" w:hint="eastAsia"/>
          <w:szCs w:val="24"/>
        </w:rPr>
        <w:fldChar w:fldCharType="end"/>
      </w:r>
    </w:p>
    <w:p>
      <w:pPr>
        <w:pStyle w:val="TOC1"/>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_Toc13901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3. 知识库管理指标</w:t>
      </w:r>
      <w:r>
        <w:tab/>
      </w:r>
      <w:r>
        <w:fldChar w:fldCharType="begin"/>
      </w:r>
      <w:r>
        <w:instrText xml:space="preserve"> PAGEREF _Toc13901 \h </w:instrText>
      </w:r>
      <w:r>
        <w:fldChar w:fldCharType="separate"/>
      </w:r>
      <w:r>
        <w:t>2</w:t>
      </w:r>
      <w:r>
        <w:fldChar w:fldCharType="end"/>
      </w:r>
      <w:r>
        <w:rPr>
          <w:rFonts w:ascii="仿宋" w:eastAsia="仿宋" w:hAnsi="仿宋" w:cs="仿宋" w:hint="eastAsia"/>
          <w:szCs w:val="24"/>
        </w:rPr>
        <w:fldChar w:fldCharType="end"/>
      </w:r>
    </w:p>
    <w:p>
      <w:pPr>
        <w:pStyle w:val="TOC1"/>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_Toc30309 </w:instrText>
      </w:r>
      <w:r>
        <w:rPr>
          <w:rFonts w:ascii="仿宋" w:eastAsia="仿宋" w:hAnsi="仿宋" w:cs="仿宋" w:hint="eastAsia"/>
          <w:szCs w:val="24"/>
        </w:rPr>
        <w:fldChar w:fldCharType="separate"/>
      </w:r>
      <w:r>
        <w:rPr>
          <w:rFonts w:ascii="微软雅黑" w:eastAsia="微软雅黑" w:hAnsi="微软雅黑" w:cs="微软雅黑"/>
          <w:szCs w:val="24"/>
        </w:rPr>
        <w:t xml:space="preserve">4. </w:t>
      </w:r>
      <w:r>
        <w:rPr>
          <w:rFonts w:ascii="微软雅黑" w:eastAsia="微软雅黑" w:hAnsi="微软雅黑" w:cs="微软雅黑" w:hint="eastAsia"/>
          <w:szCs w:val="24"/>
        </w:rPr>
        <w:t>知识库的管理</w:t>
      </w:r>
      <w:r>
        <w:tab/>
      </w:r>
      <w:r>
        <w:fldChar w:fldCharType="begin"/>
      </w:r>
      <w:r>
        <w:instrText xml:space="preserve"> PAGEREF _Toc30309 \h </w:instrText>
      </w:r>
      <w:r>
        <w:fldChar w:fldCharType="separate"/>
      </w:r>
      <w:r>
        <w:t>3</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_Toc24131 </w:instrText>
      </w:r>
      <w:r>
        <w:rPr>
          <w:rFonts w:ascii="仿宋" w:eastAsia="仿宋" w:hAnsi="仿宋" w:cs="仿宋" w:hint="eastAsia"/>
          <w:szCs w:val="24"/>
        </w:rPr>
        <w:fldChar w:fldCharType="separate"/>
      </w:r>
      <w:r>
        <w:rPr>
          <w:rFonts w:ascii="微软雅黑" w:hAnsi="微软雅黑" w:cs="微软雅黑" w:hint="eastAsia"/>
          <w:szCs w:val="24"/>
          <w:lang w:val="en-US" w:eastAsia="zh-CN"/>
        </w:rPr>
        <w:t>4</w:t>
      </w:r>
      <w:r>
        <w:rPr>
          <w:rFonts w:ascii="微软雅黑" w:hAnsi="微软雅黑" w:cs="微软雅黑" w:hint="eastAsia"/>
          <w:szCs w:val="24"/>
        </w:rPr>
        <w:t>.1知识库管理组织架构和职责说明</w:t>
      </w:r>
      <w:r>
        <w:tab/>
      </w:r>
      <w:r>
        <w:fldChar w:fldCharType="begin"/>
      </w:r>
      <w:r>
        <w:instrText xml:space="preserve"> PAGEREF _Toc24131 \h </w:instrText>
      </w:r>
      <w:r>
        <w:fldChar w:fldCharType="separate"/>
      </w:r>
      <w:r>
        <w:t>3</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_Toc7971 </w:instrText>
      </w:r>
      <w:r>
        <w:rPr>
          <w:rFonts w:ascii="仿宋" w:eastAsia="仿宋" w:hAnsi="仿宋" w:cs="仿宋" w:hint="eastAsia"/>
          <w:szCs w:val="24"/>
        </w:rPr>
        <w:fldChar w:fldCharType="separate"/>
      </w:r>
      <w:r>
        <w:rPr>
          <w:rFonts w:ascii="微软雅黑" w:hAnsi="微软雅黑" w:cs="微软雅黑" w:hint="eastAsia"/>
          <w:szCs w:val="24"/>
          <w:lang w:val="en-US" w:eastAsia="zh-CN"/>
        </w:rPr>
        <w:t>4</w:t>
      </w:r>
      <w:r>
        <w:rPr>
          <w:rFonts w:ascii="微软雅黑" w:hAnsi="微软雅黑" w:cs="微软雅黑" w:hint="eastAsia"/>
          <w:szCs w:val="24"/>
        </w:rPr>
        <w:t>.2知识库全生命周期管理</w:t>
      </w:r>
      <w:r>
        <w:tab/>
      </w:r>
      <w:r>
        <w:fldChar w:fldCharType="begin"/>
      </w:r>
      <w:r>
        <w:instrText xml:space="preserve"> PAGEREF _Toc7971 \h </w:instrText>
      </w:r>
      <w:r>
        <w:fldChar w:fldCharType="separate"/>
      </w:r>
      <w:r>
        <w:t>4</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_Toc24647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.2.1. 知识的收集及分类</w:t>
      </w:r>
      <w:r>
        <w:tab/>
      </w:r>
      <w:r>
        <w:fldChar w:fldCharType="begin"/>
      </w:r>
      <w:r>
        <w:instrText xml:space="preserve"> PAGEREF _Toc24647 \h </w:instrText>
      </w:r>
      <w:r>
        <w:fldChar w:fldCharType="separate"/>
      </w:r>
      <w:r>
        <w:t>4</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_Toc2562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.2.2. 知识分析</w:t>
      </w:r>
      <w:r>
        <w:tab/>
      </w:r>
      <w:r>
        <w:fldChar w:fldCharType="begin"/>
      </w:r>
      <w:r>
        <w:instrText xml:space="preserve"> PAGEREF _Toc2562 \h </w:instrText>
      </w:r>
      <w:r>
        <w:fldChar w:fldCharType="separate"/>
      </w:r>
      <w:r>
        <w:t>5</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_Toc7181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.2.3. 知识审核</w:t>
      </w:r>
      <w:r>
        <w:tab/>
      </w:r>
      <w:r>
        <w:fldChar w:fldCharType="begin"/>
      </w:r>
      <w:r>
        <w:instrText xml:space="preserve"> PAGEREF _Toc7181 \h </w:instrText>
      </w:r>
      <w:r>
        <w:fldChar w:fldCharType="separate"/>
      </w:r>
      <w:r>
        <w:t>6</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_Toc29731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.2.4. 知识审批</w:t>
      </w:r>
      <w:r>
        <w:tab/>
      </w:r>
      <w:r>
        <w:fldChar w:fldCharType="begin"/>
      </w:r>
      <w:r>
        <w:instrText xml:space="preserve"> PAGEREF _Toc29731 \h </w:instrText>
      </w:r>
      <w:r>
        <w:fldChar w:fldCharType="separate"/>
      </w:r>
      <w:r>
        <w:t>6</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_Toc19826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.2.5. 知识发布</w:t>
      </w:r>
      <w:r>
        <w:tab/>
      </w:r>
      <w:r>
        <w:fldChar w:fldCharType="begin"/>
      </w:r>
      <w:r>
        <w:instrText xml:space="preserve"> PAGEREF _Toc19826 \h </w:instrText>
      </w:r>
      <w:r>
        <w:fldChar w:fldCharType="separate"/>
      </w:r>
      <w:r>
        <w:t>6</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_Toc14403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.2.6. 知识退出</w:t>
      </w:r>
      <w:r>
        <w:tab/>
      </w:r>
      <w:r>
        <w:fldChar w:fldCharType="begin"/>
      </w:r>
      <w:r>
        <w:instrText xml:space="preserve"> PAGEREF _Toc14403 \h </w:instrText>
      </w:r>
      <w:r>
        <w:fldChar w:fldCharType="separate"/>
      </w:r>
      <w:r>
        <w:t>6</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_Toc320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.2.7. 知识生命周期</w:t>
      </w:r>
      <w:r>
        <w:tab/>
      </w:r>
      <w:r>
        <w:fldChar w:fldCharType="begin"/>
      </w:r>
      <w:r>
        <w:instrText xml:space="preserve"> PAGEREF _Toc320 \h </w:instrText>
      </w:r>
      <w:r>
        <w:fldChar w:fldCharType="separate"/>
      </w:r>
      <w:r>
        <w:t>6</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_Toc230 </w:instrText>
      </w:r>
      <w:r>
        <w:rPr>
          <w:rFonts w:ascii="仿宋" w:eastAsia="仿宋" w:hAnsi="仿宋" w:cs="仿宋" w:hint="eastAsia"/>
          <w:szCs w:val="24"/>
        </w:rPr>
        <w:fldChar w:fldCharType="separate"/>
      </w:r>
      <w:r>
        <w:rPr>
          <w:rFonts w:ascii="微软雅黑" w:hAnsi="微软雅黑" w:cs="微软雅黑" w:hint="eastAsia"/>
          <w:szCs w:val="24"/>
          <w:lang w:val="en-US" w:eastAsia="zh-CN"/>
        </w:rPr>
        <w:t>4</w:t>
      </w:r>
      <w:r>
        <w:rPr>
          <w:rFonts w:ascii="微软雅黑" w:hAnsi="微软雅黑" w:cs="微软雅黑" w:hint="eastAsia"/>
          <w:szCs w:val="24"/>
        </w:rPr>
        <w:t>.3知识库管理流程</w:t>
      </w:r>
      <w:r>
        <w:tab/>
      </w:r>
      <w:r>
        <w:fldChar w:fldCharType="begin"/>
      </w:r>
      <w:r>
        <w:instrText xml:space="preserve"> PAGEREF _Toc230 \h </w:instrText>
      </w:r>
      <w:r>
        <w:fldChar w:fldCharType="separate"/>
      </w:r>
      <w:r>
        <w:t>7</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_Toc19789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.3.1. 知识新增流程</w:t>
      </w:r>
      <w:r>
        <w:tab/>
      </w:r>
      <w:r>
        <w:fldChar w:fldCharType="begin"/>
      </w:r>
      <w:r>
        <w:instrText xml:space="preserve"> PAGEREF _Toc19789 \h </w:instrText>
      </w:r>
      <w:r>
        <w:fldChar w:fldCharType="separate"/>
      </w:r>
      <w:r>
        <w:t>7</w:t>
      </w:r>
      <w:r>
        <w:fldChar w:fldCharType="end"/>
      </w:r>
      <w:r>
        <w:rPr>
          <w:rFonts w:ascii="仿宋" w:eastAsia="仿宋" w:hAnsi="仿宋" w:cs="仿宋" w:hint="eastAsia"/>
          <w:szCs w:val="24"/>
        </w:rPr>
        <w:fldChar w:fldCharType="end"/>
      </w:r>
    </w:p>
    <w:p>
      <w:pPr>
        <w:pStyle w:val="TOC3"/>
        <w:tabs>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_Toc13437 </w:instrText>
      </w:r>
      <w:r>
        <w:rPr>
          <w:rFonts w:ascii="仿宋" w:eastAsia="仿宋" w:hAnsi="仿宋" w:cs="仿宋" w:hint="eastAsia"/>
          <w:szCs w:val="24"/>
        </w:rPr>
        <w:fldChar w:fldCharType="separate"/>
      </w:r>
      <w:r>
        <w:rPr>
          <w:rFonts w:ascii="微软雅黑" w:eastAsia="微软雅黑" w:hAnsi="微软雅黑" w:cs="微软雅黑" w:hint="eastAsia"/>
          <w:szCs w:val="24"/>
          <w:lang w:val="en-US" w:eastAsia="zh-CN"/>
        </w:rPr>
        <w:t>4</w:t>
      </w:r>
      <w:r>
        <w:rPr>
          <w:rFonts w:ascii="微软雅黑" w:eastAsia="微软雅黑" w:hAnsi="微软雅黑" w:cs="微软雅黑" w:hint="eastAsia"/>
          <w:szCs w:val="24"/>
        </w:rPr>
        <w:t>.3.2.知识退出流程</w:t>
      </w:r>
      <w:r>
        <w:tab/>
      </w:r>
      <w:r>
        <w:fldChar w:fldCharType="begin"/>
      </w:r>
      <w:r>
        <w:instrText xml:space="preserve"> PAGEREF _Toc13437 \h </w:instrText>
      </w:r>
      <w:r>
        <w:fldChar w:fldCharType="separate"/>
      </w:r>
      <w:r>
        <w:t>8</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_Toc20077 </w:instrText>
      </w:r>
      <w:r>
        <w:rPr>
          <w:rFonts w:ascii="仿宋" w:eastAsia="仿宋" w:hAnsi="仿宋" w:cs="仿宋" w:hint="eastAsia"/>
          <w:szCs w:val="24"/>
        </w:rPr>
        <w:fldChar w:fldCharType="separate"/>
      </w:r>
      <w:r>
        <w:rPr>
          <w:rFonts w:ascii="微软雅黑" w:hAnsi="微软雅黑" w:cs="微软雅黑" w:hint="eastAsia"/>
          <w:szCs w:val="24"/>
          <w:lang w:val="en-US" w:eastAsia="zh-CN"/>
        </w:rPr>
        <w:t>4</w:t>
      </w:r>
      <w:r>
        <w:rPr>
          <w:rFonts w:ascii="微软雅黑" w:hAnsi="微软雅黑" w:cs="微软雅黑" w:hint="eastAsia"/>
          <w:szCs w:val="24"/>
        </w:rPr>
        <w:t>.4知识库内容推进管理</w:t>
      </w:r>
      <w:r>
        <w:tab/>
      </w:r>
      <w:r>
        <w:fldChar w:fldCharType="begin"/>
      </w:r>
      <w:r>
        <w:instrText xml:space="preserve"> PAGEREF _Toc20077 \h </w:instrText>
      </w:r>
      <w:r>
        <w:fldChar w:fldCharType="separate"/>
      </w:r>
      <w:r>
        <w:t>8</w:t>
      </w:r>
      <w:r>
        <w:fldChar w:fldCharType="end"/>
      </w:r>
      <w:r>
        <w:rPr>
          <w:rFonts w:ascii="仿宋" w:eastAsia="仿宋" w:hAnsi="仿宋" w:cs="仿宋" w:hint="eastAsia"/>
          <w:szCs w:val="24"/>
        </w:rPr>
        <w:fldChar w:fldCharType="end"/>
      </w:r>
    </w:p>
    <w:p>
      <w:pPr>
        <w:pStyle w:val="TOC2"/>
        <w:tabs>
          <w:tab w:val="clear" w:pos="8296"/>
          <w:tab w:val="right" w:leader="dot" w:pos="8306"/>
        </w:tabs>
      </w:pPr>
      <w:r>
        <w:rPr>
          <w:rFonts w:ascii="仿宋" w:eastAsia="仿宋" w:hAnsi="仿宋" w:cs="仿宋" w:hint="eastAsia"/>
          <w:szCs w:val="24"/>
        </w:rPr>
        <w:fldChar w:fldCharType="begin"/>
      </w:r>
      <w:r>
        <w:rPr>
          <w:rFonts w:ascii="仿宋" w:eastAsia="仿宋" w:hAnsi="仿宋" w:cs="仿宋" w:hint="eastAsia"/>
          <w:szCs w:val="24"/>
        </w:rPr>
        <w:instrText xml:space="preserve"> HYPERLINK \l _Toc13327 </w:instrText>
      </w:r>
      <w:r>
        <w:rPr>
          <w:rFonts w:ascii="仿宋" w:eastAsia="仿宋" w:hAnsi="仿宋" w:cs="仿宋" w:hint="eastAsia"/>
          <w:szCs w:val="24"/>
        </w:rPr>
        <w:fldChar w:fldCharType="separate"/>
      </w:r>
      <w:r>
        <w:rPr>
          <w:rFonts w:ascii="微软雅黑" w:hAnsi="微软雅黑" w:cs="微软雅黑" w:hint="eastAsia"/>
          <w:szCs w:val="24"/>
          <w:lang w:val="en-US" w:eastAsia="zh-CN"/>
        </w:rPr>
        <w:t>4</w:t>
      </w:r>
      <w:r>
        <w:rPr>
          <w:rFonts w:ascii="微软雅黑" w:hAnsi="微软雅黑" w:cs="微软雅黑" w:hint="eastAsia"/>
          <w:szCs w:val="24"/>
        </w:rPr>
        <w:t>.5知识库安全管理</w:t>
      </w:r>
      <w:r>
        <w:tab/>
      </w:r>
      <w:r>
        <w:fldChar w:fldCharType="begin"/>
      </w:r>
      <w:r>
        <w:instrText xml:space="preserve"> PAGEREF _Toc13327 \h </w:instrText>
      </w:r>
      <w:r>
        <w:fldChar w:fldCharType="separate"/>
      </w:r>
      <w:r>
        <w:t>9</w:t>
      </w:r>
      <w:r>
        <w:fldChar w:fldCharType="end"/>
      </w:r>
      <w:r>
        <w:rPr>
          <w:rFonts w:ascii="仿宋" w:eastAsia="仿宋" w:hAnsi="仿宋" w:cs="仿宋" w:hint="eastAsia"/>
          <w:szCs w:val="24"/>
        </w:rPr>
        <w:fldChar w:fldCharType="end"/>
      </w:r>
    </w:p>
    <w:p>
      <w:pPr>
        <w:spacing w:line="360" w:lineRule="auto"/>
        <w:rPr>
          <w:rFonts w:ascii="仿宋" w:eastAsia="仿宋" w:hAnsi="仿宋"/>
          <w:sz w:val="24"/>
          <w:szCs w:val="24"/>
        </w:rPr>
        <w:sectPr>
          <w:footerReference w:type="default" r:id="rId8"/>
          <w:pgSz w:w="11906" w:h="16838"/>
          <w:pgMar w:top="1440" w:right="1800" w:bottom="1440" w:left="1800" w:header="851" w:footer="992" w:gutter="0"/>
          <w:cols w:num="1" w:space="425"/>
          <w:docGrid w:type="lines" w:linePitch="312" w:charSpace="0"/>
        </w:sectPr>
      </w:pPr>
      <w:r>
        <w:rPr>
          <w:rFonts w:ascii="仿宋" w:eastAsia="仿宋" w:hAnsi="仿宋" w:cs="仿宋" w:hint="eastAsia"/>
          <w:szCs w:val="24"/>
        </w:rPr>
        <w:fldChar w:fldCharType="end"/>
      </w: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1" w:name="_Toc440902778"/>
      <w:bookmarkStart w:id="2" w:name="_Toc462498825"/>
      <w:bookmarkStart w:id="3" w:name="_Toc29589"/>
      <w:r>
        <w:rPr>
          <w:rFonts w:ascii="微软雅黑" w:eastAsia="微软雅黑" w:hAnsi="微软雅黑" w:cs="微软雅黑" w:hint="eastAsia"/>
          <w:sz w:val="24"/>
          <w:szCs w:val="24"/>
        </w:rPr>
        <w:t>总则</w:t>
      </w:r>
      <w:bookmarkEnd w:id="1"/>
      <w:bookmarkEnd w:id="2"/>
      <w:bookmarkEnd w:id="3"/>
    </w:p>
    <w:p>
      <w:pPr>
        <w:pStyle w:val="Heading2"/>
        <w:spacing w:before="0" w:after="0" w:line="360" w:lineRule="auto"/>
        <w:jc w:val="left"/>
        <w:rPr>
          <w:rFonts w:ascii="微软雅黑" w:hAnsi="微软雅黑" w:cs="微软雅黑"/>
          <w:szCs w:val="24"/>
        </w:rPr>
      </w:pPr>
      <w:bookmarkStart w:id="4" w:name="_Toc462498826"/>
      <w:bookmarkStart w:id="5" w:name="_Toc4656"/>
      <w:bookmarkStart w:id="6" w:name="_Toc440902779"/>
      <w:r>
        <w:rPr>
          <w:rFonts w:ascii="微软雅黑" w:hAnsi="微软雅黑" w:cs="微软雅黑" w:hint="eastAsia"/>
          <w:szCs w:val="24"/>
        </w:rPr>
        <w:t>1.1制定目的</w:t>
      </w:r>
      <w:bookmarkEnd w:id="4"/>
      <w:bookmarkEnd w:id="5"/>
      <w:bookmarkEnd w:id="6"/>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为规范公司知识库管理，鼓励知识创造与传播，推进知识成果共享，进一步提升公司知识库管理水平，确保公司知识资产得到有效积累与传递。通过对公司知识库的建立与管理，用以保证公司知识库的准确性、有效性和完整性以及明确运维人员在知识库流程中的职责，并逐步建立完善高效和可靠的知识库信息交流平台，特制定本制度。</w:t>
      </w:r>
    </w:p>
    <w:p>
      <w:pPr>
        <w:pStyle w:val="Heading2"/>
        <w:spacing w:before="0" w:after="0" w:line="360" w:lineRule="auto"/>
        <w:jc w:val="left"/>
        <w:rPr>
          <w:rFonts w:ascii="微软雅黑" w:hAnsi="微软雅黑" w:cs="微软雅黑"/>
          <w:szCs w:val="24"/>
        </w:rPr>
      </w:pPr>
      <w:bookmarkStart w:id="7" w:name="_Toc19558"/>
      <w:bookmarkStart w:id="8" w:name="_Toc462498827"/>
      <w:bookmarkStart w:id="9" w:name="_Toc440902780"/>
      <w:r>
        <w:rPr>
          <w:rFonts w:ascii="微软雅黑" w:hAnsi="微软雅黑" w:cs="微软雅黑" w:hint="eastAsia"/>
          <w:szCs w:val="24"/>
        </w:rPr>
        <w:t>1.2制定目标</w:t>
      </w:r>
      <w:bookmarkEnd w:id="7"/>
      <w:bookmarkEnd w:id="8"/>
      <w:bookmarkEnd w:id="9"/>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运维人员通过搜索知识库，参照相关知识条目，可以自主帮用户解决问题，在很大程度上可以提高工作效率以及提升客户满意度。</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运维相关人员所需知识的信息源得以识别和分类。</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运维相关人员所需知识得以使用和分享。</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分享植入到企业文化之中，把支持公司各方面工作的信息、知识管理起来，提高工作效率、保证工作质量、降低工作成本。将最恰当的知识在最恰当的时间传递给最恰当的人；使公司全体员工掌握好公司知识，建立和强化公司的核心利润源，谋取公司长期的、稳定的、增长的利润。</w:t>
      </w:r>
    </w:p>
    <w:p>
      <w:pPr>
        <w:pStyle w:val="Heading2"/>
        <w:spacing w:before="0" w:after="0" w:line="360" w:lineRule="auto"/>
        <w:jc w:val="left"/>
        <w:rPr>
          <w:rFonts w:ascii="微软雅黑" w:hAnsi="微软雅黑" w:cs="微软雅黑"/>
          <w:szCs w:val="24"/>
        </w:rPr>
      </w:pPr>
      <w:bookmarkStart w:id="10" w:name="_Toc440902781"/>
      <w:bookmarkStart w:id="11" w:name="_Toc6883"/>
      <w:bookmarkStart w:id="12" w:name="_Toc462498828"/>
      <w:r>
        <w:rPr>
          <w:rFonts w:ascii="微软雅黑" w:hAnsi="微软雅黑" w:cs="微软雅黑" w:hint="eastAsia"/>
          <w:szCs w:val="24"/>
        </w:rPr>
        <w:t>1.3知识库价值</w:t>
      </w:r>
      <w:bookmarkEnd w:id="10"/>
      <w:bookmarkEnd w:id="11"/>
      <w:bookmarkEnd w:id="12"/>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实现知识共享，典型案例是许多企业的运维服务人员常常重复解决用户的相同问题。如果多数问题及其解决方案都可以从知识库中简单、方便获取，从而将运维服务人员从重复性的工作中解放出来，着手解决其他新的问题，从而达到提升工作效率，降低运维成本的目的。</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实现知识转化，知识库的建立极大地促进了知识转化，有利于提高运维组的整体水平。</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避免知识流失，知识共享同时也意味着避免信息孤岛和知识流失。许多隐性知识集中在岗位工作人员的脑子里，一些应用的操作或故障解决方法可能起初只有开发人员知道，知识库管理可以有效避免由人员流失造成的知识流失。</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高运维响应速度和质量、数量及知识结构都达到一定标准的知识库，作为运维知识的强大储备库，加之运维知识库工具应具备方便、高效的搜索功能，无疑是快速响应运维服务需求的捷径。而能够进入知识库的解决方法一般来说是最正确、标准和高效的。快速、高质量的解决故障意味着提升客户满意度，而这无疑是运维服务的最终目的。</w:t>
      </w:r>
    </w:p>
    <w:p>
      <w:pPr>
        <w:pStyle w:val="Heading2"/>
        <w:spacing w:before="0" w:after="0" w:line="360" w:lineRule="auto"/>
        <w:jc w:val="left"/>
        <w:rPr>
          <w:rFonts w:ascii="微软雅黑" w:hAnsi="微软雅黑" w:cs="微软雅黑"/>
          <w:szCs w:val="24"/>
        </w:rPr>
      </w:pPr>
      <w:bookmarkStart w:id="13" w:name="_Toc402535933"/>
      <w:bookmarkStart w:id="14" w:name="_Toc440902782"/>
      <w:bookmarkStart w:id="15" w:name="_Toc462498829"/>
      <w:bookmarkStart w:id="16" w:name="_Toc14978"/>
      <w:r>
        <w:rPr>
          <w:rFonts w:ascii="微软雅黑" w:hAnsi="微软雅黑" w:cs="微软雅黑" w:hint="eastAsia"/>
          <w:szCs w:val="24"/>
        </w:rPr>
        <w:t>1.4知识库内容</w:t>
      </w:r>
      <w:bookmarkEnd w:id="13"/>
      <w:bookmarkEnd w:id="14"/>
      <w:bookmarkEnd w:id="15"/>
      <w:bookmarkEnd w:id="16"/>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运维部</w:t>
      </w:r>
      <w:r>
        <w:rPr>
          <w:rFonts w:ascii="微软雅黑" w:eastAsia="微软雅黑" w:hAnsi="微软雅黑" w:cs="微软雅黑" w:hint="eastAsia"/>
          <w:sz w:val="24"/>
          <w:szCs w:val="24"/>
          <w:lang w:val="en-US" w:eastAsia="zh-CN"/>
        </w:rPr>
        <w:t>日常工作活动</w:t>
      </w:r>
      <w:r>
        <w:rPr>
          <w:rFonts w:ascii="微软雅黑" w:eastAsia="微软雅黑" w:hAnsi="微软雅黑" w:cs="微软雅黑" w:hint="eastAsia"/>
          <w:sz w:val="24"/>
          <w:szCs w:val="24"/>
        </w:rPr>
        <w:t>所产生的知识。</w:t>
      </w:r>
    </w:p>
    <w:p>
      <w:pPr>
        <w:pStyle w:val="Heading2"/>
        <w:spacing w:before="0" w:after="0" w:line="360" w:lineRule="auto"/>
        <w:jc w:val="left"/>
        <w:rPr>
          <w:rFonts w:ascii="微软雅黑" w:hAnsi="微软雅黑" w:cs="微软雅黑"/>
          <w:szCs w:val="24"/>
        </w:rPr>
      </w:pPr>
      <w:bookmarkStart w:id="17" w:name="_Toc402535932"/>
      <w:bookmarkStart w:id="18" w:name="_Toc440902783"/>
      <w:bookmarkStart w:id="19" w:name="_Toc462498830"/>
      <w:bookmarkStart w:id="20" w:name="_Toc29457"/>
      <w:r>
        <w:rPr>
          <w:rFonts w:ascii="微软雅黑" w:hAnsi="微软雅黑" w:cs="微软雅黑" w:hint="eastAsia"/>
          <w:szCs w:val="24"/>
        </w:rPr>
        <w:t>1.</w:t>
      </w:r>
      <w:bookmarkEnd w:id="17"/>
      <w:r>
        <w:rPr>
          <w:rFonts w:ascii="微软雅黑" w:hAnsi="微软雅黑" w:cs="微软雅黑" w:hint="eastAsia"/>
          <w:szCs w:val="24"/>
        </w:rPr>
        <w:t>5适用范围</w:t>
      </w:r>
      <w:bookmarkEnd w:id="18"/>
      <w:bookmarkEnd w:id="19"/>
      <w:bookmarkEnd w:id="20"/>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适用于甘肃国邦信息科技有限公司所有成员。</w:t>
      </w: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21" w:name="_Toc6413"/>
      <w:bookmarkStart w:id="22" w:name="_Toc440902784"/>
      <w:bookmarkStart w:id="23" w:name="_Toc402535936"/>
      <w:bookmarkStart w:id="24" w:name="_Toc462498831"/>
      <w:r>
        <w:rPr>
          <w:rFonts w:ascii="微软雅黑" w:eastAsia="微软雅黑" w:hAnsi="微软雅黑" w:cs="微软雅黑" w:hint="eastAsia"/>
          <w:sz w:val="24"/>
          <w:szCs w:val="24"/>
        </w:rPr>
        <w:t>术语</w:t>
      </w:r>
      <w:bookmarkEnd w:id="21"/>
      <w:bookmarkEnd w:id="22"/>
      <w:bookmarkEnd w:id="23"/>
      <w:bookmarkEnd w:id="24"/>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本管理制度所界定的知识是指公司的运维人员在工作的过程中处理问题的经验以及具体技术服务环节的技能经验，解决方案以及技术手册等。</w:t>
      </w:r>
    </w:p>
    <w:p>
      <w:pPr>
        <w:spacing w:line="360" w:lineRule="auto"/>
        <w:ind w:firstLine="420" w:firstLineChars="200"/>
        <w:jc w:val="left"/>
        <w:rPr>
          <w:rFonts w:ascii="微软雅黑" w:eastAsia="微软雅黑" w:hAnsi="微软雅黑" w:cs="微软雅黑" w:hint="eastAsia"/>
          <w:sz w:val="24"/>
          <w:szCs w:val="24"/>
        </w:rPr>
      </w:pPr>
      <w:r>
        <w:rPr>
          <w:rFonts w:ascii="微软雅黑" w:eastAsia="微软雅黑" w:hAnsi="微软雅黑" w:cs="微软雅黑" w:hint="eastAsia"/>
          <w:sz w:val="24"/>
          <w:szCs w:val="24"/>
        </w:rPr>
        <w:t>其中包括：故障处理报告、巡检报告以及为了处理某一个问题的操作参考文件、原则、重要提示、案例、关键细节等。</w:t>
      </w:r>
    </w:p>
    <w:p>
      <w:pPr>
        <w:pStyle w:val="Heading1"/>
        <w:numPr>
          <w:ilvl w:val="0"/>
          <w:numId w:val="1"/>
        </w:numPr>
        <w:spacing w:before="0" w:after="0" w:line="360" w:lineRule="auto"/>
        <w:ind w:left="0" w:firstLine="0"/>
        <w:jc w:val="left"/>
        <w:rPr>
          <w:rFonts w:ascii="微软雅黑" w:eastAsia="微软雅黑" w:hAnsi="微软雅黑" w:cs="微软雅黑" w:hint="eastAsia"/>
          <w:sz w:val="24"/>
          <w:szCs w:val="24"/>
          <w:lang w:val="en-US" w:eastAsia="zh-CN"/>
        </w:rPr>
      </w:pPr>
      <w:bookmarkStart w:id="25" w:name="_Toc13901"/>
      <w:r>
        <w:rPr>
          <w:rFonts w:ascii="微软雅黑" w:eastAsia="微软雅黑" w:hAnsi="微软雅黑" w:cs="微软雅黑" w:hint="eastAsia"/>
          <w:sz w:val="24"/>
          <w:szCs w:val="24"/>
          <w:lang w:val="en-US" w:eastAsia="zh-CN"/>
        </w:rPr>
        <w:t>知识库管理指标</w:t>
      </w:r>
      <w:bookmarkEnd w:id="25"/>
    </w:p>
    <w:p>
      <w:pPr>
        <w:rPr>
          <w:rFonts w:ascii="微软雅黑" w:eastAsia="微软雅黑" w:hAnsi="微软雅黑" w:cs="微软雅黑" w:hint="eastAsia"/>
          <w:sz w:val="24"/>
          <w:szCs w:val="24"/>
          <w:lang w:val="en-US" w:eastAsia="zh-CN"/>
        </w:rPr>
      </w:pPr>
      <w:r>
        <w:rPr>
          <w:rFonts w:ascii="微软雅黑" w:eastAsia="微软雅黑" w:hAnsi="微软雅黑" w:cs="微软雅黑" w:hint="eastAsia"/>
          <w:sz w:val="24"/>
          <w:szCs w:val="24"/>
          <w:lang w:val="en-US" w:eastAsia="zh-CN"/>
        </w:rPr>
        <w:t>知识库增加条目数量≥5条/月</w:t>
      </w:r>
    </w:p>
    <w:p>
      <w:pPr>
        <w:rPr>
          <w:rFonts w:hint="default"/>
          <w:lang w:val="en-US" w:eastAsia="zh-CN"/>
        </w:rPr>
      </w:pPr>
      <w:r>
        <w:rPr>
          <w:rFonts w:ascii="微软雅黑" w:eastAsia="微软雅黑" w:hAnsi="微软雅黑" w:cs="微软雅黑" w:hint="eastAsia"/>
          <w:sz w:val="24"/>
          <w:szCs w:val="24"/>
          <w:lang w:val="en-US" w:eastAsia="zh-CN"/>
        </w:rPr>
        <w:t>知识库增加条目数量=实际加入知识库的条目数量</w:t>
      </w:r>
    </w:p>
    <w:p>
      <w:pPr>
        <w:pStyle w:val="Heading1"/>
        <w:numPr>
          <w:ilvl w:val="0"/>
          <w:numId w:val="1"/>
        </w:numPr>
        <w:spacing w:before="0" w:after="0" w:line="360" w:lineRule="auto"/>
        <w:ind w:left="0" w:firstLine="0"/>
        <w:jc w:val="left"/>
        <w:rPr>
          <w:rFonts w:ascii="微软雅黑" w:eastAsia="微软雅黑" w:hAnsi="微软雅黑" w:cs="微软雅黑"/>
          <w:sz w:val="24"/>
          <w:szCs w:val="24"/>
        </w:rPr>
      </w:pPr>
      <w:bookmarkStart w:id="26" w:name="_Toc30309"/>
      <w:bookmarkStart w:id="27" w:name="_Toc402535937"/>
      <w:bookmarkStart w:id="28" w:name="_Toc462498832"/>
      <w:bookmarkStart w:id="29" w:name="_Toc440902785"/>
      <w:r>
        <w:rPr>
          <w:rFonts w:ascii="微软雅黑" w:eastAsia="微软雅黑" w:hAnsi="微软雅黑" w:cs="微软雅黑" w:hint="eastAsia"/>
          <w:sz w:val="24"/>
          <w:szCs w:val="24"/>
        </w:rPr>
        <w:t>知识库的管理</w:t>
      </w:r>
      <w:bookmarkEnd w:id="26"/>
      <w:bookmarkEnd w:id="27"/>
      <w:bookmarkEnd w:id="28"/>
      <w:bookmarkEnd w:id="29"/>
    </w:p>
    <w:p>
      <w:pPr>
        <w:pStyle w:val="Heading2"/>
        <w:spacing w:before="0" w:after="0" w:line="360" w:lineRule="auto"/>
        <w:jc w:val="left"/>
        <w:rPr>
          <w:rFonts w:ascii="微软雅黑" w:hAnsi="微软雅黑" w:cs="微软雅黑"/>
          <w:szCs w:val="24"/>
        </w:rPr>
      </w:pPr>
      <w:bookmarkStart w:id="30" w:name="_Toc24131"/>
      <w:bookmarkStart w:id="31" w:name="_Toc402535938"/>
      <w:bookmarkStart w:id="32" w:name="_Toc440902786"/>
      <w:bookmarkStart w:id="33" w:name="_Toc462498833"/>
      <w:r>
        <w:rPr>
          <w:rFonts w:ascii="微软雅黑" w:hAnsi="微软雅黑" w:cs="微软雅黑" w:hint="eastAsia"/>
          <w:szCs w:val="24"/>
          <w:lang w:val="en-US" w:eastAsia="zh-CN"/>
        </w:rPr>
        <w:t>4</w:t>
      </w:r>
      <w:r>
        <w:rPr>
          <w:rFonts w:ascii="微软雅黑" w:hAnsi="微软雅黑" w:cs="微软雅黑" w:hint="eastAsia"/>
          <w:szCs w:val="24"/>
        </w:rPr>
        <w:t>.1知识库管理组织架构和职责说明</w:t>
      </w:r>
      <w:bookmarkEnd w:id="30"/>
      <w:bookmarkEnd w:id="31"/>
      <w:bookmarkEnd w:id="32"/>
      <w:bookmarkEnd w:id="33"/>
    </w:p>
    <w:tbl>
      <w:tblPr>
        <w:tblStyle w:val="TableNormal"/>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140"/>
        <w:gridCol w:w="1848"/>
        <w:gridCol w:w="4095"/>
        <w:gridCol w:w="1213"/>
      </w:tblGrid>
      <w:tr>
        <w:tblPrEx>
          <w:tblW w:w="829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80"/>
        </w:trPr>
        <w:tc>
          <w:tcPr>
            <w:tcW w:w="1140" w:type="dxa"/>
            <w:shd w:val="clear" w:color="auto" w:fill="auto"/>
            <w:vAlign w:val="center"/>
          </w:tcPr>
          <w:p>
            <w:pPr>
              <w:pStyle w:val="a2"/>
              <w:spacing w:line="360" w:lineRule="auto"/>
              <w:rPr>
                <w:rFonts w:ascii="微软雅黑" w:eastAsia="微软雅黑" w:hAnsi="微软雅黑" w:cs="微软雅黑"/>
                <w:b/>
                <w:color w:val="auto"/>
                <w:sz w:val="24"/>
                <w:szCs w:val="24"/>
              </w:rPr>
            </w:pPr>
            <w:r>
              <w:rPr>
                <w:rFonts w:ascii="微软雅黑" w:eastAsia="微软雅黑" w:hAnsi="微软雅黑" w:cs="微软雅黑" w:hint="eastAsia"/>
                <w:b/>
                <w:color w:val="auto"/>
                <w:sz w:val="24"/>
                <w:szCs w:val="24"/>
              </w:rPr>
              <w:t>角色</w:t>
            </w:r>
          </w:p>
        </w:tc>
        <w:tc>
          <w:tcPr>
            <w:tcW w:w="1848" w:type="dxa"/>
            <w:shd w:val="clear" w:color="auto" w:fill="auto"/>
            <w:vAlign w:val="center"/>
          </w:tcPr>
          <w:p>
            <w:pPr>
              <w:pStyle w:val="a2"/>
              <w:spacing w:line="360" w:lineRule="auto"/>
              <w:rPr>
                <w:rFonts w:ascii="微软雅黑" w:eastAsia="微软雅黑" w:hAnsi="微软雅黑" w:cs="微软雅黑"/>
                <w:b/>
                <w:color w:val="auto"/>
                <w:sz w:val="24"/>
                <w:szCs w:val="24"/>
              </w:rPr>
            </w:pPr>
            <w:r>
              <w:rPr>
                <w:rFonts w:ascii="微软雅黑" w:eastAsia="微软雅黑" w:hAnsi="微软雅黑" w:cs="微软雅黑" w:hint="eastAsia"/>
                <w:b/>
                <w:color w:val="auto"/>
                <w:sz w:val="24"/>
                <w:szCs w:val="24"/>
              </w:rPr>
              <w:t>职责</w:t>
            </w:r>
          </w:p>
        </w:tc>
        <w:tc>
          <w:tcPr>
            <w:tcW w:w="4095" w:type="dxa"/>
            <w:shd w:val="clear" w:color="auto" w:fill="auto"/>
            <w:vAlign w:val="center"/>
          </w:tcPr>
          <w:p>
            <w:pPr>
              <w:pStyle w:val="a2"/>
              <w:spacing w:line="360" w:lineRule="auto"/>
              <w:rPr>
                <w:rFonts w:ascii="微软雅黑" w:eastAsia="微软雅黑" w:hAnsi="微软雅黑" w:cs="微软雅黑"/>
                <w:b/>
                <w:color w:val="auto"/>
                <w:sz w:val="24"/>
                <w:szCs w:val="24"/>
              </w:rPr>
            </w:pPr>
            <w:r>
              <w:rPr>
                <w:rFonts w:ascii="微软雅黑" w:eastAsia="微软雅黑" w:hAnsi="微软雅黑" w:cs="微软雅黑" w:hint="eastAsia"/>
                <w:b/>
                <w:color w:val="auto"/>
                <w:sz w:val="24"/>
                <w:szCs w:val="24"/>
              </w:rPr>
              <w:t>职责定义</w:t>
            </w:r>
          </w:p>
        </w:tc>
        <w:tc>
          <w:tcPr>
            <w:tcW w:w="1213" w:type="dxa"/>
            <w:shd w:val="clear" w:color="auto" w:fill="auto"/>
            <w:vAlign w:val="center"/>
          </w:tcPr>
          <w:p>
            <w:pPr>
              <w:spacing w:line="360" w:lineRule="auto"/>
              <w:jc w:val="center"/>
              <w:rPr>
                <w:rFonts w:ascii="微软雅黑" w:eastAsia="微软雅黑" w:hAnsi="微软雅黑" w:cs="微软雅黑"/>
                <w:b/>
                <w:sz w:val="24"/>
                <w:szCs w:val="24"/>
              </w:rPr>
            </w:pPr>
            <w:r>
              <w:rPr>
                <w:rFonts w:ascii="微软雅黑" w:eastAsia="微软雅黑" w:hAnsi="微软雅黑" w:cs="微软雅黑" w:hint="eastAsia"/>
                <w:b/>
                <w:sz w:val="24"/>
                <w:szCs w:val="24"/>
              </w:rPr>
              <w:t>知识库操作权限</w:t>
            </w:r>
          </w:p>
        </w:tc>
      </w:tr>
      <w:tr>
        <w:tblPrEx>
          <w:tblW w:w="8296" w:type="dxa"/>
          <w:tblInd w:w="0" w:type="dxa"/>
          <w:tblLayout w:type="fixed"/>
          <w:tblCellMar>
            <w:top w:w="0" w:type="dxa"/>
            <w:left w:w="108" w:type="dxa"/>
            <w:bottom w:w="0" w:type="dxa"/>
            <w:right w:w="108" w:type="dxa"/>
          </w:tblCellMar>
        </w:tblPrEx>
        <w:trPr>
          <w:trHeight w:val="934"/>
        </w:trPr>
        <w:tc>
          <w:tcPr>
            <w:tcW w:w="1140"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运维部经理</w:t>
            </w:r>
          </w:p>
        </w:tc>
        <w:tc>
          <w:tcPr>
            <w:tcW w:w="1848"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组织和推动知识管理流程的实施、知识审核</w:t>
            </w:r>
          </w:p>
        </w:tc>
        <w:tc>
          <w:tcPr>
            <w:tcW w:w="4095" w:type="dxa"/>
          </w:tcPr>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对经过项目经理审核过的信息进行审核；</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组织和推动知识管理流程的在本项目组的实施，必要时建立项目级的知识库系统。</w:t>
            </w:r>
          </w:p>
        </w:tc>
        <w:tc>
          <w:tcPr>
            <w:tcW w:w="1213"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查阅、提交、审核</w:t>
            </w:r>
          </w:p>
        </w:tc>
      </w:tr>
      <w:tr>
        <w:tblPrEx>
          <w:tblW w:w="8296" w:type="dxa"/>
          <w:tblInd w:w="0" w:type="dxa"/>
          <w:tblLayout w:type="fixed"/>
          <w:tblCellMar>
            <w:top w:w="0" w:type="dxa"/>
            <w:left w:w="108" w:type="dxa"/>
            <w:bottom w:w="0" w:type="dxa"/>
            <w:right w:w="108" w:type="dxa"/>
          </w:tblCellMar>
        </w:tblPrEx>
        <w:trPr>
          <w:trHeight w:val="2241"/>
        </w:trPr>
        <w:tc>
          <w:tcPr>
            <w:tcW w:w="1140"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项目经理</w:t>
            </w:r>
          </w:p>
        </w:tc>
        <w:tc>
          <w:tcPr>
            <w:tcW w:w="1848"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解答常见问题，录入知识库，</w:t>
            </w:r>
          </w:p>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知识的记录和整理，知识审核</w:t>
            </w:r>
          </w:p>
          <w:p>
            <w:pPr>
              <w:pStyle w:val="a2"/>
              <w:spacing w:line="360" w:lineRule="auto"/>
              <w:rPr>
                <w:rFonts w:ascii="微软雅黑" w:eastAsia="微软雅黑" w:hAnsi="微软雅黑" w:cs="微软雅黑"/>
                <w:sz w:val="24"/>
                <w:szCs w:val="24"/>
              </w:rPr>
            </w:pPr>
          </w:p>
        </w:tc>
        <w:tc>
          <w:tcPr>
            <w:tcW w:w="4095" w:type="dxa"/>
          </w:tcPr>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对知识管理流程提出改进、优化建议；</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整理和更新技术资源；</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对技术实施过程进行记录和整理；</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对经过知识分析提交的信息进行审核和确认。</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定期组织对知识库的整体复核；</w:t>
            </w:r>
          </w:p>
        </w:tc>
        <w:tc>
          <w:tcPr>
            <w:tcW w:w="1213"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查阅、提交</w:t>
            </w:r>
          </w:p>
        </w:tc>
      </w:tr>
      <w:tr>
        <w:tblPrEx>
          <w:tblW w:w="8296" w:type="dxa"/>
          <w:tblInd w:w="0" w:type="dxa"/>
          <w:tblLayout w:type="fixed"/>
          <w:tblCellMar>
            <w:top w:w="0" w:type="dxa"/>
            <w:left w:w="108" w:type="dxa"/>
            <w:bottom w:w="0" w:type="dxa"/>
            <w:right w:w="108" w:type="dxa"/>
          </w:tblCellMar>
        </w:tblPrEx>
        <w:trPr>
          <w:trHeight w:val="705"/>
        </w:trPr>
        <w:tc>
          <w:tcPr>
            <w:tcW w:w="1140"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运维部组员</w:t>
            </w:r>
          </w:p>
        </w:tc>
        <w:tc>
          <w:tcPr>
            <w:tcW w:w="1848"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知识的记录和整理，贯彻执行知识管理流程</w:t>
            </w:r>
          </w:p>
        </w:tc>
        <w:tc>
          <w:tcPr>
            <w:tcW w:w="4095" w:type="dxa"/>
          </w:tcPr>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对技术实施过程进行记录和整理；</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技术文章和技术资源撰写和收集；</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对知识管理流程提出改进、优化建议；</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根据知识管理办法，进行知识收集、分析、生成和使用。</w:t>
            </w:r>
          </w:p>
        </w:tc>
        <w:tc>
          <w:tcPr>
            <w:tcW w:w="1213"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查阅、提交</w:t>
            </w:r>
          </w:p>
        </w:tc>
      </w:tr>
      <w:tr>
        <w:tblPrEx>
          <w:tblW w:w="8296" w:type="dxa"/>
          <w:tblInd w:w="0" w:type="dxa"/>
          <w:tblLayout w:type="fixed"/>
          <w:tblCellMar>
            <w:top w:w="0" w:type="dxa"/>
            <w:left w:w="108" w:type="dxa"/>
            <w:bottom w:w="0" w:type="dxa"/>
            <w:right w:w="108" w:type="dxa"/>
          </w:tblCellMar>
        </w:tblPrEx>
        <w:trPr>
          <w:trHeight w:val="981"/>
        </w:trPr>
        <w:tc>
          <w:tcPr>
            <w:tcW w:w="1140"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知识库管理员</w:t>
            </w:r>
          </w:p>
        </w:tc>
        <w:tc>
          <w:tcPr>
            <w:tcW w:w="1848"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知识库的日常管理</w:t>
            </w:r>
          </w:p>
        </w:tc>
        <w:tc>
          <w:tcPr>
            <w:tcW w:w="4095" w:type="dxa"/>
          </w:tcPr>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保证知识库设施的正常运行；</w:t>
            </w:r>
          </w:p>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知识库文章的发布、更新和删除。</w:t>
            </w:r>
          </w:p>
        </w:tc>
        <w:tc>
          <w:tcPr>
            <w:tcW w:w="1213"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增、删、查阅</w:t>
            </w:r>
          </w:p>
        </w:tc>
      </w:tr>
      <w:tr>
        <w:tblPrEx>
          <w:tblW w:w="8296" w:type="dxa"/>
          <w:tblInd w:w="0" w:type="dxa"/>
          <w:tblLayout w:type="fixed"/>
          <w:tblCellMar>
            <w:top w:w="0" w:type="dxa"/>
            <w:left w:w="108" w:type="dxa"/>
            <w:bottom w:w="0" w:type="dxa"/>
            <w:right w:w="108" w:type="dxa"/>
          </w:tblCellMar>
        </w:tblPrEx>
        <w:trPr>
          <w:trHeight w:val="981"/>
        </w:trPr>
        <w:tc>
          <w:tcPr>
            <w:tcW w:w="1140" w:type="dxa"/>
            <w:vAlign w:val="center"/>
          </w:tcPr>
          <w:p>
            <w:pPr>
              <w:pStyle w:val="a2"/>
              <w:spacing w:line="360" w:lineRule="auto"/>
              <w:rPr>
                <w:rFonts w:ascii="微软雅黑" w:eastAsia="微软雅黑" w:hAnsi="微软雅黑" w:cs="微软雅黑"/>
                <w:sz w:val="24"/>
                <w:szCs w:val="24"/>
              </w:rPr>
            </w:pPr>
            <w:bookmarkStart w:id="34" w:name="_Toc440902787"/>
            <w:bookmarkStart w:id="35" w:name="_Toc462498834"/>
            <w:bookmarkStart w:id="36" w:name="_Toc402535939"/>
            <w:r>
              <w:rPr>
                <w:rFonts w:ascii="微软雅黑" w:eastAsia="微软雅黑" w:hAnsi="微软雅黑" w:cs="微软雅黑" w:hint="eastAsia"/>
                <w:sz w:val="24"/>
                <w:szCs w:val="24"/>
              </w:rPr>
              <w:t>总经理</w:t>
            </w:r>
          </w:p>
        </w:tc>
        <w:tc>
          <w:tcPr>
            <w:tcW w:w="1848"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知识审批</w:t>
            </w:r>
          </w:p>
        </w:tc>
        <w:tc>
          <w:tcPr>
            <w:tcW w:w="4095" w:type="dxa"/>
          </w:tcPr>
          <w:p>
            <w:pPr>
              <w:pStyle w:val="a2"/>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对运维部门经理提交的知识条目及文档进行审批，批准知识入库和知识退出。</w:t>
            </w:r>
          </w:p>
        </w:tc>
        <w:tc>
          <w:tcPr>
            <w:tcW w:w="1213" w:type="dxa"/>
            <w:vAlign w:val="center"/>
          </w:tcPr>
          <w:p>
            <w:pPr>
              <w:pStyle w:val="a2"/>
              <w:spacing w:line="360" w:lineRule="auto"/>
              <w:rPr>
                <w:rFonts w:ascii="微软雅黑" w:eastAsia="微软雅黑" w:hAnsi="微软雅黑" w:cs="微软雅黑"/>
                <w:sz w:val="24"/>
                <w:szCs w:val="24"/>
              </w:rPr>
            </w:pPr>
            <w:r>
              <w:rPr>
                <w:rFonts w:ascii="微软雅黑" w:eastAsia="微软雅黑" w:hAnsi="微软雅黑" w:cs="微软雅黑" w:hint="eastAsia"/>
                <w:sz w:val="24"/>
                <w:szCs w:val="24"/>
              </w:rPr>
              <w:t>查询、提交、审批</w:t>
            </w:r>
          </w:p>
        </w:tc>
      </w:tr>
    </w:tbl>
    <w:p>
      <w:pPr>
        <w:pStyle w:val="Heading2"/>
        <w:spacing w:before="0" w:after="0" w:line="360" w:lineRule="auto"/>
        <w:jc w:val="left"/>
        <w:rPr>
          <w:rFonts w:ascii="微软雅黑" w:hAnsi="微软雅黑" w:cs="微软雅黑"/>
          <w:szCs w:val="24"/>
        </w:rPr>
      </w:pPr>
      <w:bookmarkStart w:id="37" w:name="_Toc7971"/>
      <w:r>
        <w:rPr>
          <w:rFonts w:ascii="微软雅黑" w:hAnsi="微软雅黑" w:cs="微软雅黑" w:hint="eastAsia"/>
          <w:szCs w:val="24"/>
          <w:lang w:val="en-US" w:eastAsia="zh-CN"/>
        </w:rPr>
        <w:t>4</w:t>
      </w:r>
      <w:r>
        <w:rPr>
          <w:rFonts w:ascii="微软雅黑" w:hAnsi="微软雅黑" w:cs="微软雅黑" w:hint="eastAsia"/>
          <w:szCs w:val="24"/>
        </w:rPr>
        <w:t>.2知识库全生命周期管理</w:t>
      </w:r>
      <w:bookmarkEnd w:id="34"/>
      <w:bookmarkEnd w:id="35"/>
      <w:bookmarkEnd w:id="36"/>
      <w:bookmarkEnd w:id="37"/>
    </w:p>
    <w:p>
      <w:pPr>
        <w:pStyle w:val="Heading3"/>
        <w:spacing w:before="0" w:after="0" w:line="360" w:lineRule="auto"/>
        <w:ind w:left="210" w:leftChars="100"/>
        <w:jc w:val="left"/>
        <w:rPr>
          <w:rFonts w:ascii="微软雅黑" w:eastAsia="微软雅黑" w:hAnsi="微软雅黑" w:cs="微软雅黑"/>
          <w:sz w:val="24"/>
          <w:szCs w:val="24"/>
        </w:rPr>
      </w:pPr>
      <w:bookmarkStart w:id="38" w:name="_Toc402535940"/>
      <w:bookmarkStart w:id="39" w:name="_Toc462498835"/>
      <w:bookmarkStart w:id="40" w:name="_Toc440902788"/>
      <w:bookmarkStart w:id="41" w:name="_Toc24647"/>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.2.1. 知识的收集及分类</w:t>
      </w:r>
      <w:bookmarkEnd w:id="38"/>
      <w:bookmarkEnd w:id="39"/>
      <w:bookmarkEnd w:id="40"/>
      <w:bookmarkEnd w:id="41"/>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根据事件管理和问题管理过程中产生的解决方案以及运维过程中产生的测试方案、技术方案、变更申请等渠道来收集知识。</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知识按照技术服务的对象的不同进行分类，分为运维服务技术类、管理类和其他类3个大类，每个大类包含具体的子类，分类如下所示，便于人员查找运用。</w:t>
      </w:r>
    </w:p>
    <w:p>
      <w:p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1）运维服务技术类：</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技术类知识条目的分类与服务目录的分类保持一致，以便于检索及获取知识。</w:t>
      </w:r>
    </w:p>
    <w:p>
      <w:p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2）管理类：</w:t>
      </w:r>
    </w:p>
    <w:p>
      <w:pPr>
        <w:spacing w:line="360" w:lineRule="auto"/>
        <w:ind w:left="48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运维过程管理制度</w:t>
      </w:r>
    </w:p>
    <w:p>
      <w:pPr>
        <w:spacing w:line="360" w:lineRule="auto"/>
        <w:jc w:val="left"/>
        <w:rPr>
          <w:rFonts w:ascii="微软雅黑" w:eastAsia="微软雅黑" w:hAnsi="微软雅黑" w:cs="微软雅黑"/>
          <w:sz w:val="24"/>
          <w:szCs w:val="24"/>
        </w:rPr>
      </w:pPr>
      <w:r>
        <w:rPr>
          <w:rFonts w:ascii="微软雅黑" w:eastAsia="微软雅黑" w:hAnsi="微软雅黑" w:cs="微软雅黑" w:hint="eastAsia"/>
          <w:sz w:val="24"/>
          <w:szCs w:val="24"/>
        </w:rPr>
        <w:t>3）其他类：</w:t>
      </w:r>
    </w:p>
    <w:p>
      <w:pPr>
        <w:spacing w:line="360" w:lineRule="auto"/>
        <w:ind w:left="480"/>
        <w:jc w:val="left"/>
        <w:rPr>
          <w:rFonts w:ascii="微软雅黑" w:eastAsia="微软雅黑" w:hAnsi="微软雅黑" w:cs="微软雅黑"/>
          <w:sz w:val="24"/>
          <w:szCs w:val="24"/>
        </w:rPr>
      </w:pPr>
      <w:r>
        <w:rPr>
          <w:rFonts w:ascii="微软雅黑" w:eastAsia="微软雅黑" w:hAnsi="微软雅黑" w:cs="微软雅黑" w:hint="eastAsia"/>
          <w:sz w:val="24"/>
          <w:szCs w:val="24"/>
        </w:rPr>
        <w:t>对于整个体系的知识</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知识库中的内容包括：</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故障解决方法或方案；</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问题及解决方案；</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故障预防知识；</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日常维护方法；</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软硬件产品基础知识；</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管理制度与公司发文；</w:t>
      </w:r>
    </w:p>
    <w:p>
      <w:pPr>
        <w:numPr>
          <w:ilvl w:val="0"/>
          <w:numId w:val="3"/>
        </w:numPr>
        <w:spacing w:line="360" w:lineRule="auto"/>
        <w:ind w:left="0"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技术手册。</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知识的收集主要有以下几方面：</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巡检报告：指工程师在巡检的过程中发现的问题或者隐患，经过分析，可能在某些方面给用户带来问题，这类问题或隐患的表现形式、症状、以及将来可能造成的损失等信息，工程师不仅要书写巡检报告，及时跟用户沟通外，同时要将此信息完整的记录。</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事件事故记录表：指工程师在给用户处理故障时，针对故障产生的原因，做出的分析，以及解决故障时使用的方法或策略、工具等信息。</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问题分析报告：指工程师在处理问题时，针对问题产生的原因，做出的分析，以及解决问题时使用的方法或策略、工具等信息。</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服务报告：指工作的阶段性进度报告或结果报告。</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工作信息贡献：在工作过程中搜集到对工作有支持作用的相关信息。</w:t>
      </w:r>
    </w:p>
    <w:p>
      <w:pPr>
        <w:pStyle w:val="11"/>
        <w:numPr>
          <w:ilvl w:val="0"/>
          <w:numId w:val="4"/>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工作中未上传的文档由运维部部门经理安排有关人员及时补充上传，以利于快速丰富知识库。</w:t>
      </w:r>
    </w:p>
    <w:p>
      <w:pPr>
        <w:pStyle w:val="Heading3"/>
        <w:spacing w:before="0" w:after="0" w:line="360" w:lineRule="auto"/>
        <w:ind w:left="210" w:leftChars="100"/>
        <w:jc w:val="left"/>
        <w:rPr>
          <w:rFonts w:ascii="微软雅黑" w:eastAsia="微软雅黑" w:hAnsi="微软雅黑" w:cs="微软雅黑"/>
          <w:sz w:val="24"/>
          <w:szCs w:val="24"/>
        </w:rPr>
      </w:pPr>
      <w:bookmarkStart w:id="42" w:name="_Toc2562"/>
      <w:bookmarkStart w:id="43" w:name="_Toc462498836"/>
      <w:bookmarkStart w:id="44" w:name="_Toc402535941"/>
      <w:bookmarkStart w:id="45" w:name="_Toc440902789"/>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.2.2. 知识分析</w:t>
      </w:r>
      <w:bookmarkEnd w:id="42"/>
      <w:bookmarkEnd w:id="43"/>
      <w:bookmarkEnd w:id="44"/>
      <w:bookmarkEnd w:id="45"/>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项目经理针对于要提交的知识文档，基于实用性、指导性、有效性、准确性、可用性的原则进行知识的全面总结与分析，分析知识的重要性，以及给其它人员带来的价值与效率的提高；将技术文档及分析结果提交运维部经理审核。</w:t>
      </w:r>
    </w:p>
    <w:p>
      <w:pPr>
        <w:spacing w:line="360" w:lineRule="auto"/>
        <w:ind w:firstLine="420" w:firstLineChars="200"/>
        <w:jc w:val="left"/>
        <w:rPr>
          <w:rFonts w:ascii="微软雅黑" w:eastAsia="微软雅黑" w:hAnsi="微软雅黑" w:cs="微软雅黑"/>
          <w:sz w:val="24"/>
          <w:szCs w:val="24"/>
        </w:rPr>
      </w:pPr>
      <w:r>
        <w:rPr>
          <w:rFonts w:ascii="微软雅黑" w:eastAsia="微软雅黑" w:hAnsi="微软雅黑" w:cs="微软雅黑" w:hint="eastAsia"/>
          <w:sz w:val="24"/>
          <w:szCs w:val="24"/>
        </w:rPr>
        <w:t>知识库内容提交评审条件：</w:t>
      </w:r>
    </w:p>
    <w:p>
      <w:pPr>
        <w:pStyle w:val="11"/>
        <w:numPr>
          <w:ilvl w:val="0"/>
          <w:numId w:val="5"/>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拟提交的知识库内容需有实际的操作记录验证。</w:t>
      </w:r>
    </w:p>
    <w:p>
      <w:pPr>
        <w:pStyle w:val="11"/>
        <w:numPr>
          <w:ilvl w:val="0"/>
          <w:numId w:val="5"/>
        </w:numPr>
        <w:spacing w:line="360" w:lineRule="auto"/>
        <w:ind w:left="0" w:firstLine="480"/>
        <w:jc w:val="left"/>
        <w:rPr>
          <w:rFonts w:ascii="微软雅黑" w:eastAsia="微软雅黑" w:hAnsi="微软雅黑" w:cs="微软雅黑"/>
          <w:sz w:val="24"/>
          <w:szCs w:val="24"/>
        </w:rPr>
      </w:pPr>
      <w:r>
        <w:rPr>
          <w:rFonts w:ascii="微软雅黑" w:eastAsia="微软雅黑" w:hAnsi="微软雅黑" w:cs="微软雅黑" w:hint="eastAsia"/>
          <w:sz w:val="24"/>
          <w:szCs w:val="24"/>
        </w:rPr>
        <w:t>如存在多个解决方案的情况，则需具体描述各个方案，并对各个方案进行评价。</w:t>
      </w:r>
    </w:p>
    <w:p>
      <w:pPr>
        <w:pStyle w:val="Heading3"/>
        <w:spacing w:before="0" w:after="0" w:line="360" w:lineRule="auto"/>
        <w:ind w:left="210" w:leftChars="100"/>
        <w:jc w:val="left"/>
        <w:rPr>
          <w:rFonts w:ascii="微软雅黑" w:eastAsia="微软雅黑" w:hAnsi="微软雅黑" w:cs="微软雅黑"/>
          <w:sz w:val="24"/>
          <w:szCs w:val="24"/>
        </w:rPr>
      </w:pPr>
      <w:bookmarkStart w:id="46" w:name="_Toc462498837"/>
      <w:bookmarkStart w:id="47" w:name="_Toc402535942"/>
      <w:bookmarkStart w:id="48" w:name="_Toc440902790"/>
      <w:bookmarkStart w:id="49" w:name="_Toc7181"/>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.2.3. 知识审核</w:t>
      </w:r>
      <w:bookmarkEnd w:id="46"/>
      <w:bookmarkEnd w:id="47"/>
      <w:bookmarkEnd w:id="48"/>
      <w:bookmarkEnd w:id="49"/>
    </w:p>
    <w:p>
      <w:pPr>
        <w:spacing w:line="360" w:lineRule="auto"/>
        <w:ind w:left="424" w:firstLine="426" w:leftChars="202"/>
        <w:rPr>
          <w:rFonts w:ascii="微软雅黑" w:eastAsia="微软雅黑" w:hAnsi="微软雅黑" w:cs="微软雅黑"/>
          <w:sz w:val="24"/>
          <w:szCs w:val="24"/>
        </w:rPr>
      </w:pPr>
      <w:r>
        <w:rPr>
          <w:rFonts w:ascii="微软雅黑" w:eastAsia="微软雅黑" w:hAnsi="微软雅黑" w:cs="微软雅黑" w:hint="eastAsia"/>
          <w:sz w:val="24"/>
          <w:szCs w:val="24"/>
        </w:rPr>
        <w:t>运维部经理针对于项目经理提交的技术文档进行审核，运维部经理需要对该知识的正确性、可用性、严谨性进行验证和审核，以保证按照该文档可以用于实际生产中，并且不会出现有破坏性的副作用。筛选符合要求的知识条目，整理通过审核的知识条目列表。</w:t>
      </w:r>
    </w:p>
    <w:p>
      <w:pPr>
        <w:pStyle w:val="Heading3"/>
        <w:spacing w:before="0" w:after="0" w:line="360" w:lineRule="auto"/>
        <w:ind w:left="210" w:leftChars="100"/>
        <w:jc w:val="left"/>
        <w:rPr>
          <w:rFonts w:ascii="微软雅黑" w:eastAsia="微软雅黑" w:hAnsi="微软雅黑" w:cs="微软雅黑"/>
          <w:sz w:val="24"/>
          <w:szCs w:val="24"/>
        </w:rPr>
      </w:pPr>
      <w:bookmarkStart w:id="50" w:name="_Toc29731"/>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.2.4. 知识审批</w:t>
      </w:r>
      <w:bookmarkEnd w:id="50"/>
    </w:p>
    <w:p>
      <w:pPr>
        <w:spacing w:line="360" w:lineRule="auto"/>
        <w:ind w:firstLine="42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运维部经理将整理好的的知识条目列表及相关技术文档提交至总经理进行审批。审批根据知识的实用性、可用范围、影响性等对技术知识进行分类，如果审批不通过，则对提交审批的信息再次进行完善和确认；直到通过为止。</w:t>
      </w:r>
    </w:p>
    <w:p>
      <w:pPr>
        <w:pStyle w:val="Heading3"/>
        <w:spacing w:before="0" w:after="0" w:line="360" w:lineRule="auto"/>
        <w:ind w:left="210" w:leftChars="100"/>
        <w:jc w:val="left"/>
        <w:rPr>
          <w:rFonts w:ascii="微软雅黑" w:eastAsia="微软雅黑" w:hAnsi="微软雅黑" w:cs="微软雅黑"/>
          <w:sz w:val="24"/>
          <w:szCs w:val="24"/>
        </w:rPr>
      </w:pPr>
      <w:bookmarkStart w:id="51" w:name="_Toc402535943"/>
      <w:bookmarkStart w:id="52" w:name="_Toc19826"/>
      <w:bookmarkStart w:id="53" w:name="_Toc440902791"/>
      <w:bookmarkStart w:id="54" w:name="_Toc462498838"/>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.2.5. 知识发布</w:t>
      </w:r>
      <w:bookmarkEnd w:id="51"/>
      <w:bookmarkEnd w:id="52"/>
      <w:bookmarkEnd w:id="53"/>
      <w:bookmarkEnd w:id="54"/>
    </w:p>
    <w:p>
      <w:pPr>
        <w:spacing w:line="360" w:lineRule="auto"/>
        <w:ind w:firstLine="42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知识库管理员针对于审批通过的知识，按照知识发布流程进行发布，将知识纳入到知识库管理平台中，记录新知识建立的时间、提交人、审核人、审核通过的时间、以及新知识适用范围等信息；并通报到所有相关部门。形成最终的技术文档，供工程师在实际的工作中查询使用。</w:t>
      </w:r>
    </w:p>
    <w:p>
      <w:pPr>
        <w:pStyle w:val="Heading3"/>
        <w:spacing w:before="0" w:after="0" w:line="360" w:lineRule="auto"/>
        <w:ind w:left="210" w:leftChars="100"/>
        <w:jc w:val="left"/>
        <w:rPr>
          <w:rFonts w:ascii="微软雅黑" w:eastAsia="微软雅黑" w:hAnsi="微软雅黑" w:cs="微软雅黑"/>
          <w:sz w:val="24"/>
          <w:szCs w:val="24"/>
        </w:rPr>
      </w:pPr>
      <w:bookmarkStart w:id="55" w:name="_Toc440902792"/>
      <w:bookmarkStart w:id="56" w:name="_Toc14403"/>
      <w:bookmarkStart w:id="57" w:name="_Toc462498839"/>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.2.6. 知识退出</w:t>
      </w:r>
      <w:bookmarkEnd w:id="55"/>
      <w:bookmarkEnd w:id="56"/>
      <w:bookmarkEnd w:id="57"/>
    </w:p>
    <w:p>
      <w:pPr>
        <w:spacing w:line="360" w:lineRule="auto"/>
        <w:ind w:left="424" w:firstLine="426" w:leftChars="202"/>
        <w:rPr>
          <w:rFonts w:ascii="微软雅黑" w:eastAsia="微软雅黑" w:hAnsi="微软雅黑" w:cs="微软雅黑"/>
          <w:sz w:val="24"/>
          <w:szCs w:val="24"/>
        </w:rPr>
      </w:pPr>
      <w:r>
        <w:rPr>
          <w:rFonts w:ascii="微软雅黑" w:eastAsia="微软雅黑" w:hAnsi="微软雅黑" w:cs="微软雅黑" w:hint="eastAsia"/>
          <w:sz w:val="24"/>
          <w:szCs w:val="24"/>
        </w:rPr>
        <w:t>运维部经理定期对知识库已上传的现有知识内容进行审核，分别从知识当前的实用性、指导性、有效性、准确性、可用性等方面进行评估，对于不再适用当前情况的已有知识提交总经理审批，审批通过则由知识库管理员从知识库中</w:t>
      </w:r>
      <w:r>
        <w:rPr>
          <w:rFonts w:ascii="微软雅黑" w:eastAsia="微软雅黑" w:hAnsi="微软雅黑" w:cs="微软雅黑" w:hint="eastAsia"/>
          <w:sz w:val="24"/>
          <w:szCs w:val="24"/>
          <w:lang w:eastAsia="zh-CN"/>
        </w:rPr>
        <w:t>进行屏蔽</w:t>
      </w:r>
      <w:r>
        <w:rPr>
          <w:rFonts w:ascii="微软雅黑" w:eastAsia="微软雅黑" w:hAnsi="微软雅黑" w:cs="微软雅黑" w:hint="eastAsia"/>
          <w:sz w:val="24"/>
          <w:szCs w:val="24"/>
        </w:rPr>
        <w:t>。</w:t>
      </w:r>
    </w:p>
    <w:p>
      <w:pPr>
        <w:pStyle w:val="Heading3"/>
        <w:spacing w:before="0" w:after="0" w:line="360" w:lineRule="auto"/>
        <w:ind w:left="210" w:leftChars="100"/>
        <w:jc w:val="left"/>
        <w:rPr>
          <w:rFonts w:ascii="微软雅黑" w:eastAsia="微软雅黑" w:hAnsi="微软雅黑" w:cs="微软雅黑"/>
          <w:sz w:val="24"/>
          <w:szCs w:val="24"/>
        </w:rPr>
      </w:pPr>
      <w:bookmarkStart w:id="58" w:name="_Toc320"/>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.2.7. 知识生命周期</w:t>
      </w:r>
      <w:bookmarkEnd w:id="58"/>
    </w:p>
    <w:p>
      <w:pPr>
        <w:spacing w:line="360" w:lineRule="auto"/>
        <w:ind w:firstLine="420" w:firstLineChars="200"/>
        <w:rPr>
          <w:rFonts w:ascii="微软雅黑" w:eastAsia="微软雅黑" w:hAnsi="微软雅黑" w:cs="微软雅黑"/>
          <w:sz w:val="24"/>
          <w:szCs w:val="24"/>
        </w:rPr>
      </w:pPr>
      <w:r>
        <w:rPr>
          <w:rFonts w:ascii="微软雅黑" w:eastAsia="微软雅黑" w:hAnsi="微软雅黑" w:cs="微软雅黑" w:hint="eastAsia"/>
          <w:sz w:val="24"/>
          <w:szCs w:val="24"/>
        </w:rPr>
        <w:t>运维部经理每年需组织相关人员进行一次知识库内容的整体审核，保证知识的有效性及可用性，对于被认定可淘汰知识，在审核过程中提出并记录。审核完成后提交总经理审批。审批后一个工作日内由知识库管理员进行</w:t>
      </w:r>
      <w:r>
        <w:rPr>
          <w:rFonts w:ascii="微软雅黑" w:eastAsia="微软雅黑" w:hAnsi="微软雅黑" w:cs="微软雅黑" w:hint="eastAsia"/>
          <w:sz w:val="24"/>
          <w:szCs w:val="24"/>
          <w:lang w:eastAsia="zh-CN"/>
        </w:rPr>
        <w:t>屏蔽</w:t>
      </w:r>
      <w:r>
        <w:rPr>
          <w:rFonts w:ascii="微软雅黑" w:eastAsia="微软雅黑" w:hAnsi="微软雅黑" w:cs="微软雅黑" w:hint="eastAsia"/>
          <w:sz w:val="24"/>
          <w:szCs w:val="24"/>
        </w:rPr>
        <w:t>。</w:t>
      </w:r>
    </w:p>
    <w:p>
      <w:pPr>
        <w:pStyle w:val="Heading2"/>
        <w:spacing w:before="0" w:after="0" w:line="360" w:lineRule="auto"/>
        <w:jc w:val="left"/>
        <w:rPr>
          <w:rFonts w:ascii="微软雅黑" w:hAnsi="微软雅黑" w:cs="微软雅黑"/>
          <w:szCs w:val="24"/>
        </w:rPr>
      </w:pPr>
      <w:bookmarkStart w:id="59" w:name="_Toc440902793"/>
      <w:bookmarkStart w:id="60" w:name="_Toc230"/>
      <w:bookmarkStart w:id="61" w:name="_Toc462498840"/>
      <w:r>
        <w:rPr>
          <w:rFonts w:ascii="微软雅黑" w:hAnsi="微软雅黑" w:cs="微软雅黑" w:hint="eastAsia"/>
          <w:szCs w:val="24"/>
          <w:lang w:val="en-US" w:eastAsia="zh-CN"/>
        </w:rPr>
        <w:t>4</w:t>
      </w:r>
      <w:r>
        <w:rPr>
          <w:rFonts w:ascii="微软雅黑" w:hAnsi="微软雅黑" w:cs="微软雅黑" w:hint="eastAsia"/>
          <w:szCs w:val="24"/>
        </w:rPr>
        <w:t>.3知识库管理流程</w:t>
      </w:r>
      <w:bookmarkEnd w:id="59"/>
      <w:bookmarkEnd w:id="60"/>
      <w:bookmarkEnd w:id="61"/>
    </w:p>
    <w:p>
      <w:pPr>
        <w:pStyle w:val="Heading3"/>
        <w:spacing w:before="0" w:after="0" w:line="360" w:lineRule="auto"/>
        <w:jc w:val="left"/>
        <w:rPr>
          <w:rFonts w:ascii="微软雅黑" w:eastAsia="微软雅黑" w:hAnsi="微软雅黑" w:cs="微软雅黑"/>
          <w:sz w:val="24"/>
          <w:szCs w:val="24"/>
        </w:rPr>
      </w:pPr>
      <w:bookmarkStart w:id="62" w:name="_Toc19789"/>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.3.1. 知识新增流程</w:t>
      </w:r>
      <w:bookmarkEnd w:id="62"/>
    </w:p>
    <w:p>
      <w:pPr>
        <w:spacing w:line="360" w:lineRule="auto"/>
        <w:ind w:firstLine="1050" w:firstLineChars="500"/>
        <w:rPr>
          <w:rFonts w:ascii="微软雅黑" w:eastAsia="微软雅黑" w:hAnsi="微软雅黑" w:cs="微软雅黑"/>
          <w:sz w:val="24"/>
          <w:szCs w:val="24"/>
        </w:rPr>
        <w:sectPr>
          <w:footerReference w:type="default" r:id="rId9"/>
          <w:pgSz w:w="11906" w:h="16838"/>
          <w:pgMar w:top="1440" w:right="1800" w:bottom="1440" w:left="1800" w:header="851" w:footer="992" w:gutter="0"/>
          <w:pgNumType w:start="1"/>
          <w:cols w:num="1" w:space="425"/>
          <w:docGrid w:type="lines" w:linePitch="312" w:charSpace="0"/>
        </w:sectPr>
      </w:pPr>
      <w:r>
        <w:rPr>
          <w:rFonts w:ascii="微软雅黑" w:eastAsia="微软雅黑" w:hAnsi="微软雅黑" w:cs="微软雅黑"/>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53.5pt;width:311.25pt" coordsize="21600,21600" o:preferrelative="t" filled="t" stroked="f">
            <v:stroke joinstyle="miter"/>
            <v:imagedata r:id="rId10" o:title=""/>
            <o:lock v:ext="edit" aspectratio="f"/>
            <w10:anchorlock/>
          </v:shape>
        </w:pict>
      </w:r>
    </w:p>
    <w:p>
      <w:pPr>
        <w:pStyle w:val="Heading3"/>
        <w:spacing w:before="0" w:after="0" w:line="360" w:lineRule="auto"/>
        <w:jc w:val="left"/>
        <w:rPr>
          <w:rFonts w:ascii="微软雅黑" w:eastAsia="微软雅黑" w:hAnsi="微软雅黑" w:cs="微软雅黑"/>
          <w:sz w:val="24"/>
          <w:szCs w:val="24"/>
        </w:rPr>
      </w:pPr>
      <w:bookmarkStart w:id="63" w:name="_Toc13437"/>
      <w:r>
        <w:rPr>
          <w:rFonts w:ascii="微软雅黑" w:eastAsia="微软雅黑" w:hAnsi="微软雅黑" w:cs="微软雅黑" w:hint="eastAsia"/>
          <w:sz w:val="24"/>
          <w:szCs w:val="24"/>
          <w:lang w:val="en-US" w:eastAsia="zh-CN"/>
        </w:rPr>
        <w:t>4</w:t>
      </w:r>
      <w:r>
        <w:rPr>
          <w:rFonts w:ascii="微软雅黑" w:eastAsia="微软雅黑" w:hAnsi="微软雅黑" w:cs="微软雅黑" w:hint="eastAsia"/>
          <w:sz w:val="24"/>
          <w:szCs w:val="24"/>
        </w:rPr>
        <w:t>.3.2.知识退出流程</w:t>
      </w:r>
      <w:bookmarkEnd w:id="63"/>
    </w:p>
    <w:p>
      <w:pPr>
        <w:spacing w:line="360" w:lineRule="auto"/>
        <w:ind w:firstLine="1050" w:firstLineChars="500"/>
        <w:rPr>
          <w:rFonts w:ascii="微软雅黑" w:eastAsia="微软雅黑" w:hAnsi="微软雅黑" w:cs="微软雅黑"/>
          <w:sz w:val="24"/>
          <w:szCs w:val="24"/>
        </w:rPr>
      </w:pPr>
      <w:r>
        <w:rPr>
          <w:rFonts w:ascii="微软雅黑" w:eastAsia="微软雅黑" w:hAnsi="微软雅黑" w:cs="微软雅黑" w:hint="eastAsia"/>
          <w:sz w:val="24"/>
          <w:szCs w:val="24"/>
        </w:rPr>
        <w:object>
          <v:shape id="_x0000_i1026" type="#_x0000_t75" style="height:357.4pt;width:300.4pt" o:oleicon="f" o:ole="" coordsize="21600,21600" o:preferrelative="t" filled="t" stroked="f">
            <v:stroke joinstyle="miter"/>
            <v:imagedata r:id="rId11" o:title=""/>
            <o:lock v:ext="edit" aspectratio="f"/>
            <w10:anchorlock/>
          </v:shape>
          <o:OLEObject Type="Embed" ProgID="Visio.Drawing.11" ShapeID="_x0000_i1026" DrawAspect="Content" ObjectID="_1468075725" r:id="rId12"/>
        </w:object>
      </w:r>
    </w:p>
    <w:p>
      <w:pPr>
        <w:pStyle w:val="Heading2"/>
        <w:spacing w:before="0" w:after="0" w:line="360" w:lineRule="auto"/>
        <w:jc w:val="left"/>
        <w:rPr>
          <w:rFonts w:ascii="微软雅黑" w:hAnsi="微软雅黑" w:cs="微软雅黑"/>
          <w:szCs w:val="24"/>
        </w:rPr>
      </w:pPr>
      <w:bookmarkStart w:id="64" w:name="_Toc462498841"/>
      <w:bookmarkStart w:id="65" w:name="_Toc440902794"/>
      <w:bookmarkStart w:id="66" w:name="_Toc20077"/>
      <w:bookmarkStart w:id="67" w:name="_Toc402535945"/>
      <w:r>
        <w:rPr>
          <w:rFonts w:ascii="微软雅黑" w:hAnsi="微软雅黑" w:cs="微软雅黑" w:hint="eastAsia"/>
          <w:szCs w:val="24"/>
          <w:lang w:val="en-US" w:eastAsia="zh-CN"/>
        </w:rPr>
        <w:t>4</w:t>
      </w:r>
      <w:r>
        <w:rPr>
          <w:rFonts w:ascii="微软雅黑" w:hAnsi="微软雅黑" w:cs="微软雅黑" w:hint="eastAsia"/>
          <w:szCs w:val="24"/>
        </w:rPr>
        <w:t>.4知识库内容推进管理</w:t>
      </w:r>
      <w:bookmarkEnd w:id="64"/>
      <w:bookmarkEnd w:id="65"/>
      <w:bookmarkEnd w:id="66"/>
      <w:bookmarkEnd w:id="67"/>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通过沉淀、评价、筛选、模块化、宣传、培训考试等方式方法来推动公司的知识库管理工作。</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所有运维工程师都可以对沉淀下来的知识发表自己的看法和意见。</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项目经理可以根据运维工程师的看法和意见加上自己的经验对知识进行判断，给出评价结果。</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项目经理对知识所做的评价进行筛选，把评价高的知识上报运维部经理并由运维部经理对知识统一整理后提交总经理审批，审批通过后作为有示范作用模版的知识，部门经理对优秀知识条目进行宣传。</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运维部经理组织项目经理对发布的知识整理出题，对员工进行自我培训和考核。</w:t>
      </w:r>
    </w:p>
    <w:p>
      <w:pPr>
        <w:pStyle w:val="Heading2"/>
        <w:spacing w:before="0" w:after="0" w:line="360" w:lineRule="auto"/>
        <w:jc w:val="left"/>
        <w:rPr>
          <w:rFonts w:ascii="微软雅黑" w:hAnsi="微软雅黑" w:cs="微软雅黑"/>
          <w:szCs w:val="24"/>
        </w:rPr>
      </w:pPr>
      <w:bookmarkStart w:id="68" w:name="_Toc440902795"/>
      <w:bookmarkStart w:id="69" w:name="_Toc13327"/>
      <w:bookmarkStart w:id="70" w:name="_Toc402535946"/>
      <w:bookmarkStart w:id="71" w:name="_Toc462498842"/>
      <w:r>
        <w:rPr>
          <w:rFonts w:ascii="微软雅黑" w:hAnsi="微软雅黑" w:cs="微软雅黑" w:hint="eastAsia"/>
          <w:szCs w:val="24"/>
          <w:lang w:val="en-US" w:eastAsia="zh-CN"/>
        </w:rPr>
        <w:t>4</w:t>
      </w:r>
      <w:r>
        <w:rPr>
          <w:rFonts w:ascii="微软雅黑" w:hAnsi="微软雅黑" w:cs="微软雅黑" w:hint="eastAsia"/>
          <w:szCs w:val="24"/>
        </w:rPr>
        <w:t>.5知识库安全管理</w:t>
      </w:r>
      <w:bookmarkEnd w:id="68"/>
      <w:bookmarkEnd w:id="69"/>
      <w:bookmarkEnd w:id="70"/>
      <w:bookmarkEnd w:id="71"/>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由运维部经理对公司知识库的阅读、下载、评价等进行权限设置，并通知知识库管理人员对知识库的权限配置。</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由于人员变化而产生的权限变化，运维部经理应及时通知知识库管理人员进行变更。</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任何人都不能未经过授权而越权进入任何知识库，一经发现将严肃处理。</w:t>
      </w:r>
    </w:p>
    <w:p>
      <w:pPr>
        <w:pStyle w:val="ListParagraph"/>
        <w:numPr>
          <w:ilvl w:val="0"/>
          <w:numId w:val="2"/>
        </w:numPr>
        <w:spacing w:line="360" w:lineRule="auto"/>
        <w:ind w:firstLineChars="0"/>
        <w:jc w:val="left"/>
        <w:rPr>
          <w:rFonts w:ascii="微软雅黑" w:eastAsia="微软雅黑" w:hAnsi="微软雅黑" w:cs="微软雅黑"/>
          <w:sz w:val="24"/>
          <w:szCs w:val="24"/>
        </w:rPr>
      </w:pPr>
      <w:bookmarkStart w:id="72" w:name="_Toc462498843"/>
      <w:bookmarkStart w:id="73" w:name="_Toc440902796"/>
      <w:bookmarkStart w:id="74" w:name="_Toc402535947"/>
      <w:r>
        <w:rPr>
          <w:rFonts w:ascii="微软雅黑" w:eastAsia="微软雅黑" w:hAnsi="微软雅黑" w:cs="微软雅黑" w:hint="eastAsia"/>
          <w:sz w:val="24"/>
          <w:szCs w:val="24"/>
        </w:rPr>
        <w:t>知识库绩效管理</w:t>
      </w:r>
      <w:bookmarkEnd w:id="72"/>
      <w:bookmarkEnd w:id="73"/>
      <w:bookmarkEnd w:id="74"/>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所有员工都必须积极参加知识的培训，讨论和点评知识，并定期提交有效的知识。</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每年根据员工对知识的培训次数、点评记录、考试的成绩、提交的有效知识条目数量等综合评价作为加薪、晋升、奖励的参考。</w:t>
      </w:r>
    </w:p>
    <w:p>
      <w:pPr>
        <w:pStyle w:val="ListParagraph"/>
        <w:numPr>
          <w:ilvl w:val="0"/>
          <w:numId w:val="2"/>
        </w:numPr>
        <w:spacing w:line="360" w:lineRule="auto"/>
        <w:ind w:firstLineChars="0"/>
        <w:jc w:val="left"/>
        <w:rPr>
          <w:rFonts w:ascii="微软雅黑" w:eastAsia="微软雅黑" w:hAnsi="微软雅黑" w:cs="微软雅黑"/>
          <w:sz w:val="24"/>
          <w:szCs w:val="24"/>
        </w:rPr>
      </w:pPr>
      <w:r>
        <w:rPr>
          <w:rFonts w:ascii="微软雅黑" w:eastAsia="微软雅黑" w:hAnsi="微软雅黑" w:cs="微软雅黑" w:hint="eastAsia"/>
          <w:sz w:val="24"/>
          <w:szCs w:val="24"/>
        </w:rPr>
        <w:t>累积半年或者连续三个月未提交新知识或未参与对知识的点评、讨论的员工，由部门经理对此类员工进行约谈、考察。</w:t>
      </w:r>
    </w:p>
    <w:p>
      <w:pPr>
        <w:spacing w:line="360" w:lineRule="auto"/>
        <w:rPr>
          <w:rFonts w:ascii="仿宋" w:eastAsia="仿宋" w:hAnsi="仿宋" w:cs="Times New Roman"/>
          <w:sz w:val="24"/>
          <w:szCs w:val="24"/>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tabs>
        <w:tab w:val="left" w:pos="1395"/>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Bdr>
        <w:top w:val="single" w:sz="4" w:space="1" w:color="auto"/>
      </w:pBdr>
    </w:pPr>
    <w: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pPr>
                <w:r>
                  <w:rPr>
                    <w:rFonts w:hint="eastAsia"/>
                  </w:rPr>
                  <w:fldChar w:fldCharType="begin"/>
                </w:r>
                <w:r>
                  <w:rPr>
                    <w:rFonts w:hint="eastAsia"/>
                  </w:rPr>
                  <w:instrText xml:space="preserve"> PAGE  \* MERGEFORMAT </w:instrText>
                </w:r>
                <w:r>
                  <w:rPr>
                    <w:rFonts w:hint="eastAsia"/>
                  </w:rPr>
                  <w:fldChar w:fldCharType="separate"/>
                </w:r>
                <w:r>
                  <w:rPr>
                    <w:rFonts w:hint="eastAsia"/>
                  </w:rPr>
                  <w:t>4</w:t>
                </w:r>
                <w:r>
                  <w:rPr>
                    <w:rFonts w:hint="eastAsia"/>
                  </w:rPr>
                  <w:fldChar w:fldCharType="end"/>
                </w:r>
              </w:p>
            </w:txbxContent>
          </v:textbox>
        </v:shape>
      </w:pic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bottom w:val="single" w:sz="4" w:space="1" w:color="auto"/>
      </w:pBdr>
      <w:rPr>
        <w:rFonts w:asciiTheme="minorEastAsia" w:eastAsiaTheme="minorEastAsia" w:hAnsiTheme="minorEastAsia" w:cs="Arial"/>
        <w:sz w:val="18"/>
        <w:szCs w:val="24"/>
      </w:rPr>
    </w:pPr>
    <w:r>
      <w:rPr>
        <w:rFonts w:hint="eastAsia"/>
      </w:rPr>
      <w:t xml:space="preserve">                               </w:t>
    </w:r>
    <w:r>
      <w:t xml:space="preserve">                 </w:t>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6520FD"/>
    <w:multiLevelType w:val="multilevel"/>
    <w:tmpl w:val="106520F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185120E9"/>
    <w:multiLevelType w:val="multilevel"/>
    <w:tmpl w:val="185120E9"/>
    <w:lvl w:ilvl="0">
      <w:start w:val="1"/>
      <w:numFmt w:val="lowerLetter"/>
      <w:lvlText w:val="%1."/>
      <w:lvlJc w:val="left"/>
      <w:pPr>
        <w:ind w:left="1271" w:hanging="420"/>
      </w:pPr>
      <w:rPr>
        <w:rFonts w:hint="eastAsia"/>
      </w:rPr>
    </w:lvl>
    <w:lvl w:ilvl="1">
      <w:start w:val="1"/>
      <w:numFmt w:val="lowerLetter"/>
      <w:lvlText w:val="%2)"/>
      <w:lvlJc w:val="left"/>
      <w:pPr>
        <w:ind w:left="1691" w:hanging="420"/>
      </w:pPr>
    </w:lvl>
    <w:lvl w:ilvl="2">
      <w:start w:val="1"/>
      <w:numFmt w:val="lowerRoman"/>
      <w:lvlText w:val="%3."/>
      <w:lvlJc w:val="right"/>
      <w:pPr>
        <w:ind w:left="2111" w:hanging="420"/>
      </w:pPr>
    </w:lvl>
    <w:lvl w:ilvl="3">
      <w:start w:val="1"/>
      <w:numFmt w:val="decimal"/>
      <w:lvlText w:val="%4."/>
      <w:lvlJc w:val="left"/>
      <w:pPr>
        <w:ind w:left="2531" w:hanging="420"/>
      </w:pPr>
    </w:lvl>
    <w:lvl w:ilvl="4">
      <w:start w:val="1"/>
      <w:numFmt w:val="lowerLetter"/>
      <w:lvlText w:val="%5)"/>
      <w:lvlJc w:val="left"/>
      <w:pPr>
        <w:ind w:left="2951" w:hanging="420"/>
      </w:pPr>
    </w:lvl>
    <w:lvl w:ilvl="5">
      <w:start w:val="1"/>
      <w:numFmt w:val="lowerRoman"/>
      <w:lvlText w:val="%6."/>
      <w:lvlJc w:val="right"/>
      <w:pPr>
        <w:ind w:left="3371" w:hanging="420"/>
      </w:pPr>
    </w:lvl>
    <w:lvl w:ilvl="6">
      <w:start w:val="1"/>
      <w:numFmt w:val="decimal"/>
      <w:lvlText w:val="%7."/>
      <w:lvlJc w:val="left"/>
      <w:pPr>
        <w:ind w:left="3791" w:hanging="420"/>
      </w:pPr>
    </w:lvl>
    <w:lvl w:ilvl="7">
      <w:start w:val="1"/>
      <w:numFmt w:val="lowerLetter"/>
      <w:lvlText w:val="%8)"/>
      <w:lvlJc w:val="left"/>
      <w:pPr>
        <w:ind w:left="4211" w:hanging="420"/>
      </w:pPr>
    </w:lvl>
    <w:lvl w:ilvl="8">
      <w:start w:val="1"/>
      <w:numFmt w:val="lowerRoman"/>
      <w:lvlText w:val="%9."/>
      <w:lvlJc w:val="right"/>
      <w:pPr>
        <w:ind w:left="4631" w:hanging="420"/>
      </w:pPr>
    </w:lvl>
  </w:abstractNum>
  <w:abstractNum w:abstractNumId="2">
    <w:nsid w:val="1AAE449C"/>
    <w:multiLevelType w:val="multilevel"/>
    <w:tmpl w:val="1AAE449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nsid w:val="4DB979BD"/>
    <w:multiLevelType w:val="multilevel"/>
    <w:tmpl w:val="4DB979BD"/>
    <w:lvl w:ilvl="0">
      <w:start w:val="1"/>
      <w:numFmt w:val="lowerLetter"/>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nsid w:val="7122689C"/>
    <w:multiLevelType w:val="multilevel"/>
    <w:tmpl w:val="7122689C"/>
    <w:lvl w:ilvl="0">
      <w:start w:val="1"/>
      <w:numFmt w:val="lowerLetter"/>
      <w:lvlText w:val="%1."/>
      <w:lvlJc w:val="left"/>
      <w:pPr>
        <w:ind w:left="1270" w:hanging="420"/>
      </w:pPr>
      <w:rPr>
        <w:rFonts w:hint="eastAsia"/>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num w:numId="1">
    <w:abstractNumId w:val="0"/>
  </w:num>
  <w:num w:numId="2">
    <w:abstractNumId w:val="2"/>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等线" w:eastAsia="等线" w:hAnsi="等线"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Calibri" w:eastAsia="宋体" w:hAnsi="Calibri" w:cs="黑体"/>
      <w:kern w:val="2"/>
      <w:sz w:val="21"/>
      <w:szCs w:val="22"/>
      <w:lang w:val="en-US" w:eastAsia="zh-CN" w:bidi="ar-SA"/>
    </w:rPr>
  </w:style>
  <w:style w:type="paragraph" w:styleId="Heading1">
    <w:name w:val="heading 1"/>
    <w:basedOn w:val="Normal"/>
    <w:next w:val="Normal"/>
    <w:link w:val="10"/>
    <w:uiPriority w:val="9"/>
    <w:qFormat/>
    <w:pPr>
      <w:keepNext/>
      <w:keepLines/>
      <w:spacing w:before="340" w:after="330" w:line="578" w:lineRule="auto"/>
      <w:outlineLvl w:val="0"/>
    </w:pPr>
    <w:rPr>
      <w:rFonts w:eastAsia="黑体"/>
      <w:b/>
      <w:bCs/>
      <w:kern w:val="44"/>
      <w:sz w:val="32"/>
      <w:szCs w:val="44"/>
    </w:rPr>
  </w:style>
  <w:style w:type="paragraph" w:styleId="Heading2">
    <w:name w:val="heading 2"/>
    <w:basedOn w:val="Normal"/>
    <w:next w:val="Normal"/>
    <w:link w:val="2"/>
    <w:uiPriority w:val="9"/>
    <w:unhideWhenUsed/>
    <w:qFormat/>
    <w:pPr>
      <w:keepNext/>
      <w:keepLines/>
      <w:spacing w:before="260" w:after="260" w:line="416" w:lineRule="auto"/>
      <w:outlineLvl w:val="1"/>
    </w:pPr>
    <w:rPr>
      <w:rFonts w:ascii="Cambria" w:eastAsia="微软雅黑" w:hAnsi="Cambria"/>
      <w:b/>
      <w:bCs/>
      <w:sz w:val="24"/>
      <w:szCs w:val="32"/>
    </w:rPr>
  </w:style>
  <w:style w:type="paragraph" w:styleId="Heading3">
    <w:name w:val="heading 3"/>
    <w:basedOn w:val="Normal"/>
    <w:next w:val="Normal"/>
    <w:link w:val="3"/>
    <w:autoRedefine/>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3">
    <w:name w:val="toc 3"/>
    <w:basedOn w:val="Normal"/>
    <w:next w:val="Normal"/>
    <w:uiPriority w:val="39"/>
    <w:unhideWhenUsed/>
    <w:qFormat/>
    <w:pPr>
      <w:ind w:left="840" w:leftChars="400"/>
    </w:pPr>
  </w:style>
  <w:style w:type="paragraph" w:styleId="BalloonText">
    <w:name w:val="Balloon Text"/>
    <w:basedOn w:val="Normal"/>
    <w:link w:val="a3"/>
    <w:autoRedefine/>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TOC2">
    <w:name w:val="toc 2"/>
    <w:basedOn w:val="Normal"/>
    <w:next w:val="Normal"/>
    <w:uiPriority w:val="39"/>
    <w:unhideWhenUsed/>
    <w:qFormat/>
    <w:pPr>
      <w:tabs>
        <w:tab w:val="right" w:leader="dot" w:pos="8296"/>
      </w:tabs>
      <w:ind w:left="420" w:leftChars="200"/>
    </w:pPr>
  </w:style>
  <w:style w:type="character" w:styleId="Hyperlink">
    <w:name w:val="Hyperlink"/>
    <w:basedOn w:val="DefaultParagraphFont"/>
    <w:uiPriority w:val="99"/>
    <w:unhideWhenUsed/>
    <w:qFormat/>
    <w:rPr>
      <w:color w:val="0000FF" w:themeColor="hyperlink"/>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paragraph" w:customStyle="1" w:styleId="1">
    <w:name w:val="无间隔1"/>
    <w:uiPriority w:val="1"/>
    <w:qFormat/>
    <w:rPr>
      <w:rFonts w:ascii="Calibri" w:eastAsia="宋体" w:hAnsi="Calibri" w:cs="黑体"/>
      <w:kern w:val="2"/>
      <w:sz w:val="22"/>
      <w:szCs w:val="22"/>
      <w:lang w:val="en-US" w:eastAsia="zh-CN" w:bidi="ar-SA"/>
    </w:rPr>
  </w:style>
  <w:style w:type="paragraph" w:customStyle="1" w:styleId="a1">
    <w:name w:val="普通文本"/>
    <w:basedOn w:val="Normal"/>
    <w:qFormat/>
    <w:pPr>
      <w:autoSpaceDE w:val="0"/>
      <w:autoSpaceDN w:val="0"/>
      <w:adjustRightInd w:val="0"/>
    </w:pPr>
    <w:rPr>
      <w:rFonts w:ascii="宋体" w:cs="宋体"/>
      <w:szCs w:val="21"/>
    </w:rPr>
  </w:style>
  <w:style w:type="character" w:customStyle="1" w:styleId="10">
    <w:name w:val="标题 1 字符"/>
    <w:basedOn w:val="DefaultParagraphFont"/>
    <w:link w:val="Heading1"/>
    <w:uiPriority w:val="9"/>
    <w:qFormat/>
    <w:rPr>
      <w:rFonts w:ascii="Calibri" w:eastAsia="黑体" w:hAnsi="Calibri" w:cs="黑体"/>
      <w:b/>
      <w:bCs/>
      <w:kern w:val="44"/>
      <w:sz w:val="32"/>
      <w:szCs w:val="44"/>
    </w:rPr>
  </w:style>
  <w:style w:type="character" w:customStyle="1" w:styleId="2">
    <w:name w:val="标题 2 字符"/>
    <w:basedOn w:val="DefaultParagraphFont"/>
    <w:link w:val="Heading2"/>
    <w:uiPriority w:val="9"/>
    <w:qFormat/>
    <w:rPr>
      <w:rFonts w:ascii="Cambria" w:eastAsia="微软雅黑" w:hAnsi="Cambria" w:cs="黑体"/>
      <w:b/>
      <w:bCs/>
      <w:sz w:val="24"/>
      <w:szCs w:val="32"/>
    </w:rPr>
  </w:style>
  <w:style w:type="paragraph" w:customStyle="1" w:styleId="11">
    <w:name w:val="列出段落1"/>
    <w:basedOn w:val="Normal"/>
    <w:link w:val="Char"/>
    <w:uiPriority w:val="34"/>
    <w:qFormat/>
    <w:pPr>
      <w:ind w:firstLine="420" w:firstLineChars="200"/>
    </w:pPr>
    <w:rPr>
      <w:rFonts w:cs="Times New Roman"/>
    </w:rPr>
  </w:style>
  <w:style w:type="character" w:customStyle="1" w:styleId="Char">
    <w:name w:val="列出段落 Char"/>
    <w:link w:val="11"/>
    <w:uiPriority w:val="34"/>
    <w:qFormat/>
    <w:rPr>
      <w:rFonts w:ascii="Calibri" w:eastAsia="宋体" w:hAnsi="Calibri" w:cs="Times New Roman"/>
    </w:rPr>
  </w:style>
  <w:style w:type="paragraph" w:customStyle="1" w:styleId="a2">
    <w:name w:val="表格"/>
    <w:basedOn w:val="Normal"/>
    <w:link w:val="Char0"/>
    <w:qFormat/>
    <w:pPr>
      <w:widowControl/>
      <w:jc w:val="center"/>
    </w:pPr>
    <w:rPr>
      <w:rFonts w:ascii="宋体" w:hAnsi="宋体" w:cs="宋体"/>
      <w:bCs/>
      <w:color w:val="000000"/>
      <w:kern w:val="0"/>
    </w:rPr>
  </w:style>
  <w:style w:type="character" w:customStyle="1" w:styleId="Char0">
    <w:name w:val="表格 Char"/>
    <w:link w:val="a2"/>
    <w:qFormat/>
    <w:rPr>
      <w:rFonts w:ascii="宋体" w:eastAsia="宋体" w:hAnsi="宋体" w:cs="宋体"/>
      <w:bCs/>
      <w:color w:val="000000"/>
      <w:kern w:val="0"/>
    </w:rPr>
  </w:style>
  <w:style w:type="character" w:customStyle="1" w:styleId="3">
    <w:name w:val="标题 3 字符"/>
    <w:basedOn w:val="DefaultParagraphFont"/>
    <w:link w:val="Heading3"/>
    <w:uiPriority w:val="9"/>
    <w:qFormat/>
    <w:rPr>
      <w:rFonts w:ascii="Calibri" w:eastAsia="宋体" w:hAnsi="Calibri" w:cs="黑体"/>
      <w:b/>
      <w:bCs/>
      <w:sz w:val="32"/>
      <w:szCs w:val="32"/>
    </w:rPr>
  </w:style>
  <w:style w:type="character" w:customStyle="1" w:styleId="a3">
    <w:name w:val="批注框文本 字符"/>
    <w:basedOn w:val="DefaultParagraphFont"/>
    <w:link w:val="BalloonText"/>
    <w:autoRedefine/>
    <w:uiPriority w:val="99"/>
    <w:semiHidden/>
    <w:qFormat/>
    <w:rPr>
      <w:rFonts w:ascii="Calibri" w:eastAsia="宋体" w:hAnsi="Calibri" w:cs="黑体"/>
      <w:kern w:val="2"/>
      <w:sz w:val="18"/>
      <w:szCs w:val="18"/>
    </w:rPr>
  </w:style>
  <w:style w:type="paragraph" w:styleId="ListParagraph">
    <w:name w:val="List Paragraph"/>
    <w:basedOn w:val="Normal"/>
    <w:autoRedefine/>
    <w:uiPriority w:val="99"/>
    <w:qFormat/>
    <w:pPr>
      <w:ind w:firstLine="420" w:firstLineChars="200"/>
    </w:pPr>
  </w:style>
  <w:style w:type="paragraph" w:customStyle="1" w:styleId="a4">
    <w:name w:val="表头"/>
    <w:basedOn w:val="Normal"/>
    <w:qFormat/>
    <w:pPr>
      <w:spacing w:line="520" w:lineRule="exact"/>
      <w:jc w:val="center"/>
    </w:pPr>
    <w:rPr>
      <w:rFonts w:ascii="黑体" w:eastAsia="黑体" w:hAnsi="微软雅黑"/>
      <w:sz w:val="24"/>
      <w:szCs w:val="24"/>
    </w:rPr>
  </w:style>
  <w:style w:type="paragraph" w:customStyle="1" w:styleId="a5">
    <w:name w:val="表内容居中"/>
    <w:basedOn w:val="Normal"/>
    <w:qFormat/>
    <w:pPr>
      <w:spacing w:line="520" w:lineRule="exact"/>
      <w:jc w:val="cente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emf" /><Relationship Id="rId11" Type="http://schemas.openxmlformats.org/officeDocument/2006/relationships/image" Target="media/image3.emf" /><Relationship Id="rId12" Type="http://schemas.openxmlformats.org/officeDocument/2006/relationships/oleObject" Target="embeddings/oleObject1.bin"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3587</Words>
  <Characters>3746</Characters>
  <Application>Microsoft Office Word</Application>
  <DocSecurity>0</DocSecurity>
  <Lines>36</Lines>
  <Paragraphs>10</Paragraphs>
  <ScaleCrop>false</ScaleCrop>
  <Company>fzhg</Company>
  <LinksUpToDate>false</LinksUpToDate>
  <CharactersWithSpaces>3858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高</cp:lastModifiedBy>
  <cp:revision>17</cp:revision>
  <dcterms:created xsi:type="dcterms:W3CDTF">2019-03-07T07:24:00Z</dcterms:created>
  <dcterms:modified xsi:type="dcterms:W3CDTF">2025-11-27T10:38:22Z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07DAB74FEF264E12A8C7BA28D6F91A00</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