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b/>
          <w:sz w:val="48"/>
          <w:szCs w:val="48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-1233805</wp:posOffset>
            </wp:positionH>
            <wp:positionV relativeFrom="paragraph">
              <wp:posOffset>-1224915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ind w:firstLine="0" w:firstLineChars="0"/>
        <w:jc w:val="center"/>
        <w:rPr>
          <w:rFonts w:eastAsia="宋体"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服务台</w:t>
      </w:r>
      <w:r>
        <w:rPr>
          <w:rFonts w:hint="eastAsia"/>
          <w:b/>
          <w:sz w:val="48"/>
          <w:szCs w:val="48"/>
          <w:lang w:eastAsia="zh-CN"/>
        </w:rPr>
        <w:t>应用情况说明</w:t>
      </w:r>
    </w:p>
    <w:p>
      <w:pPr>
        <w:ind w:firstLine="0" w:firstLineChars="0"/>
        <w:jc w:val="center"/>
        <w:rPr>
          <w:b/>
          <w:sz w:val="48"/>
          <w:szCs w:val="48"/>
        </w:rPr>
      </w:pPr>
    </w:p>
    <w:p>
      <w:pPr>
        <w:spacing w:after="156" w:afterLines="50"/>
        <w:ind w:firstLine="0" w:firstLineChars="0"/>
        <w:jc w:val="center"/>
        <w:rPr>
          <w:rFonts w:eastAsia="宋体" w:hint="default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2</w:t>
      </w: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spacing w:after="156" w:afterLines="50"/>
        <w:ind w:firstLine="0" w:firstLineChars="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2025.11.15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微软雅黑" w:eastAsia="微软雅黑" w:hAnsi="微软雅黑" w:cs="微软雅黑" w:hint="eastAsia"/>
          <w:sz w:val="24"/>
        </w:rPr>
      </w:pPr>
    </w:p>
    <w:p>
      <w:pPr>
        <w:rPr>
          <w:rFonts w:ascii="黑体" w:hAnsi="黑体"/>
          <w:b/>
          <w:sz w:val="32"/>
          <w:szCs w:val="32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</w:p>
    <w:p>
      <w:pPr>
        <w:pStyle w:val="TOC1"/>
        <w:spacing w:line="48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8306"/>
        </w:tabs>
      </w:pPr>
      <w:bookmarkStart w:id="0" w:name="_GoBack"/>
      <w:bookmarkEnd w:id="0"/>
      <w:r>
        <w:rPr>
          <w:rFonts w:ascii="黑体" w:eastAsia="黑体" w:hAnsi="黑体"/>
          <w:sz w:val="24"/>
          <w:szCs w:val="24"/>
        </w:rPr>
        <w:fldChar w:fldCharType="begin"/>
      </w:r>
      <w:r>
        <w:rPr>
          <w:rFonts w:ascii="黑体" w:eastAsia="黑体" w:hAnsi="黑体"/>
          <w:sz w:val="24"/>
          <w:szCs w:val="24"/>
        </w:rPr>
        <w:instrText xml:space="preserve">TOC \o "1-5" \h \u </w:instrText>
      </w:r>
      <w:r>
        <w:rPr>
          <w:rFonts w:ascii="黑体" w:eastAsia="黑体" w:hAnsi="黑体"/>
          <w:sz w:val="24"/>
          <w:szCs w:val="24"/>
        </w:rPr>
        <w:fldChar w:fldCharType="separate"/>
      </w: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_Toc3536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 概述</w:t>
      </w:r>
      <w:r>
        <w:tab/>
      </w:r>
      <w:r>
        <w:fldChar w:fldCharType="begin"/>
      </w:r>
      <w:r>
        <w:instrText xml:space="preserve"> PAGEREF _Toc3536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_Toc27679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 服务台设置与职能</w:t>
      </w:r>
      <w:r>
        <w:tab/>
      </w:r>
      <w:r>
        <w:fldChar w:fldCharType="begin"/>
      </w:r>
      <w:r>
        <w:instrText xml:space="preserve"> PAGEREF _Toc27679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_Toc4875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2.1 服务台设置</w:t>
      </w:r>
      <w:r>
        <w:tab/>
      </w:r>
      <w:r>
        <w:fldChar w:fldCharType="begin"/>
      </w:r>
      <w:r>
        <w:instrText xml:space="preserve"> PAGEREF _Toc4875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_Toc7852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2.2 服务台主要职能</w:t>
      </w:r>
      <w:r>
        <w:tab/>
      </w:r>
      <w:r>
        <w:fldChar w:fldCharType="begin"/>
      </w:r>
      <w:r>
        <w:instrText xml:space="preserve"> PAGEREF _Toc7852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_Toc26825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 服务台运行机制</w:t>
      </w:r>
      <w:r>
        <w:tab/>
      </w:r>
      <w:r>
        <w:fldChar w:fldCharType="begin"/>
      </w:r>
      <w:r>
        <w:instrText xml:space="preserve"> PAGEREF _Toc26825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_Toc14566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3.1 服务受理渠道</w:t>
      </w:r>
      <w:r>
        <w:tab/>
      </w:r>
      <w:r>
        <w:fldChar w:fldCharType="begin"/>
      </w:r>
      <w:r>
        <w:instrText xml:space="preserve"> PAGEREF _Toc14566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_Toc7393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3.2 服务处理流程</w:t>
      </w:r>
      <w:r>
        <w:tab/>
      </w:r>
      <w:r>
        <w:fldChar w:fldCharType="begin"/>
      </w:r>
      <w:r>
        <w:instrText xml:space="preserve"> PAGEREF _Toc7393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_Toc5351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 服务台管理制度</w:t>
      </w:r>
      <w:r>
        <w:tab/>
      </w:r>
      <w:r>
        <w:fldChar w:fldCharType="begin"/>
      </w:r>
      <w:r>
        <w:instrText xml:space="preserve"> PAGEREF _Toc5351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_Toc7716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5. 服务台应用效果评估</w:t>
      </w:r>
      <w:r>
        <w:tab/>
      </w:r>
      <w:r>
        <w:fldChar w:fldCharType="begin"/>
      </w:r>
      <w:r>
        <w:instrText xml:space="preserve"> PAGEREF _Toc7716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480" w:lineRule="auto"/>
        <w:ind w:left="0"/>
        <w:rPr>
          <w:rFonts w:ascii="黑体" w:eastAsia="黑体" w:hAnsi="黑体"/>
          <w:sz w:val="24"/>
          <w:szCs w:val="24"/>
        </w:rPr>
        <w:sectPr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黑体" w:eastAsia="黑体" w:hAnsi="黑体"/>
          <w:szCs w:val="24"/>
        </w:rPr>
        <w:fldChar w:fldCharType="end"/>
      </w:r>
    </w:p>
    <w:p>
      <w:pPr>
        <w:pStyle w:val="Heading1"/>
        <w:bidi w:val="0"/>
        <w:rPr>
          <w:rFonts w:hint="eastAsia"/>
          <w:lang w:val="en-US" w:eastAsia="zh-CN"/>
        </w:rPr>
      </w:pPr>
      <w:bookmarkStart w:id="1" w:name="_Toc3536"/>
      <w:r>
        <w:rPr>
          <w:rFonts w:hint="eastAsia"/>
          <w:lang w:val="en-US" w:eastAsia="zh-CN"/>
        </w:rPr>
        <w:t>1. 概述</w:t>
      </w:r>
      <w:bookmarkEnd w:id="1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甘肃国邦信息科技有限公司（以下简称“公司”）为统一服务入口，提升运维服务响应效率与用户体验，正式建立了集中式服务台。服务台作为公司与客户之间的单一联系点，承担着服务请求受理、事件初步处理、沟通协调与用户回访等关键职能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自服务台建立并投入运营以来，公司制定了完善的管理制度与操作规范，并依托“网强ITSM流程管理软件”实现了服务流程的电子化、标准化管理。通过持续的优化与改进，服务台已成为公司运维服务体系的核心枢纽，有效保障了运维服务的规范交付与服务质量的可控管理，为整体运维服务能力的提升奠定了坚实基础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2" w:name="_Toc27679"/>
      <w:r>
        <w:rPr>
          <w:rFonts w:hint="eastAsia"/>
          <w:lang w:val="en-US" w:eastAsia="zh-CN"/>
        </w:rPr>
        <w:t>2. 服务台设置与职能</w:t>
      </w:r>
      <w:bookmarkEnd w:id="2"/>
    </w:p>
    <w:p>
      <w:pPr>
        <w:pStyle w:val="Heading2"/>
        <w:bidi w:val="0"/>
        <w:rPr>
          <w:rFonts w:hint="eastAsia"/>
          <w:lang w:val="en-US" w:eastAsia="zh-CN"/>
        </w:rPr>
      </w:pPr>
      <w:bookmarkStart w:id="3" w:name="_Toc4875"/>
      <w:r>
        <w:rPr>
          <w:rFonts w:hint="eastAsia"/>
          <w:lang w:val="en-US" w:eastAsia="zh-CN"/>
        </w:rPr>
        <w:t>2.1 服务台设置</w:t>
      </w:r>
      <w:bookmarkEnd w:id="3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公司设立了专职服务台岗位，隶属于运维管理部。服务台配备专职工程师，实行标准工作时间与7x24小时应急响应相结合的工作模式，确保在任何时间都能为用户提供及时的服务接入。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2"/>
        <w:bidi w:val="0"/>
        <w:rPr>
          <w:rFonts w:hint="eastAsia"/>
          <w:lang w:val="en-US" w:eastAsia="zh-CN"/>
        </w:rPr>
      </w:pPr>
      <w:bookmarkStart w:id="4" w:name="_Toc7852"/>
      <w:r>
        <w:rPr>
          <w:rFonts w:hint="eastAsia"/>
          <w:lang w:val="en-US" w:eastAsia="zh-CN"/>
        </w:rPr>
        <w:t>2.2 服务台主要职能</w:t>
      </w:r>
      <w:bookmarkEnd w:id="4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统一接入：作为所有用户服务请求的唯一接入点。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受理与记录：接收、记录并规范化所有来自用户的服务请求和事件申告。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初步支持与分类：提供一线技术支持，尝试解决常见问题；对于无法立即解决的问题，根据预设流程进行初步分类、分级和优先级判定。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任务分派与跟踪：根据事件类型和职责划分，将工单分派至相应的二线或三线技术支持工程师，并全程跟踪处理进度。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沟通与反馈：在事件处理过程中，主动向用户反馈处理状态；在事件解决后，对用户进行回访，确认问题解决并进行满意度调查。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知识积累：协助将常见问题的解决方案整理、提交至知识库，促进知识共享与再利用。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5" w:name="_Toc26825"/>
      <w:r>
        <w:rPr>
          <w:rFonts w:hint="eastAsia"/>
          <w:lang w:val="en-US" w:eastAsia="zh-CN"/>
        </w:rPr>
        <w:t>3. 服务台运行机制</w:t>
      </w:r>
      <w:bookmarkEnd w:id="5"/>
    </w:p>
    <w:p>
      <w:pPr>
        <w:pStyle w:val="Heading2"/>
        <w:bidi w:val="0"/>
        <w:rPr>
          <w:rFonts w:hint="eastAsia"/>
          <w:lang w:val="en-US" w:eastAsia="zh-CN"/>
        </w:rPr>
      </w:pPr>
      <w:bookmarkStart w:id="6" w:name="_Toc14566"/>
      <w:r>
        <w:rPr>
          <w:rFonts w:hint="eastAsia"/>
          <w:lang w:val="en-US" w:eastAsia="zh-CN"/>
        </w:rPr>
        <w:t>3.1 服务受理渠道</w:t>
      </w:r>
      <w:bookmarkEnd w:id="6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为方便用户联系，服务台提供多元化的受理渠道：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服务热线：用户可拨打统一服务热线 0816-2469374 进行电话申告。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远程支持：通过远程桌面工具提供在线技术支持。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邮件/在线工单：用户可通过邮件或ITSM系统直接提交服务请求。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2"/>
        <w:bidi w:val="0"/>
        <w:rPr>
          <w:rFonts w:hint="eastAsia"/>
          <w:lang w:val="en-US" w:eastAsia="zh-CN"/>
        </w:rPr>
      </w:pPr>
      <w:bookmarkStart w:id="7" w:name="_Toc7393"/>
      <w:r>
        <w:rPr>
          <w:rFonts w:hint="eastAsia"/>
          <w:lang w:val="en-US" w:eastAsia="zh-CN"/>
        </w:rPr>
        <w:t>3.2 服务处理流程</w:t>
      </w:r>
      <w:bookmarkEnd w:id="7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服务台严格遵循ITSM管理流程，具体处理流程如下：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接收记录：服务台接到用户请求后，在“网强ITSM流程管理软件”中创建工单，详细记录用户信息、问题描述、发生时间等。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分类分级：根据事件对业务的影响范围和紧急程度，确定事件类别和优先级。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初步处理：服务台工程师依据知识库尝试进行一线解决。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派单与升级：若一线无法解决，则根据预设路由规则将工单派发给相应技术支持团队，并监控SLA达成情况，必要时进行升级。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跟踪与监控：服务台全程跟踪工单处理状态，确保工程师按时响应与处理。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关闭与回访：问题解决后，服务台联系用户进行确认，关闭工单，并进行满意度回访，收集用户反馈。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8" w:name="_Toc5351"/>
      <w:r>
        <w:rPr>
          <w:rFonts w:hint="eastAsia"/>
          <w:lang w:val="en-US" w:eastAsia="zh-CN"/>
        </w:rPr>
        <w:t>4. 服务台管理制度</w:t>
      </w:r>
      <w:bookmarkEnd w:id="8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为确保服务台工作的规范性与有效性，公司制定并实施了以下管理制度：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《服务台管理制度》：明确了服务台的职责、工作模式、服务标准及与其他部门的协作接口。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《服务台人员工作规范》：规定了服务台工程师的日常行为规范、服务用语、工单记录标准等。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《服务台操作手册》：详细说明了“网强ITSM流程管理软件”中服务台相关功能的操作步骤。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服务台绩效考核机制：将服务台人员的绩效考核与关键指标挂钩，如一线解决率、SLA达成率、用户满意度等，这些指标来源于公司年度能力管理指标体系。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9" w:name="_Toc7716"/>
      <w:r>
        <w:rPr>
          <w:rFonts w:hint="eastAsia"/>
          <w:lang w:val="en-US" w:eastAsia="zh-CN"/>
        </w:rPr>
        <w:t>5. 服务台应用效果评估</w:t>
      </w:r>
      <w:bookmarkEnd w:id="9"/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自服务台规范化运营以来，其应用效果显著，主要体现在以下几个方面：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统一服务入口，提升用户体验：改变了以往多头联系的混乱局面，用户只需记住单一联系方式即可获得支持，体验得到极大改善。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提高响应与处理效率：通过流程化的工单管理和自动分派，减少了中间环节，事件响应时间和处理效率得到有效提升。据统计，2025年上半年服务台共受理服务请求203个，均得到有效处理与跟踪。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实现过程可视化与管理：所有服务活动均在ITSM系统中留有记录，实现了运维过程的全程可追溯，为问题分析、绩效考核和服务报告提供了数据支持。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加强团队协作与知识管理：服务台作为信息枢纽，促进了各技术支持团队间的协作。同时，通过回访和知识提炼，持续丰富了知识库内容。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支撑SLA达成与满意度提升：服务台的规范化运作是确保服务级别协议（SLA）达成的关键。在2025年度的客户满意度调查中，服务台的及时响应与有效沟通获得了用户的高度认可。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综上所述，甘肃国邦信息科技有限公司的服务台已建立起一套完整、高效的运行与管理体系，其应用情况符合ITSS对服务台的管理要求，并有效支撑了公司运维服务能力的持续改进与提升。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Theme="minorEastAsia" w:eastAsiaTheme="minorEastAsia" w:hAnsiTheme="minorEastAsia" w:hint="eastAsia"/>
        <w:szCs w:val="24"/>
      </w:rPr>
      <w:t xml:space="preserve">                </w:t>
    </w:r>
    <w:r>
      <w:rPr>
        <w:rFonts w:asciiTheme="minorEastAsia" w:eastAsiaTheme="minorEastAsia" w:hAnsiTheme="minorEastAsia"/>
        <w:szCs w:val="24"/>
      </w:rPr>
      <w:t xml:space="preserve">                         </w:t>
    </w:r>
    <w:r>
      <w:rPr>
        <w:rFonts w:asciiTheme="minorEastAsia" w:eastAsiaTheme="minorEastAsia" w:hAnsiTheme="minorEastAsia" w:hint="eastAsia"/>
        <w:szCs w:val="24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 w:qFormat="1"/>
    <w:lsdException w:name="toc 5" w:uiPriority="39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uiPriority="0" w:unhideWhenUsed="0" w:qFormat="1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20" w:firstLineChars="200"/>
      <w:jc w:val="both"/>
    </w:pPr>
    <w:rPr>
      <w:rFonts w:ascii="Calibri" w:eastAsia="宋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48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20" w:after="20" w:line="360" w:lineRule="auto"/>
      <w:outlineLvl w:val="1"/>
    </w:pPr>
    <w:rPr>
      <w:rFonts w:ascii="Cambria" w:eastAsia="黑体" w:hAnsi="Cambria"/>
      <w:b/>
      <w:bCs/>
      <w:szCs w:val="32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line="360" w:lineRule="auto"/>
      <w:ind w:firstLine="0" w:firstLineChars="0"/>
      <w:jc w:val="center"/>
      <w:outlineLvl w:val="2"/>
    </w:pPr>
    <w:rPr>
      <w:rFonts w:eastAsia="宋体"/>
      <w:b/>
      <w:bCs/>
      <w:szCs w:val="32"/>
    </w:rPr>
  </w:style>
  <w:style w:type="paragraph" w:styleId="Heading4">
    <w:name w:val="heading 4"/>
    <w:basedOn w:val="a"/>
    <w:next w:val="a"/>
    <w:autoRedefine/>
    <w:qFormat/>
    <w:pPr>
      <w:keepNext/>
      <w:keepLines/>
      <w:spacing w:line="240" w:lineRule="auto"/>
      <w:outlineLvl w:val="3"/>
    </w:pPr>
    <w:rPr>
      <w:rFonts w:ascii="Cambria" w:hAnsi="Cambria"/>
      <w:bCs/>
      <w:sz w:val="21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常"/>
    <w:autoRedefine/>
    <w:qFormat/>
    <w:pPr>
      <w:widowControl w:val="0"/>
      <w:jc w:val="center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NormalIndent">
    <w:name w:val="Normal Indent"/>
    <w:basedOn w:val="Normal"/>
    <w:autoRedefine/>
    <w:qFormat/>
    <w:pPr>
      <w:ind w:firstLine="420"/>
    </w:p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2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ind w:left="1680" w:leftChars="800"/>
    </w:p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ind w:left="1260" w:leftChars="600"/>
    </w:p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List">
    <w:name w:val="List"/>
    <w:basedOn w:val="Normal"/>
    <w:autoRedefine/>
    <w:qFormat/>
    <w:pPr>
      <w:ind w:left="200" w:hanging="200" w:hangingChars="200"/>
    </w:p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1">
    <w:name w:val="页脚 字符"/>
    <w:basedOn w:val="DefaultParagraphFont"/>
    <w:link w:val="Footer"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3">
    <w:name w:val="*正文"/>
    <w:basedOn w:val="Normal"/>
    <w:qFormat/>
    <w:pPr>
      <w:ind w:firstLine="200" w:firstLineChars="200"/>
    </w:p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30">
    <w:name w:val="样式3"/>
    <w:basedOn w:val="List"/>
    <w:qFormat/>
    <w:pPr>
      <w:keepNext w:val="0"/>
      <w:ind w:left="0" w:firstLine="0" w:firstLineChars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BEA-CC87-4B84-9831-8EA9AA7F9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257</Words>
  <Characters>365</Characters>
  <Application>Microsoft Office Word</Application>
  <DocSecurity>0</DocSecurity>
  <Lines>42</Lines>
  <Paragraphs>11</Paragraphs>
  <ScaleCrop>false</ScaleCrop>
  <Company>Microsoft</Company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21</cp:revision>
  <dcterms:created xsi:type="dcterms:W3CDTF">2019-03-04T09:01:00Z</dcterms:created>
  <dcterms:modified xsi:type="dcterms:W3CDTF">2025-11-27T16:38:19Z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E7C5EAB1546442CBA330423247C73DB4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