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0" w:firstLineChars="0"/>
        <w:jc w:val="center"/>
        <w:rPr>
          <w:rFonts w:ascii="微软雅黑" w:eastAsia="微软雅黑" w:hAnsi="微软雅黑" w:cs="微软雅黑" w:hint="eastAsia"/>
          <w:lang w:eastAsia="zh-CN"/>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-1233805</wp:posOffset>
            </wp:positionH>
            <wp:positionV relativeFrom="paragraph">
              <wp:posOffset>-1224915</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ind w:firstLine="0" w:firstLineChars="0"/>
        <w:jc w:val="center"/>
        <w:rPr>
          <w:rFonts w:ascii="微软雅黑" w:eastAsia="微软雅黑" w:hAnsi="微软雅黑" w:cs="微软雅黑" w:hint="eastAsia"/>
          <w:lang w:eastAsia="zh-CN"/>
        </w:rPr>
      </w:pPr>
    </w:p>
    <w:p>
      <w:pPr>
        <w:ind w:firstLine="0" w:firstLineChars="0"/>
        <w:jc w:val="center"/>
        <w:rPr>
          <w:b/>
          <w:sz w:val="48"/>
          <w:szCs w:val="48"/>
        </w:rPr>
      </w:pP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rFonts w:eastAsia="宋体" w:hint="eastAsia"/>
          <w:b/>
          <w:sz w:val="48"/>
          <w:szCs w:val="48"/>
          <w:lang w:eastAsia="zh-CN"/>
        </w:rPr>
      </w:pPr>
      <w:r>
        <w:rPr>
          <w:rFonts w:hint="eastAsia"/>
          <w:b/>
          <w:sz w:val="48"/>
          <w:szCs w:val="48"/>
          <w:lang w:val="en-US" w:eastAsia="zh-CN"/>
        </w:rPr>
        <w:t>服务知识</w:t>
      </w:r>
      <w:r>
        <w:rPr>
          <w:rFonts w:hint="eastAsia"/>
          <w:b/>
          <w:sz w:val="48"/>
          <w:szCs w:val="48"/>
          <w:lang w:eastAsia="zh-CN"/>
        </w:rPr>
        <w:t>应用情况说明</w:t>
      </w:r>
    </w:p>
    <w:p>
      <w:pPr>
        <w:ind w:firstLine="0" w:firstLineChars="0"/>
        <w:jc w:val="center"/>
        <w:rPr>
          <w:b/>
          <w:sz w:val="48"/>
          <w:szCs w:val="48"/>
        </w:rPr>
      </w:pPr>
    </w:p>
    <w:p>
      <w:pPr>
        <w:spacing w:after="156" w:afterLines="50"/>
        <w:ind w:firstLine="0" w:firstLineChars="0"/>
        <w:jc w:val="center"/>
        <w:rPr>
          <w:rFonts w:eastAsia="宋体" w:hint="default"/>
          <w:b/>
          <w:bCs/>
          <w:sz w:val="36"/>
          <w:szCs w:val="36"/>
          <w:lang w:val="en-US" w:eastAsia="zh-CN"/>
        </w:rPr>
      </w:pPr>
      <w:r>
        <w:rPr>
          <w:rFonts w:ascii="宋体" w:eastAsia="宋体" w:hAnsi="宋体" w:cs="宋体" w:hint="eastAsia"/>
          <w:b/>
          <w:bCs/>
          <w:sz w:val="36"/>
          <w:szCs w:val="36"/>
          <w:lang w:val="en-US" w:eastAsia="zh-CN"/>
        </w:rPr>
        <w:t>GSGB-ITSS-</w:t>
      </w:r>
      <w:r>
        <w:rPr>
          <w:rFonts w:ascii="宋体" w:hAnsi="宋体" w:cs="宋体" w:hint="eastAsia"/>
          <w:b/>
          <w:bCs/>
          <w:sz w:val="36"/>
          <w:szCs w:val="36"/>
          <w:lang w:val="en-US" w:eastAsia="zh-CN"/>
        </w:rPr>
        <w:t>10</w:t>
      </w:r>
      <w:r>
        <w:rPr>
          <w:rFonts w:ascii="宋体" w:eastAsia="宋体" w:hAnsi="宋体" w:cs="宋体" w:hint="eastAsia"/>
          <w:b/>
          <w:bCs/>
          <w:sz w:val="36"/>
          <w:szCs w:val="36"/>
          <w:lang w:val="en-US" w:eastAsia="zh-CN"/>
        </w:rPr>
        <w:t>-0</w:t>
      </w:r>
      <w:r>
        <w:rPr>
          <w:rFonts w:ascii="宋体" w:hAnsi="宋体" w:cs="宋体" w:hint="eastAsia"/>
          <w:b/>
          <w:bCs/>
          <w:sz w:val="36"/>
          <w:szCs w:val="36"/>
          <w:lang w:val="en-US" w:eastAsia="zh-CN"/>
        </w:rPr>
        <w:t>2</w:t>
      </w:r>
    </w:p>
    <w:p>
      <w:pPr>
        <w:spacing w:after="156" w:afterLines="50"/>
        <w:ind w:firstLine="0" w:firstLineChars="0"/>
        <w:rPr>
          <w:sz w:val="36"/>
          <w:szCs w:val="36"/>
        </w:rPr>
      </w:pPr>
    </w:p>
    <w:p>
      <w:pPr>
        <w:spacing w:after="156" w:afterLines="50"/>
        <w:ind w:firstLine="0" w:firstLineChars="0"/>
        <w:rPr>
          <w:sz w:val="36"/>
          <w:szCs w:val="36"/>
        </w:rPr>
      </w:pPr>
    </w:p>
    <w:p>
      <w:pPr>
        <w:spacing w:after="156" w:afterLines="50"/>
        <w:ind w:firstLine="0" w:firstLineChars="0"/>
        <w:rPr>
          <w:sz w:val="36"/>
          <w:szCs w:val="36"/>
        </w:rPr>
      </w:pPr>
    </w:p>
    <w:p>
      <w:pPr>
        <w:tabs>
          <w:tab w:val="left" w:pos="0"/>
        </w:tabs>
        <w:spacing w:line="1000" w:lineRule="exact"/>
        <w:ind w:firstLine="120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eastAsia="zh-CN"/>
        </w:rPr>
        <w:t>胡葛鹏宇</w:t>
      </w:r>
      <w:r>
        <w:rPr>
          <w:rFonts w:hint="eastAsia"/>
          <w:sz w:val="32"/>
          <w:szCs w:val="32"/>
          <w:u w:val="single"/>
        </w:rPr>
        <w:t xml:space="preserve">            </w:t>
      </w:r>
    </w:p>
    <w:p>
      <w:pPr>
        <w:tabs>
          <w:tab w:val="left" w:pos="0"/>
        </w:tabs>
        <w:spacing w:line="1000" w:lineRule="exact"/>
        <w:ind w:firstLine="120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200" w:firstLineChars="500"/>
        <w:jc w:val="left"/>
        <w:rPr>
          <w:rFonts w:hint="eastAsia"/>
          <w:b/>
          <w:sz w:val="32"/>
          <w:szCs w:val="32"/>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r>
        <w:rPr>
          <w:rFonts w:hint="eastAsia"/>
          <w:sz w:val="32"/>
          <w:szCs w:val="32"/>
          <w:u w:val="single"/>
        </w:rPr>
        <w:t xml:space="preserve">鑫            </w:t>
      </w:r>
    </w:p>
    <w:p>
      <w:pPr>
        <w:tabs>
          <w:tab w:val="left" w:pos="0"/>
        </w:tabs>
        <w:spacing w:before="312" w:beforeLines="100" w:after="312" w:afterLines="100"/>
        <w:ind w:firstLine="0" w:firstLineChars="0"/>
        <w:jc w:val="center"/>
        <w:rPr>
          <w:rFonts w:ascii="黑体" w:eastAsia="黑体" w:hint="eastAsia"/>
          <w:sz w:val="36"/>
          <w:szCs w:val="36"/>
        </w:rPr>
      </w:pPr>
    </w:p>
    <w:p>
      <w:pPr>
        <w:tabs>
          <w:tab w:val="left" w:pos="0"/>
        </w:tabs>
        <w:spacing w:before="312" w:beforeLines="100" w:after="312" w:afterLines="100"/>
        <w:ind w:firstLine="0" w:firstLineChars="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4"/>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4"/>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4"/>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4"/>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spacing w:line="240" w:lineRule="auto"/>
              <w:ind w:firstLine="0" w:firstLineChars="0"/>
              <w:rPr>
                <w:rFonts w:hint="default"/>
                <w:lang w:val="en-US" w:eastAsia="zh-CN"/>
              </w:rPr>
            </w:pPr>
            <w:r>
              <w:rPr>
                <w:rFonts w:hint="eastAsia"/>
                <w:lang w:val="en-US" w:eastAsia="zh-CN"/>
              </w:rPr>
              <w:t>1.0</w:t>
            </w:r>
          </w:p>
        </w:tc>
        <w:tc>
          <w:tcPr>
            <w:tcW w:w="810" w:type="pct"/>
            <w:vAlign w:val="center"/>
          </w:tcPr>
          <w:p>
            <w:pPr>
              <w:pStyle w:val="a5"/>
              <w:spacing w:line="240" w:lineRule="auto"/>
              <w:ind w:firstLine="0" w:firstLineChars="0"/>
              <w:rPr>
                <w:lang w:val="en-US" w:eastAsia="zh-CN"/>
              </w:rPr>
            </w:pPr>
            <w:r>
              <w:rPr>
                <w:rFonts w:hint="eastAsia"/>
                <w:lang w:val="en-US" w:eastAsia="zh-CN"/>
              </w:rPr>
              <w:t>新建</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胡葛鹏宇</w:t>
            </w:r>
          </w:p>
        </w:tc>
        <w:tc>
          <w:tcPr>
            <w:tcW w:w="810" w:type="pct"/>
            <w:vAlign w:val="center"/>
          </w:tcPr>
          <w:p>
            <w:pPr>
              <w:pStyle w:val="a5"/>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5"/>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5"/>
              <w:spacing w:line="240" w:lineRule="auto"/>
              <w:ind w:firstLine="0" w:firstLineChars="0"/>
              <w:rPr>
                <w:rFonts w:hint="default"/>
                <w:lang w:val="en-US" w:eastAsia="zh-CN"/>
              </w:rPr>
            </w:pPr>
            <w:r>
              <w:rPr>
                <w:rFonts w:hint="eastAsia"/>
                <w:lang w:val="en-US" w:eastAsia="zh-CN"/>
              </w:rPr>
              <w:t>2025.11.15</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10" w:type="pct"/>
            <w:vAlign w:val="center"/>
          </w:tcPr>
          <w:p>
            <w:pPr>
              <w:pStyle w:val="a5"/>
              <w:ind w:firstLine="480"/>
              <w:rPr>
                <w:lang w:val="en-US" w:eastAsia="zh-CN"/>
              </w:rPr>
            </w:pPr>
          </w:p>
        </w:tc>
        <w:tc>
          <w:tcPr>
            <w:tcW w:w="878" w:type="pct"/>
            <w:vAlign w:val="center"/>
          </w:tcPr>
          <w:p>
            <w:pPr>
              <w:pStyle w:val="a5"/>
              <w:ind w:firstLine="480"/>
              <w:rPr>
                <w:lang w:val="en-US" w:eastAsia="zh-CN"/>
              </w:rPr>
            </w:pPr>
          </w:p>
        </w:tc>
        <w:tc>
          <w:tcPr>
            <w:tcW w:w="878" w:type="pct"/>
            <w:vAlign w:val="center"/>
          </w:tcPr>
          <w:p>
            <w:pPr>
              <w:pStyle w:val="a5"/>
              <w:ind w:firstLine="480"/>
              <w:rPr>
                <w:lang w:val="en-US" w:eastAsia="zh-CN"/>
              </w:rPr>
            </w:pPr>
          </w:p>
        </w:tc>
      </w:tr>
    </w:tbl>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黑体" w:hAnsi="黑体"/>
          <w:b/>
          <w:sz w:val="32"/>
          <w:szCs w:val="32"/>
        </w:rPr>
        <w:sectPr>
          <w:headerReference w:type="default" r:id="rId7"/>
          <w:footerReference w:type="default" r:id="rId8"/>
          <w:pgSz w:w="11906" w:h="16838"/>
          <w:pgMar w:top="1560" w:right="1800" w:bottom="1440" w:left="1800" w:header="851" w:footer="992" w:gutter="0"/>
          <w:cols w:num="1" w:space="720"/>
          <w:docGrid w:type="lines" w:linePitch="312" w:charSpace="0"/>
        </w:sectPr>
      </w:pPr>
    </w:p>
    <w:p>
      <w:pPr>
        <w:pStyle w:val="TOC1"/>
        <w:spacing w:line="480" w:lineRule="auto"/>
        <w:jc w:val="center"/>
        <w:rPr>
          <w:rFonts w:ascii="仿宋" w:eastAsia="仿宋" w:hAnsi="仿宋"/>
          <w:sz w:val="32"/>
          <w:szCs w:val="32"/>
        </w:rPr>
      </w:pPr>
      <w:r>
        <w:rPr>
          <w:rFonts w:ascii="仿宋" w:eastAsia="仿宋" w:hAnsi="仿宋" w:hint="eastAsia"/>
          <w:sz w:val="32"/>
          <w:szCs w:val="32"/>
        </w:rPr>
        <w:t>目  录</w:t>
      </w:r>
    </w:p>
    <w:p>
      <w:pPr>
        <w:pStyle w:val="TOC1"/>
        <w:tabs>
          <w:tab w:val="right" w:leader="dot" w:pos="8306"/>
        </w:tabs>
      </w:pPr>
      <w:bookmarkStart w:id="0" w:name="_GoBack"/>
      <w:bookmarkEnd w:id="0"/>
      <w:r>
        <w:rPr>
          <w:rFonts w:ascii="黑体" w:eastAsia="黑体" w:hAnsi="黑体"/>
          <w:sz w:val="24"/>
          <w:szCs w:val="24"/>
        </w:rPr>
        <w:fldChar w:fldCharType="begin"/>
      </w:r>
      <w:r>
        <w:rPr>
          <w:rFonts w:ascii="黑体" w:eastAsia="黑体" w:hAnsi="黑体"/>
          <w:sz w:val="24"/>
          <w:szCs w:val="24"/>
        </w:rPr>
        <w:instrText xml:space="preserve">TOC \o "1-5" \h \u </w:instrText>
      </w:r>
      <w:r>
        <w:rPr>
          <w:rFonts w:ascii="黑体" w:eastAsia="黑体" w:hAnsi="黑体"/>
          <w:sz w:val="24"/>
          <w:szCs w:val="24"/>
        </w:rPr>
        <w:fldChar w:fldCharType="separate"/>
      </w:r>
      <w:r>
        <w:rPr>
          <w:rFonts w:ascii="黑体" w:eastAsia="黑体" w:hAnsi="黑体"/>
          <w:szCs w:val="24"/>
        </w:rPr>
        <w:fldChar w:fldCharType="begin"/>
      </w:r>
      <w:r>
        <w:rPr>
          <w:rFonts w:ascii="黑体" w:eastAsia="黑体" w:hAnsi="黑体"/>
          <w:szCs w:val="24"/>
        </w:rPr>
        <w:instrText xml:space="preserve"> HYPERLINK \l _Toc821 </w:instrText>
      </w:r>
      <w:r>
        <w:rPr>
          <w:rFonts w:ascii="黑体" w:eastAsia="黑体" w:hAnsi="黑体"/>
          <w:szCs w:val="24"/>
        </w:rPr>
        <w:fldChar w:fldCharType="separate"/>
      </w:r>
      <w:r>
        <w:rPr>
          <w:rFonts w:hint="eastAsia"/>
          <w:lang w:val="en-US" w:eastAsia="zh-CN"/>
        </w:rPr>
        <w:t>1. 概述</w:t>
      </w:r>
      <w:r>
        <w:tab/>
      </w:r>
      <w:r>
        <w:fldChar w:fldCharType="begin"/>
      </w:r>
      <w:r>
        <w:instrText xml:space="preserve"> PAGEREF _Toc821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_Toc12495 </w:instrText>
      </w:r>
      <w:r>
        <w:rPr>
          <w:rFonts w:ascii="黑体" w:eastAsia="黑体" w:hAnsi="黑体"/>
          <w:szCs w:val="24"/>
        </w:rPr>
        <w:fldChar w:fldCharType="separate"/>
      </w:r>
      <w:r>
        <w:rPr>
          <w:rFonts w:hint="eastAsia"/>
          <w:lang w:val="en-US" w:eastAsia="zh-CN"/>
        </w:rPr>
        <w:t>2. 服务知识管理组织与职责</w:t>
      </w:r>
      <w:r>
        <w:tab/>
      </w:r>
      <w:r>
        <w:fldChar w:fldCharType="begin"/>
      </w:r>
      <w:r>
        <w:instrText xml:space="preserve"> PAGEREF _Toc12495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_Toc4689 </w:instrText>
      </w:r>
      <w:r>
        <w:rPr>
          <w:rFonts w:ascii="黑体" w:eastAsia="黑体" w:hAnsi="黑体"/>
          <w:szCs w:val="24"/>
        </w:rPr>
        <w:fldChar w:fldCharType="separate"/>
      </w:r>
      <w:r>
        <w:rPr>
          <w:rFonts w:hint="eastAsia"/>
          <w:lang w:val="en-US" w:eastAsia="zh-CN"/>
        </w:rPr>
        <w:t>3. 服务知识管理制度与流程</w:t>
      </w:r>
      <w:r>
        <w:tab/>
      </w:r>
      <w:r>
        <w:fldChar w:fldCharType="begin"/>
      </w:r>
      <w:r>
        <w:instrText xml:space="preserve"> PAGEREF _Toc4689 \h </w:instrText>
      </w:r>
      <w:r>
        <w:fldChar w:fldCharType="separate"/>
      </w:r>
      <w:r>
        <w:t>1</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_Toc17675 </w:instrText>
      </w:r>
      <w:r>
        <w:rPr>
          <w:rFonts w:ascii="黑体" w:eastAsia="黑体" w:hAnsi="黑体"/>
          <w:szCs w:val="24"/>
        </w:rPr>
        <w:fldChar w:fldCharType="separate"/>
      </w:r>
      <w:r>
        <w:rPr>
          <w:rFonts w:hint="eastAsia"/>
          <w:lang w:val="en-US" w:eastAsia="zh-CN"/>
        </w:rPr>
        <w:t>4. 知识库工具与应用</w:t>
      </w:r>
      <w:r>
        <w:tab/>
      </w:r>
      <w:r>
        <w:fldChar w:fldCharType="begin"/>
      </w:r>
      <w:r>
        <w:instrText xml:space="preserve"> PAGEREF _Toc17675 \h </w:instrText>
      </w:r>
      <w:r>
        <w:fldChar w:fldCharType="separate"/>
      </w:r>
      <w:r>
        <w:t>2</w:t>
      </w:r>
      <w:r>
        <w:fldChar w:fldCharType="end"/>
      </w:r>
      <w:r>
        <w:rPr>
          <w:rFonts w:ascii="黑体" w:eastAsia="黑体" w:hAnsi="黑体"/>
          <w:szCs w:val="24"/>
        </w:rPr>
        <w:fldChar w:fldCharType="end"/>
      </w:r>
    </w:p>
    <w:p>
      <w:pPr>
        <w:pStyle w:val="TOC1"/>
        <w:tabs>
          <w:tab w:val="right" w:leader="dot" w:pos="8306"/>
        </w:tabs>
      </w:pPr>
      <w:r>
        <w:rPr>
          <w:rFonts w:ascii="黑体" w:eastAsia="黑体" w:hAnsi="黑体"/>
          <w:szCs w:val="24"/>
        </w:rPr>
        <w:fldChar w:fldCharType="begin"/>
      </w:r>
      <w:r>
        <w:rPr>
          <w:rFonts w:ascii="黑体" w:eastAsia="黑体" w:hAnsi="黑体"/>
          <w:szCs w:val="24"/>
        </w:rPr>
        <w:instrText xml:space="preserve"> HYPERLINK \l _Toc9356 </w:instrText>
      </w:r>
      <w:r>
        <w:rPr>
          <w:rFonts w:ascii="黑体" w:eastAsia="黑体" w:hAnsi="黑体"/>
          <w:szCs w:val="24"/>
        </w:rPr>
        <w:fldChar w:fldCharType="separate"/>
      </w:r>
      <w:r>
        <w:rPr>
          <w:rFonts w:hint="eastAsia"/>
          <w:lang w:val="en-US" w:eastAsia="zh-CN"/>
        </w:rPr>
        <w:t>5. 服务知识应用效果评估</w:t>
      </w:r>
      <w:r>
        <w:tab/>
      </w:r>
      <w:r>
        <w:fldChar w:fldCharType="begin"/>
      </w:r>
      <w:r>
        <w:instrText xml:space="preserve"> PAGEREF _Toc9356 \h </w:instrText>
      </w:r>
      <w:r>
        <w:fldChar w:fldCharType="separate"/>
      </w:r>
      <w:r>
        <w:t>3</w:t>
      </w:r>
      <w:r>
        <w:fldChar w:fldCharType="end"/>
      </w:r>
      <w:r>
        <w:rPr>
          <w:rFonts w:ascii="黑体" w:eastAsia="黑体" w:hAnsi="黑体"/>
          <w:szCs w:val="24"/>
        </w:rPr>
        <w:fldChar w:fldCharType="end"/>
      </w:r>
    </w:p>
    <w:p>
      <w:pPr>
        <w:pStyle w:val="TOC2"/>
        <w:widowControl/>
        <w:tabs>
          <w:tab w:val="left" w:pos="1440"/>
          <w:tab w:val="right" w:leader="dot" w:pos="8869"/>
        </w:tabs>
        <w:spacing w:line="480" w:lineRule="auto"/>
        <w:ind w:left="0"/>
        <w:rPr>
          <w:rFonts w:ascii="黑体" w:eastAsia="黑体" w:hAnsi="黑体"/>
          <w:sz w:val="24"/>
          <w:szCs w:val="24"/>
        </w:rPr>
        <w:sectPr>
          <w:pgSz w:w="11906" w:h="16838"/>
          <w:pgMar w:top="1560" w:right="1800" w:bottom="1440" w:left="1800" w:header="851" w:footer="992" w:gutter="0"/>
          <w:cols w:num="1" w:space="720"/>
          <w:docGrid w:type="lines" w:linePitch="312" w:charSpace="0"/>
        </w:sectPr>
      </w:pPr>
      <w:r>
        <w:rPr>
          <w:rFonts w:ascii="黑体" w:eastAsia="黑体" w:hAnsi="黑体"/>
          <w:szCs w:val="24"/>
        </w:rPr>
        <w:fldChar w:fldCharType="end"/>
      </w:r>
    </w:p>
    <w:p>
      <w:pPr>
        <w:pStyle w:val="Heading1"/>
        <w:bidi w:val="0"/>
        <w:rPr>
          <w:rFonts w:hint="eastAsia"/>
          <w:lang w:val="en-US" w:eastAsia="zh-CN"/>
        </w:rPr>
      </w:pPr>
      <w:bookmarkStart w:id="1" w:name="_Toc821"/>
      <w:r>
        <w:rPr>
          <w:rFonts w:hint="eastAsia"/>
          <w:lang w:val="en-US" w:eastAsia="zh-CN"/>
        </w:rPr>
        <w:t>1. 概述</w:t>
      </w:r>
      <w:bookmarkEnd w:id="1"/>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甘肃国邦信息科技有限公司（以下简称“公司”）深刻认识到知识是运维服务的核心资产，是提升服务效率、保障服务质量、实现经验传承的关键。为改变以往知识信息分散于各个工程师手中、管理混乱、检索困难的局面，公司自构建运维服务体系之初，便系统性地建立了服务知识管理机制。</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通过制定《服务知识管理程序》，并依托“网强ITSM流程管理软件”中的知识库模块，公司实现了对运维过程中产生的解决方案、技术经验、典型案例等知识的规范化管理。本说明旨在详细阐述公司服务知识的积累、共享、应用与创新机制，及其对运维服务能力提升的支撑作用。</w:t>
      </w:r>
    </w:p>
    <w:p>
      <w:pPr>
        <w:pStyle w:val="Heading1"/>
        <w:bidi w:val="0"/>
        <w:rPr>
          <w:rFonts w:hint="eastAsia"/>
          <w:lang w:val="en-US" w:eastAsia="zh-CN"/>
        </w:rPr>
      </w:pPr>
      <w:bookmarkStart w:id="2" w:name="_Toc12495"/>
      <w:r>
        <w:rPr>
          <w:rFonts w:hint="eastAsia"/>
          <w:lang w:val="en-US" w:eastAsia="zh-CN"/>
        </w:rPr>
        <w:t>2. 服务知识管理组织与职责</w:t>
      </w:r>
      <w:bookmarkEnd w:id="2"/>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服务知识管理实行“共建共享、归口管理”的原则，各角色职责明确：</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全体运维人员：作为知识的创造者和使用者，有责任将工作中遇到的典型问题、解决方案、技术技巧等提炼、总结并提交知识条目。</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各技术组/项目经理：负责对本领域或本项目内产生的知识草案进行初步审核，确保技术内容的准确性。</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运维管理部（知识管理员）：作为知识管理的归口部门，负责知识管理流程的推动、知识内容的最终审核、发布、分类、归档与定期复审，并组织知识的推广与应用。</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质量管控部：负责监督知识管理流程的执行效果，并将知识应用情况纳入质量检查范畴。</w:t>
      </w:r>
    </w:p>
    <w:p>
      <w:pPr>
        <w:pStyle w:val="Heading1"/>
        <w:bidi w:val="0"/>
        <w:rPr>
          <w:rFonts w:hint="eastAsia"/>
          <w:lang w:val="en-US" w:eastAsia="zh-CN"/>
        </w:rPr>
      </w:pPr>
      <w:bookmarkStart w:id="3" w:name="_Toc4689"/>
      <w:r>
        <w:rPr>
          <w:rFonts w:hint="eastAsia"/>
          <w:lang w:val="en-US" w:eastAsia="zh-CN"/>
        </w:rPr>
        <w:t>3. 服务知识管理制度与流程</w:t>
      </w:r>
      <w:bookmarkEnd w:id="3"/>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公司通过《服务知识管理程序》对知识的全生命周期进行管理，核心流程包括：</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知识识别与获取：</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来源：主要来源于事件和问题管理的解决记录、技术攻关成果、内部培训资料、外部技术资料等。</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触发：鼓励工程师在成功解决一个具有复用价值的故障或问题后，及时将其转化为知识条目。</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知识提交与审核：</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工程师通过ITSM系统提交知识草案。</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经过技术组长初审、知识管理员终审的两级审核机制，确保知识内容的准确性、规范性和适用性。</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知识发布与共享：</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审核通过的知识被分类发布至公司知识库，并设置相应的访问权限。</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知识分类清晰，涵盖网络、主机、数据库、中间件、应用软件等多个技术领域，并包括常见故障、配置规范、操作手册等类型。</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知识使用与推广：</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服务台和一线工程师在处理事件时，必须首先查询知识库，尝试匹配已有解决方案。</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通过定期推送优秀知识、组织专题学习、将知识应用与绩效考核适度挂钩等方式，促进知识的主动应用。</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知识更新与退休：</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知识管理员定期对知识库内容进行复审。</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对于过时、失效或已被新技术替代的知识，及时进行更新或归档处理，确保知识的时效性。</w:t>
      </w:r>
    </w:p>
    <w:p>
      <w:pPr>
        <w:pStyle w:val="Heading1"/>
        <w:bidi w:val="0"/>
        <w:rPr>
          <w:rFonts w:hint="eastAsia"/>
          <w:lang w:val="en-US" w:eastAsia="zh-CN"/>
        </w:rPr>
      </w:pPr>
      <w:bookmarkStart w:id="4" w:name="_Toc17675"/>
      <w:r>
        <w:rPr>
          <w:rFonts w:hint="eastAsia"/>
          <w:lang w:val="en-US" w:eastAsia="zh-CN"/>
        </w:rPr>
        <w:t>4. 知识库工具与应用</w:t>
      </w:r>
      <w:bookmarkEnd w:id="4"/>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公司使用“网强ITSM流程管理软件”中的知识库模块作为统一的知识管理平台。该平台具备以下功能，有效支撑了知识管理流程：</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集中存储：所有知识以结构化形式存储在统一的数据库中。</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分类与权限管理：支持按技术领域、知识类型等多维度分类，并可设置不同的查阅与维护权限。</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强大检索：提供关键字搜索、全文检索等功能，工程师能够快速定位所需知识。</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关联集成：知识库与事件、问题模块紧密关联，工程师在处理工单时可方便地链接或引用相关知识，也可将已解决的事件直接转化为知识。</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版本控制：记录知识的版本历史，便于追溯与回溯。</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统计与分析：可统计知识数量、阅读量、利用率等指标，为管理改进提供数据支持。</w:t>
      </w:r>
    </w:p>
    <w:p>
      <w:pPr>
        <w:pStyle w:val="Heading1"/>
        <w:bidi w:val="0"/>
        <w:rPr>
          <w:rFonts w:hint="eastAsia"/>
          <w:lang w:val="en-US" w:eastAsia="zh-CN"/>
        </w:rPr>
      </w:pPr>
      <w:bookmarkStart w:id="5" w:name="_Toc9356"/>
      <w:r>
        <w:rPr>
          <w:rFonts w:hint="eastAsia"/>
          <w:lang w:val="en-US" w:eastAsia="zh-CN"/>
        </w:rPr>
        <w:t>5. 服务知识应用效果评估</w:t>
      </w:r>
      <w:bookmarkEnd w:id="5"/>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自知识管理体系正式运行以来，其应用效果显著，已成为公司提升运维服务能力的重要引擎：</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实现了知识的有效积累与标准化：对散落在个人手中的隐性知识进行了大规模编码化和数字化收集与整理。截至2025年11月，公司知识库已积累有效知识条目数百条，2025年度新增知识52条，内容覆盖了公司主要运维技术领域。</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显著提升运维效率与一线解决率：知识库为服务台和一线工程师提供了强大的后台支持。通过查询知识库，大量常见问题得以快速解决，无需升级至二线专家，有效缩短了事件平均解决时间。据统计，知识库的利用率达到95%，系统内70%以上的知识阅读量上百次，服务台和一线解决率相较体系建立初期有明显提升。</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保障服务质量与一致性：通过共享标准化的解决方案，减少了不同工程师因技术水平差异导致的处理结果不一致，保证了服务交付质量的稳定性与可靠性。</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促进人员能力提升与团队学习：知识库成为新员工培训和团队经验分享的最佳教材，加速了人员成长，降低了人员流动对服务质量带来的风险。</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支撑持续改进与问题预防：对知识内容的统计分析有助于识别共性问题和薄弱环节，为问题管理和技术培训提供了输入，实现了从被动响应到主动预防的转变。</w:t>
      </w:r>
    </w:p>
    <w:p>
      <w:pPr>
        <w:bidi w:val="0"/>
        <w:spacing w:line="360" w:lineRule="auto"/>
        <w:ind w:firstLine="480" w:firstLineChars="200"/>
        <w:jc w:val="left"/>
        <w:rPr>
          <w:rFonts w:ascii="宋体" w:hAnsi="宋体" w:hint="eastAsia"/>
          <w:sz w:val="24"/>
          <w:lang w:val="en-US" w:eastAsia="zh-CN"/>
        </w:rPr>
      </w:pPr>
      <w:r>
        <w:rPr>
          <w:rFonts w:ascii="宋体" w:hAnsi="宋体" w:hint="eastAsia"/>
          <w:sz w:val="24"/>
          <w:lang w:val="en-US" w:eastAsia="zh-CN"/>
        </w:rPr>
        <w:t>综上所述，甘肃国邦信息科技有限公司已建立起一个活跃、高效的服务知识管理体系。该体系不仅实现了知识的沉淀与共享，更将其深度融入日常运维流程，转化为实实在在的服务生产力和质量竞争力，完全满足并超越了ITSS对服务知识管理的能力要求。</w:t>
      </w:r>
    </w:p>
    <w:sectPr>
      <w:footerReference w:type="default" r:id="rId9"/>
      <w:pgSz w:w="11906" w:h="16838"/>
      <w:pgMar w:top="1560" w:right="1800" w:bottom="1440" w:left="1800" w:header="851" w:footer="992" w:gutter="0"/>
      <w:pgNumType w:fmt="decimal"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r>
      <w:rPr>
        <w:rFonts w:asciiTheme="minorEastAsia" w:eastAsiaTheme="minorEastAsia" w:hAnsiTheme="minorEastAsia" w:hint="eastAsia"/>
        <w:szCs w:val="24"/>
      </w:rPr>
      <w:t xml:space="preserve">                </w:t>
    </w:r>
    <w:r>
      <w:rPr>
        <w:rFonts w:asciiTheme="minorEastAsia" w:eastAsiaTheme="minorEastAsia" w:hAnsiTheme="minorEastAsia"/>
        <w:szCs w:val="24"/>
      </w:rPr>
      <w:t xml:space="preserve">                         </w:t>
    </w:r>
    <w:r>
      <w:rPr>
        <w:rFonts w:asciiTheme="minorEastAsia" w:eastAsiaTheme="minorEastAsia" w:hAnsiTheme="minorEastAsia" w:hint="eastAsia"/>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420"/>
  <w:drawingGridHorizontalSpacing w:val="105"/>
  <w:drawingGridVerticalSpacing w:val="156"/>
  <w:noPunctuationKerning/>
  <w:characterSpacingControl w:val="compressPunctuation"/>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5YTk2NWU3OTRhNTU0YjZlNWE0ODExMjY4YzM0MTg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semiHidden="0" w:uiPriority="0" w:unhideWhenUsed="0" w:qFormat="1"/>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ind w:firstLine="420" w:firstLineChars="200"/>
      <w:jc w:val="both"/>
    </w:pPr>
    <w:rPr>
      <w:rFonts w:ascii="Calibri" w:eastAsia="宋体" w:hAnsi="Calibri" w:cs="Arial"/>
      <w:kern w:val="2"/>
      <w:sz w:val="24"/>
      <w:szCs w:val="22"/>
      <w:lang w:val="en-US" w:eastAsia="zh-CN" w:bidi="ar-SA"/>
    </w:rPr>
  </w:style>
  <w:style w:type="paragraph" w:styleId="Heading1">
    <w:name w:val="heading 1"/>
    <w:basedOn w:val="Normal"/>
    <w:next w:val="Normal"/>
    <w:autoRedefine/>
    <w:qFormat/>
    <w:pPr>
      <w:keepNext/>
      <w:keepLines/>
      <w:spacing w:line="480" w:lineRule="auto"/>
      <w:outlineLvl w:val="0"/>
    </w:pPr>
    <w:rPr>
      <w:rFonts w:eastAsia="黑体"/>
      <w:b/>
      <w:bCs/>
      <w:kern w:val="44"/>
      <w:sz w:val="30"/>
      <w:szCs w:val="44"/>
    </w:rPr>
  </w:style>
  <w:style w:type="paragraph" w:styleId="Heading2">
    <w:name w:val="heading 2"/>
    <w:basedOn w:val="Normal"/>
    <w:next w:val="Normal"/>
    <w:autoRedefine/>
    <w:qFormat/>
    <w:pPr>
      <w:keepNext/>
      <w:keepLines/>
      <w:spacing w:before="20" w:after="20" w:line="360" w:lineRule="auto"/>
      <w:outlineLvl w:val="1"/>
    </w:pPr>
    <w:rPr>
      <w:rFonts w:ascii="Cambria" w:eastAsia="黑体" w:hAnsi="Cambria"/>
      <w:b/>
      <w:bCs/>
      <w:szCs w:val="32"/>
    </w:rPr>
  </w:style>
  <w:style w:type="paragraph" w:styleId="Heading3">
    <w:name w:val="heading 3"/>
    <w:basedOn w:val="Normal"/>
    <w:next w:val="Normal"/>
    <w:autoRedefine/>
    <w:qFormat/>
    <w:pPr>
      <w:keepNext/>
      <w:keepLines/>
      <w:spacing w:line="360" w:lineRule="auto"/>
      <w:ind w:firstLine="0" w:firstLineChars="0"/>
      <w:jc w:val="center"/>
      <w:outlineLvl w:val="2"/>
    </w:pPr>
    <w:rPr>
      <w:rFonts w:eastAsia="宋体"/>
      <w:b/>
      <w:bCs/>
      <w:szCs w:val="32"/>
    </w:rPr>
  </w:style>
  <w:style w:type="paragraph" w:styleId="Heading4">
    <w:name w:val="heading 4"/>
    <w:basedOn w:val="a"/>
    <w:next w:val="a"/>
    <w:autoRedefine/>
    <w:qFormat/>
    <w:pPr>
      <w:keepNext/>
      <w:keepLines/>
      <w:spacing w:line="240" w:lineRule="auto"/>
      <w:outlineLvl w:val="3"/>
    </w:pPr>
    <w:rPr>
      <w:rFonts w:ascii="Cambria" w:hAnsi="Cambria"/>
      <w:bCs/>
      <w:sz w:val="21"/>
      <w:szCs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customStyle="1" w:styleId="a">
    <w:name w:val="正常"/>
    <w:autoRedefine/>
    <w:qFormat/>
    <w:pPr>
      <w:widowControl w:val="0"/>
      <w:jc w:val="center"/>
    </w:pPr>
    <w:rPr>
      <w:rFonts w:ascii="Times New Roman" w:eastAsia="宋体" w:hAnsi="Times New Roman" w:cs="Times New Roman"/>
      <w:kern w:val="2"/>
      <w:sz w:val="21"/>
      <w:szCs w:val="24"/>
      <w:lang w:val="en-US" w:eastAsia="zh-CN" w:bidi="ar-SA"/>
    </w:rPr>
  </w:style>
  <w:style w:type="paragraph" w:styleId="NormalIndent">
    <w:name w:val="Normal Indent"/>
    <w:basedOn w:val="Normal"/>
    <w:autoRedefine/>
    <w:qFormat/>
    <w:pPr>
      <w:ind w:firstLine="420"/>
    </w:pPr>
  </w:style>
  <w:style w:type="paragraph" w:styleId="ListBullet">
    <w:name w:val="List Bullet"/>
    <w:basedOn w:val="Normal"/>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2"/>
    <w:autoRedefine/>
    <w:uiPriority w:val="99"/>
    <w:semiHidden/>
    <w:unhideWhenUsed/>
    <w:qFormat/>
    <w:rPr>
      <w:rFonts w:ascii="宋体"/>
      <w:sz w:val="18"/>
      <w:szCs w:val="18"/>
    </w:rPr>
  </w:style>
  <w:style w:type="paragraph" w:styleId="BodyText">
    <w:name w:val="Body Text"/>
    <w:basedOn w:val="Normal"/>
    <w:autoRedefine/>
    <w:qFormat/>
    <w:pPr>
      <w:spacing w:after="120"/>
    </w:pPr>
  </w:style>
  <w:style w:type="paragraph" w:styleId="BodyTextIndent">
    <w:name w:val="Body Text Indent"/>
    <w:basedOn w:val="Normal"/>
    <w:autoRedefine/>
    <w:qFormat/>
    <w:pPr>
      <w:widowControl/>
      <w:spacing w:before="100" w:beforeAutospacing="1" w:after="100" w:afterAutospacing="1"/>
      <w:jc w:val="left"/>
    </w:pPr>
    <w:rPr>
      <w:rFonts w:ascii="宋体" w:cs="宋体"/>
      <w:kern w:val="0"/>
      <w:sz w:val="24"/>
      <w:szCs w:val="24"/>
    </w:rPr>
  </w:style>
  <w:style w:type="paragraph" w:styleId="TOC5">
    <w:name w:val="toc 5"/>
    <w:basedOn w:val="Normal"/>
    <w:next w:val="Normal"/>
    <w:autoRedefine/>
    <w:uiPriority w:val="39"/>
    <w:semiHidden/>
    <w:unhideWhenUsed/>
    <w:qFormat/>
    <w:pPr>
      <w:ind w:left="1680" w:leftChars="800"/>
    </w:pPr>
  </w:style>
  <w:style w:type="paragraph" w:styleId="TOC3">
    <w:name w:val="toc 3"/>
    <w:basedOn w:val="Normal"/>
    <w:next w:val="Normal"/>
    <w:autoRedefine/>
    <w:uiPriority w:val="39"/>
    <w:qFormat/>
    <w:pPr>
      <w:tabs>
        <w:tab w:val="right" w:leader="dot" w:pos="8364"/>
      </w:tabs>
      <w:ind w:left="400" w:leftChars="400"/>
    </w:pPr>
    <w:rPr>
      <w:rFonts w:eastAsia="微软雅黑"/>
    </w:rPr>
  </w:style>
  <w:style w:type="paragraph" w:styleId="BalloonText">
    <w:name w:val="Balloon Text"/>
    <w:basedOn w:val="Normal"/>
    <w:autoRedefine/>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TOC4">
    <w:name w:val="toc 4"/>
    <w:basedOn w:val="Normal"/>
    <w:next w:val="Normal"/>
    <w:autoRedefine/>
    <w:uiPriority w:val="39"/>
    <w:semiHidden/>
    <w:unhideWhenUsed/>
    <w:qFormat/>
    <w:pPr>
      <w:ind w:left="1260" w:leftChars="600"/>
    </w:pPr>
  </w:style>
  <w:style w:type="paragraph" w:styleId="Subtitle">
    <w:name w:val="Subtitle"/>
    <w:basedOn w:val="Normal"/>
    <w:next w:val="Normal"/>
    <w:autoRedefine/>
    <w:qFormat/>
    <w:pPr>
      <w:spacing w:before="240" w:after="60" w:line="312" w:lineRule="auto"/>
      <w:jc w:val="center"/>
      <w:outlineLvl w:val="1"/>
    </w:pPr>
    <w:rPr>
      <w:rFonts w:ascii="Cambria" w:hAnsi="Cambria" w:cs="Times New Roman"/>
      <w:b/>
      <w:bCs/>
      <w:kern w:val="28"/>
      <w:sz w:val="32"/>
      <w:szCs w:val="32"/>
    </w:rPr>
  </w:style>
  <w:style w:type="paragraph" w:styleId="List">
    <w:name w:val="List"/>
    <w:basedOn w:val="Normal"/>
    <w:autoRedefine/>
    <w:qFormat/>
    <w:pPr>
      <w:ind w:left="200" w:hanging="200" w:hangingChars="200"/>
    </w:pPr>
  </w:style>
  <w:style w:type="paragraph" w:styleId="TOC2">
    <w:name w:val="toc 2"/>
    <w:basedOn w:val="Normal"/>
    <w:next w:val="Normal"/>
    <w:uiPriority w:val="39"/>
    <w:qFormat/>
    <w:pPr>
      <w:ind w:left="21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qFormat/>
    <w:pPr>
      <w:spacing w:before="240" w:after="60"/>
      <w:jc w:val="center"/>
      <w:outlineLvl w:val="0"/>
    </w:pPr>
    <w:rPr>
      <w:rFonts w:ascii="Cambria" w:hAnsi="Cambria" w:cs="Times New Roman"/>
      <w:b/>
      <w:bCs/>
      <w:sz w:val="32"/>
      <w:szCs w:val="3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0">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1">
    <w:name w:val="页脚 字符"/>
    <w:basedOn w:val="DefaultParagraphFont"/>
    <w:link w:val="Footer"/>
    <w:uiPriority w:val="99"/>
    <w:qFormat/>
    <w:rPr>
      <w:rFonts w:ascii="Calibri" w:hAnsi="Calibri" w:cs="Arial"/>
      <w:kern w:val="2"/>
      <w:sz w:val="18"/>
      <w:szCs w:val="18"/>
    </w:rPr>
  </w:style>
  <w:style w:type="paragraph" w:customStyle="1" w:styleId="3">
    <w:name w:val="标题3"/>
    <w:basedOn w:val="Normal"/>
    <w:qFormat/>
    <w:pPr>
      <w:spacing w:line="360" w:lineRule="auto"/>
      <w:jc w:val="left"/>
      <w:outlineLvl w:val="2"/>
    </w:pPr>
    <w:rPr>
      <w:rFonts w:ascii="宋体" w:hAnsi="宋体" w:cs="Times New Roman"/>
      <w:b/>
      <w:sz w:val="24"/>
      <w:szCs w:val="24"/>
    </w:rPr>
  </w:style>
  <w:style w:type="character" w:customStyle="1" w:styleId="a2">
    <w:name w:val="文档结构图 字符"/>
    <w:basedOn w:val="DefaultParagraphFont"/>
    <w:link w:val="DocumentMap"/>
    <w:uiPriority w:val="99"/>
    <w:semiHidden/>
    <w:qFormat/>
    <w:rPr>
      <w:rFonts w:ascii="宋体" w:hAnsi="Calibri" w:cs="Arial"/>
      <w:kern w:val="2"/>
      <w:sz w:val="18"/>
      <w:szCs w:val="18"/>
    </w:rPr>
  </w:style>
  <w:style w:type="paragraph" w:customStyle="1" w:styleId="a3">
    <w:name w:val="*正文"/>
    <w:basedOn w:val="Normal"/>
    <w:qFormat/>
    <w:pPr>
      <w:ind w:firstLine="200" w:firstLineChars="200"/>
    </w:pPr>
  </w:style>
  <w:style w:type="paragraph" w:customStyle="1" w:styleId="a4">
    <w:name w:val="表头"/>
    <w:basedOn w:val="Normal"/>
    <w:qFormat/>
    <w:pPr>
      <w:spacing w:line="520" w:lineRule="exact"/>
      <w:jc w:val="center"/>
    </w:pPr>
    <w:rPr>
      <w:rFonts w:ascii="黑体" w:eastAsia="黑体" w:hAnsi="微软雅黑"/>
      <w:sz w:val="24"/>
      <w:szCs w:val="24"/>
    </w:rPr>
  </w:style>
  <w:style w:type="paragraph" w:customStyle="1" w:styleId="a5">
    <w:name w:val="表内容居中"/>
    <w:basedOn w:val="Normal"/>
    <w:qFormat/>
    <w:pPr>
      <w:spacing w:line="520" w:lineRule="exact"/>
      <w:jc w:val="center"/>
    </w:pPr>
    <w:rPr>
      <w:sz w:val="24"/>
      <w:szCs w:val="24"/>
    </w:rPr>
  </w:style>
  <w:style w:type="paragraph" w:customStyle="1" w:styleId="30">
    <w:name w:val="样式3"/>
    <w:basedOn w:val="List"/>
    <w:qFormat/>
    <w:pPr>
      <w:keepNext w:val="0"/>
      <w:ind w:left="0" w:firstLine="0" w:firstLineChars="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5DEBEA-CC87-4B84-9831-8EA9AA7F919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257</Words>
  <Characters>365</Characters>
  <Application>Microsoft Office Word</Application>
  <DocSecurity>0</DocSecurity>
  <Lines>42</Lines>
  <Paragraphs>11</Paragraphs>
  <ScaleCrop>false</ScaleCrop>
  <Company>Microsoft</Company>
  <LinksUpToDate>false</LinksUpToDate>
  <CharactersWithSpaces>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21</cp:revision>
  <dcterms:created xsi:type="dcterms:W3CDTF">2019-03-04T09:01:00Z</dcterms:created>
  <dcterms:modified xsi:type="dcterms:W3CDTF">2025-11-27T16:43:19Z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E7C5EAB1546442CBA330423247C73DB4</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