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0" w:firstLineChars="0"/>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-1233805</wp:posOffset>
            </wp:positionH>
            <wp:positionV relativeFrom="paragraph">
              <wp:posOffset>-1224915</wp:posOffset>
            </wp:positionV>
            <wp:extent cx="7776210" cy="11254105"/>
            <wp:effectExtent l="0" t="0" r="152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tabs>
          <w:tab w:val="left" w:pos="0"/>
        </w:tabs>
        <w:spacing w:line="1000" w:lineRule="exact"/>
        <w:ind w:left="0" w:firstLine="0" w:leftChars="0" w:firstLineChars="0"/>
        <w:jc w:val="center"/>
        <w:rPr>
          <w:rFonts w:ascii="微软雅黑" w:eastAsia="微软雅黑" w:hAnsi="微软雅黑" w:cs="微软雅黑" w:hint="eastAsia"/>
          <w:b/>
          <w:bCs/>
          <w:sz w:val="52"/>
          <w:szCs w:val="52"/>
          <w:lang w:val="en-US" w:eastAsia="zh-CN"/>
        </w:rPr>
      </w:pPr>
    </w:p>
    <w:p>
      <w:pPr>
        <w:tabs>
          <w:tab w:val="left" w:pos="0"/>
        </w:tabs>
        <w:spacing w:line="1000" w:lineRule="exact"/>
        <w:ind w:left="0" w:firstLine="0" w:leftChars="0" w:firstLineChars="0"/>
        <w:jc w:val="center"/>
        <w:rPr>
          <w:rFonts w:ascii="微软雅黑" w:eastAsia="微软雅黑" w:hAnsi="微软雅黑" w:cs="微软雅黑" w:hint="eastAsia"/>
          <w:b/>
          <w:bCs/>
          <w:sz w:val="52"/>
          <w:szCs w:val="52"/>
          <w:lang w:val="en-US" w:eastAsia="zh-CN"/>
        </w:rPr>
      </w:pPr>
    </w:p>
    <w:p>
      <w:pPr>
        <w:tabs>
          <w:tab w:val="left" w:pos="0"/>
        </w:tabs>
        <w:spacing w:line="1000" w:lineRule="exact"/>
        <w:ind w:left="0" w:firstLine="0" w:leftChars="0" w:firstLineChars="0"/>
        <w:jc w:val="center"/>
        <w:rPr>
          <w:rFonts w:ascii="微软雅黑" w:eastAsia="微软雅黑" w:hAnsi="微软雅黑" w:cs="微软雅黑" w:hint="eastAsia"/>
          <w:b/>
          <w:bCs/>
          <w:sz w:val="52"/>
          <w:szCs w:val="52"/>
          <w:lang w:val="en-US" w:eastAsia="zh-CN"/>
        </w:rPr>
      </w:pPr>
    </w:p>
    <w:p>
      <w:pPr>
        <w:tabs>
          <w:tab w:val="left" w:pos="0"/>
        </w:tabs>
        <w:spacing w:line="1000" w:lineRule="exact"/>
        <w:ind w:left="0" w:firstLine="0" w:leftChars="0" w:firstLineChars="0"/>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b/>
          <w:bCs/>
          <w:sz w:val="52"/>
          <w:szCs w:val="52"/>
          <w:lang w:val="en-US" w:eastAsia="zh-CN"/>
        </w:rPr>
        <w:t>甘肃国邦信息科技有限公司</w:t>
      </w:r>
    </w:p>
    <w:p>
      <w:pPr>
        <w:tabs>
          <w:tab w:val="left" w:pos="0"/>
        </w:tabs>
        <w:spacing w:line="1000" w:lineRule="exact"/>
        <w:ind w:left="0" w:firstLine="0" w:leftChars="0" w:firstLineChars="0"/>
        <w:jc w:val="center"/>
        <w:rPr>
          <w:rFonts w:hint="eastAsia"/>
          <w:b/>
          <w:sz w:val="48"/>
          <w:szCs w:val="48"/>
          <w:lang w:val="en-US" w:eastAsia="zh-CN"/>
        </w:rPr>
      </w:pPr>
    </w:p>
    <w:p>
      <w:pPr>
        <w:tabs>
          <w:tab w:val="left" w:pos="0"/>
        </w:tabs>
        <w:spacing w:line="1000" w:lineRule="exact"/>
        <w:ind w:left="0" w:firstLine="0" w:leftChars="0" w:firstLineChars="0"/>
        <w:jc w:val="center"/>
        <w:rPr>
          <w:rFonts w:hint="eastAsia"/>
          <w:b/>
          <w:sz w:val="48"/>
          <w:szCs w:val="48"/>
          <w:lang w:eastAsia="zh-CN"/>
        </w:rPr>
      </w:pPr>
      <w:r>
        <w:rPr>
          <w:rFonts w:hint="eastAsia"/>
          <w:b/>
          <w:sz w:val="48"/>
          <w:szCs w:val="48"/>
          <w:lang w:val="en-US" w:eastAsia="zh-CN"/>
        </w:rPr>
        <w:t>服务数据</w:t>
      </w:r>
      <w:r>
        <w:rPr>
          <w:rFonts w:hint="eastAsia"/>
          <w:b/>
          <w:sz w:val="48"/>
          <w:szCs w:val="48"/>
          <w:lang w:eastAsia="zh-CN"/>
        </w:rPr>
        <w:t>应用情况说明</w:t>
      </w:r>
    </w:p>
    <w:p>
      <w:pPr>
        <w:tabs>
          <w:tab w:val="left" w:pos="0"/>
        </w:tabs>
        <w:spacing w:line="1000" w:lineRule="exact"/>
        <w:ind w:left="0" w:firstLine="0" w:leftChars="0" w:firstLineChars="0"/>
        <w:jc w:val="center"/>
        <w:rPr>
          <w:rFonts w:ascii="宋体" w:eastAsia="宋体" w:hAnsi="宋体" w:cs="宋体" w:hint="eastAsia"/>
          <w:b/>
          <w:bCs/>
          <w:sz w:val="36"/>
          <w:szCs w:val="36"/>
          <w:lang w:val="en-US" w:eastAsia="zh-CN"/>
        </w:rPr>
      </w:pPr>
    </w:p>
    <w:p>
      <w:pPr>
        <w:tabs>
          <w:tab w:val="left" w:pos="0"/>
        </w:tabs>
        <w:spacing w:line="1000" w:lineRule="exact"/>
        <w:ind w:left="0" w:firstLine="0" w:leftChars="0" w:firstLineChars="0"/>
        <w:jc w:val="center"/>
        <w:rPr>
          <w:rFonts w:ascii="宋体" w:hAnsi="宋体" w:cs="宋体" w:hint="eastAsia"/>
          <w:b/>
          <w:bCs/>
          <w:sz w:val="36"/>
          <w:szCs w:val="36"/>
          <w:lang w:val="en-US" w:eastAsia="zh-CN"/>
        </w:rPr>
      </w:pPr>
      <w:r>
        <w:rPr>
          <w:rFonts w:ascii="宋体" w:eastAsia="宋体" w:hAnsi="宋体" w:cs="宋体" w:hint="eastAsia"/>
          <w:b/>
          <w:bCs/>
          <w:sz w:val="36"/>
          <w:szCs w:val="36"/>
          <w:lang w:val="en-US" w:eastAsia="zh-CN"/>
        </w:rPr>
        <w:t>GSGB-ITSS-</w:t>
      </w:r>
      <w:r>
        <w:rPr>
          <w:rFonts w:ascii="宋体" w:hAnsi="宋体" w:cs="宋体" w:hint="eastAsia"/>
          <w:b/>
          <w:bCs/>
          <w:sz w:val="36"/>
          <w:szCs w:val="36"/>
          <w:lang w:val="en-US" w:eastAsia="zh-CN"/>
        </w:rPr>
        <w:t>10</w:t>
      </w:r>
      <w:r>
        <w:rPr>
          <w:rFonts w:ascii="宋体" w:eastAsia="宋体" w:hAnsi="宋体" w:cs="宋体" w:hint="eastAsia"/>
          <w:b/>
          <w:bCs/>
          <w:sz w:val="36"/>
          <w:szCs w:val="36"/>
          <w:lang w:val="en-US" w:eastAsia="zh-CN"/>
        </w:rPr>
        <w:t>-0</w:t>
      </w:r>
      <w:r>
        <w:rPr>
          <w:rFonts w:ascii="宋体" w:hAnsi="宋体" w:cs="宋体" w:hint="eastAsia"/>
          <w:b/>
          <w:bCs/>
          <w:sz w:val="36"/>
          <w:szCs w:val="36"/>
          <w:lang w:val="en-US" w:eastAsia="zh-CN"/>
        </w:rPr>
        <w:t>2</w:t>
      </w:r>
    </w:p>
    <w:p>
      <w:pPr>
        <w:tabs>
          <w:tab w:val="left" w:pos="0"/>
        </w:tabs>
        <w:spacing w:line="1000" w:lineRule="exact"/>
        <w:ind w:left="0" w:firstLine="0" w:leftChars="0" w:firstLineChars="0"/>
        <w:jc w:val="center"/>
        <w:rPr>
          <w:rFonts w:hint="eastAsia"/>
          <w:sz w:val="32"/>
          <w:szCs w:val="32"/>
        </w:rPr>
      </w:pPr>
    </w:p>
    <w:p>
      <w:pPr>
        <w:tabs>
          <w:tab w:val="left" w:pos="0"/>
        </w:tabs>
        <w:spacing w:line="1000" w:lineRule="exact"/>
        <w:ind w:firstLine="1200" w:firstLineChars="500"/>
        <w:jc w:val="left"/>
        <w:rPr>
          <w:rFonts w:hint="eastAsia"/>
          <w:sz w:val="32"/>
          <w:szCs w:val="32"/>
          <w:u w:val="single"/>
        </w:rPr>
      </w:pPr>
      <w:r>
        <w:rPr>
          <w:rFonts w:hint="eastAsia"/>
          <w:sz w:val="32"/>
          <w:szCs w:val="32"/>
        </w:rPr>
        <w:t>拟制</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eastAsia="zh-CN"/>
        </w:rPr>
        <w:t>胡葛鹏宇</w:t>
      </w:r>
      <w:r>
        <w:rPr>
          <w:rFonts w:hint="eastAsia"/>
          <w:sz w:val="32"/>
          <w:szCs w:val="32"/>
          <w:u w:val="single"/>
        </w:rPr>
        <w:t xml:space="preserve">            </w:t>
      </w:r>
    </w:p>
    <w:p>
      <w:pPr>
        <w:tabs>
          <w:tab w:val="left" w:pos="0"/>
        </w:tabs>
        <w:spacing w:line="1000" w:lineRule="exact"/>
        <w:ind w:firstLine="1200" w:firstLineChars="500"/>
        <w:jc w:val="left"/>
        <w:rPr>
          <w:rFonts w:hint="eastAsia"/>
          <w:sz w:val="32"/>
          <w:szCs w:val="32"/>
        </w:rPr>
      </w:pPr>
      <w:r>
        <w:rPr>
          <w:rFonts w:hint="eastAsia"/>
          <w:sz w:val="32"/>
          <w:szCs w:val="32"/>
        </w:rPr>
        <w:t>审核</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pPr>
        <w:tabs>
          <w:tab w:val="left" w:pos="0"/>
        </w:tabs>
        <w:spacing w:line="1000" w:lineRule="exact"/>
        <w:ind w:firstLine="1200" w:firstLineChars="500"/>
        <w:jc w:val="left"/>
        <w:rPr>
          <w:rFonts w:hint="eastAsia"/>
          <w:b/>
          <w:sz w:val="32"/>
          <w:szCs w:val="32"/>
        </w:rPr>
      </w:pPr>
      <w:r>
        <w:rPr>
          <w:rFonts w:hint="eastAsia"/>
          <w:sz w:val="32"/>
          <w:szCs w:val="32"/>
        </w:rPr>
        <w:t>批准</w:t>
      </w:r>
      <w:r>
        <w:rPr>
          <w:rFonts w:hint="eastAsia"/>
          <w:sz w:val="32"/>
          <w:szCs w:val="32"/>
          <w:lang w:eastAsia="zh-CN"/>
        </w:rPr>
        <w:t>人</w:t>
      </w:r>
      <w:r>
        <w:rPr>
          <w:rFonts w:hint="eastAsia"/>
          <w:sz w:val="32"/>
          <w:szCs w:val="32"/>
        </w:rPr>
        <w:t>：</w:t>
      </w:r>
      <w:r>
        <w:rPr>
          <w:rFonts w:hint="eastAsia"/>
          <w:sz w:val="32"/>
          <w:szCs w:val="32"/>
          <w:u w:val="single"/>
        </w:rPr>
        <w:t xml:space="preserve">         赵</w:t>
      </w:r>
      <w:r>
        <w:rPr>
          <w:rFonts w:hint="eastAsia"/>
          <w:sz w:val="32"/>
          <w:szCs w:val="32"/>
          <w:u w:val="single"/>
          <w:lang w:val="en-US" w:eastAsia="zh-CN"/>
        </w:rPr>
        <w:t xml:space="preserve">  </w:t>
      </w:r>
      <w:r>
        <w:rPr>
          <w:rFonts w:hint="eastAsia"/>
          <w:sz w:val="32"/>
          <w:szCs w:val="32"/>
          <w:u w:val="single"/>
        </w:rPr>
        <w:t xml:space="preserve">鑫            </w:t>
      </w:r>
    </w:p>
    <w:p>
      <w:pPr>
        <w:rPr>
          <w:rFonts w:ascii="黑体" w:eastAsia="黑体" w:hint="eastAsia"/>
          <w:sz w:val="36"/>
          <w:szCs w:val="36"/>
        </w:rPr>
      </w:pPr>
      <w:r>
        <w:rPr>
          <w:rFonts w:ascii="黑体" w:eastAsia="黑体" w:hint="eastAsia"/>
          <w:sz w:val="36"/>
          <w:szCs w:val="36"/>
        </w:rPr>
        <w:br w:type="page"/>
      </w:r>
    </w:p>
    <w:p>
      <w:pPr>
        <w:tabs>
          <w:tab w:val="left" w:pos="0"/>
        </w:tabs>
        <w:spacing w:before="312" w:beforeLines="100" w:after="312" w:afterLines="100"/>
        <w:ind w:firstLine="0" w:firstLineChars="0"/>
        <w:jc w:val="center"/>
        <w:rPr>
          <w:rFonts w:ascii="黑体" w:eastAsia="黑体" w:hint="eastAsia"/>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4"/>
              <w:spacing w:line="240" w:lineRule="auto"/>
              <w:ind w:firstLine="0" w:firstLineChars="0"/>
              <w:rPr>
                <w:rFonts w:cs="Arial" w:hint="eastAsia"/>
                <w:lang w:val="en-US" w:eastAsia="zh-CN"/>
              </w:rPr>
            </w:pPr>
            <w:r>
              <w:rPr>
                <w:rFonts w:cs="Arial" w:hint="eastAsia"/>
                <w:lang w:val="en-US" w:eastAsia="zh-CN"/>
              </w:rPr>
              <w:t>序号</w:t>
            </w:r>
          </w:p>
        </w:tc>
        <w:tc>
          <w:tcPr>
            <w:tcW w:w="810" w:type="pct"/>
            <w:vAlign w:val="center"/>
          </w:tcPr>
          <w:p>
            <w:pPr>
              <w:pStyle w:val="a4"/>
              <w:spacing w:line="240" w:lineRule="auto"/>
              <w:ind w:firstLine="0" w:firstLineChars="0"/>
              <w:rPr>
                <w:rFonts w:cs="Arial" w:hint="eastAsia"/>
                <w:lang w:val="en-US" w:eastAsia="zh-CN"/>
              </w:rPr>
            </w:pPr>
            <w:r>
              <w:rPr>
                <w:rFonts w:cs="Arial" w:hint="eastAsia"/>
                <w:lang w:val="en-US" w:eastAsia="zh-CN"/>
              </w:rPr>
              <w:t>新建/修改</w:t>
            </w:r>
          </w:p>
        </w:tc>
        <w:tc>
          <w:tcPr>
            <w:tcW w:w="810" w:type="pct"/>
            <w:vAlign w:val="center"/>
          </w:tcPr>
          <w:p>
            <w:pPr>
              <w:pStyle w:val="a4"/>
              <w:spacing w:line="240" w:lineRule="auto"/>
              <w:ind w:firstLine="0" w:firstLineChars="0"/>
              <w:rPr>
                <w:rFonts w:cs="Arial" w:hint="default"/>
                <w:lang w:val="en-US" w:eastAsia="zh-CN"/>
              </w:rPr>
            </w:pPr>
            <w:r>
              <w:rPr>
                <w:rFonts w:cs="Arial" w:hint="eastAsia"/>
                <w:lang w:val="en-US" w:eastAsia="zh-CN"/>
              </w:rPr>
              <w:t>拟制人</w:t>
            </w:r>
          </w:p>
        </w:tc>
        <w:tc>
          <w:tcPr>
            <w:tcW w:w="810" w:type="pct"/>
            <w:vAlign w:val="center"/>
          </w:tcPr>
          <w:p>
            <w:pPr>
              <w:pStyle w:val="a4"/>
              <w:spacing w:line="240" w:lineRule="auto"/>
              <w:ind w:firstLine="0" w:firstLineChars="0"/>
              <w:rPr>
                <w:rFonts w:cs="Arial" w:hint="default"/>
                <w:lang w:val="en-US" w:eastAsia="zh-CN"/>
              </w:rPr>
            </w:pPr>
            <w:r>
              <w:rPr>
                <w:rFonts w:cs="Arial" w:hint="eastAsia"/>
                <w:lang w:val="en-US" w:eastAsia="zh-CN"/>
              </w:rPr>
              <w:t>审核人</w:t>
            </w:r>
          </w:p>
        </w:tc>
        <w:tc>
          <w:tcPr>
            <w:tcW w:w="878" w:type="pct"/>
            <w:vAlign w:val="center"/>
          </w:tcPr>
          <w:p>
            <w:pPr>
              <w:pStyle w:val="a4"/>
              <w:spacing w:line="240" w:lineRule="auto"/>
              <w:ind w:firstLine="0" w:firstLineChars="0"/>
              <w:rPr>
                <w:rFonts w:cs="Arial" w:hint="default"/>
                <w:lang w:val="en-US" w:eastAsia="zh-CN"/>
              </w:rPr>
            </w:pPr>
            <w:r>
              <w:rPr>
                <w:rFonts w:cs="Arial" w:hint="eastAsia"/>
                <w:lang w:val="en-US" w:eastAsia="zh-CN"/>
              </w:rPr>
              <w:t>批准人</w:t>
            </w:r>
          </w:p>
        </w:tc>
        <w:tc>
          <w:tcPr>
            <w:tcW w:w="878" w:type="pct"/>
            <w:vAlign w:val="center"/>
          </w:tcPr>
          <w:p>
            <w:pPr>
              <w:pStyle w:val="a4"/>
              <w:spacing w:line="240" w:lineRule="auto"/>
              <w:ind w:firstLine="0" w:firstLineChars="0"/>
              <w:rPr>
                <w:rFonts w:cs="Arial" w:hint="eastAsia"/>
                <w:lang w:val="en-US" w:eastAsia="zh-CN"/>
              </w:rPr>
            </w:pPr>
            <w:r>
              <w:rPr>
                <w:rFonts w:cs="Arial" w:hint="eastAsia"/>
                <w:lang w:val="en-US" w:eastAsia="zh-CN"/>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spacing w:line="240" w:lineRule="auto"/>
              <w:ind w:firstLine="0" w:firstLineChars="0"/>
              <w:rPr>
                <w:rFonts w:hint="default"/>
                <w:lang w:val="en-US" w:eastAsia="zh-CN"/>
              </w:rPr>
            </w:pPr>
            <w:r>
              <w:rPr>
                <w:rFonts w:hint="eastAsia"/>
                <w:lang w:val="en-US" w:eastAsia="zh-CN"/>
              </w:rPr>
              <w:t>1.0</w:t>
            </w:r>
          </w:p>
        </w:tc>
        <w:tc>
          <w:tcPr>
            <w:tcW w:w="810" w:type="pct"/>
            <w:vAlign w:val="center"/>
          </w:tcPr>
          <w:p>
            <w:pPr>
              <w:pStyle w:val="a5"/>
              <w:spacing w:line="240" w:lineRule="auto"/>
              <w:ind w:firstLine="0" w:firstLineChars="0"/>
              <w:rPr>
                <w:lang w:val="en-US" w:eastAsia="zh-CN"/>
              </w:rPr>
            </w:pPr>
            <w:r>
              <w:rPr>
                <w:rFonts w:hint="eastAsia"/>
                <w:lang w:val="en-US" w:eastAsia="zh-CN"/>
              </w:rPr>
              <w:t>新建</w:t>
            </w:r>
          </w:p>
        </w:tc>
        <w:tc>
          <w:tcPr>
            <w:tcW w:w="810" w:type="pct"/>
            <w:vAlign w:val="center"/>
          </w:tcPr>
          <w:p>
            <w:pPr>
              <w:pStyle w:val="a5"/>
              <w:spacing w:line="240" w:lineRule="auto"/>
              <w:ind w:firstLine="0" w:firstLineChars="0"/>
              <w:rPr>
                <w:rFonts w:hint="eastAsia"/>
                <w:lang w:val="en-US" w:eastAsia="zh-CN"/>
              </w:rPr>
            </w:pPr>
            <w:r>
              <w:rPr>
                <w:rFonts w:hint="eastAsia"/>
                <w:lang w:val="en-US" w:eastAsia="zh-CN"/>
              </w:rPr>
              <w:t>胡葛鹏宇</w:t>
            </w:r>
          </w:p>
        </w:tc>
        <w:tc>
          <w:tcPr>
            <w:tcW w:w="810" w:type="pct"/>
            <w:vAlign w:val="center"/>
          </w:tcPr>
          <w:p>
            <w:pPr>
              <w:pStyle w:val="a5"/>
              <w:spacing w:line="240" w:lineRule="auto"/>
              <w:ind w:firstLine="0" w:firstLineChars="0"/>
              <w:rPr>
                <w:rFonts w:hint="eastAsia"/>
                <w:lang w:val="en-US" w:eastAsia="zh-CN"/>
              </w:rPr>
            </w:pPr>
            <w:r>
              <w:rPr>
                <w:rFonts w:hint="eastAsia"/>
                <w:lang w:val="en-US" w:eastAsia="zh-CN"/>
              </w:rPr>
              <w:t>兰伟东</w:t>
            </w:r>
          </w:p>
        </w:tc>
        <w:tc>
          <w:tcPr>
            <w:tcW w:w="878" w:type="pct"/>
            <w:vAlign w:val="center"/>
          </w:tcPr>
          <w:p>
            <w:pPr>
              <w:pStyle w:val="a5"/>
              <w:spacing w:line="240" w:lineRule="auto"/>
              <w:ind w:firstLine="0" w:firstLineChars="0"/>
              <w:rPr>
                <w:rFonts w:hint="eastAsia"/>
                <w:lang w:val="en-US" w:eastAsia="zh-CN"/>
              </w:rPr>
            </w:pPr>
            <w:r>
              <w:rPr>
                <w:rFonts w:hint="eastAsia"/>
                <w:lang w:val="en-US" w:eastAsia="zh-CN"/>
              </w:rPr>
              <w:t>黄益溪</w:t>
            </w:r>
          </w:p>
        </w:tc>
        <w:tc>
          <w:tcPr>
            <w:tcW w:w="878" w:type="pct"/>
            <w:vAlign w:val="center"/>
          </w:tcPr>
          <w:p>
            <w:pPr>
              <w:pStyle w:val="a5"/>
              <w:spacing w:line="240" w:lineRule="auto"/>
              <w:ind w:firstLine="0" w:firstLineChars="0"/>
              <w:rPr>
                <w:rFonts w:hint="default"/>
                <w:lang w:val="en-US" w:eastAsia="zh-CN"/>
              </w:rPr>
            </w:pPr>
            <w:r>
              <w:rPr>
                <w:rFonts w:hint="eastAsia"/>
                <w:lang w:val="en-US" w:eastAsia="zh-CN"/>
              </w:rPr>
              <w:t>2025.11.15</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bl>
    <w:p>
      <w:pPr>
        <w:rPr>
          <w:rFonts w:ascii="黑体" w:eastAsia="宋体" w:hAnsi="黑体" w:hint="eastAsia"/>
          <w:b/>
          <w:sz w:val="32"/>
          <w:szCs w:val="32"/>
          <w:lang w:eastAsia="zh-CN"/>
        </w:rPr>
        <w:sectPr>
          <w:headerReference w:type="default" r:id="rId7"/>
          <w:footerReference w:type="default" r:id="rId8"/>
          <w:pgSz w:w="11906" w:h="16838"/>
          <w:pgMar w:top="1560" w:right="1800" w:bottom="1440" w:left="1800" w:header="851" w:footer="992" w:gutter="0"/>
          <w:cols w:num="1" w:space="720"/>
          <w:docGrid w:type="lines" w:linePitch="312" w:charSpace="0"/>
        </w:sectPr>
      </w:pPr>
    </w:p>
    <w:p>
      <w:pPr>
        <w:pStyle w:val="TOC1"/>
        <w:spacing w:line="480" w:lineRule="auto"/>
        <w:jc w:val="center"/>
        <w:rPr>
          <w:rFonts w:ascii="仿宋" w:eastAsia="仿宋" w:hAnsi="仿宋"/>
          <w:sz w:val="32"/>
          <w:szCs w:val="32"/>
        </w:rPr>
      </w:pPr>
      <w:r>
        <w:rPr>
          <w:rFonts w:ascii="仿宋" w:eastAsia="仿宋" w:hAnsi="仿宋" w:hint="eastAsia"/>
          <w:sz w:val="32"/>
          <w:szCs w:val="32"/>
        </w:rPr>
        <w:t>目  录</w:t>
      </w:r>
    </w:p>
    <w:p>
      <w:pPr>
        <w:pStyle w:val="TOC1"/>
        <w:tabs>
          <w:tab w:val="right" w:leader="dot" w:pos="8306"/>
        </w:tabs>
      </w:pPr>
      <w:r>
        <w:rPr>
          <w:rFonts w:ascii="黑体" w:eastAsia="黑体" w:hAnsi="黑体"/>
          <w:sz w:val="24"/>
          <w:szCs w:val="24"/>
        </w:rPr>
        <w:fldChar w:fldCharType="begin"/>
      </w:r>
      <w:r>
        <w:rPr>
          <w:rFonts w:ascii="黑体" w:eastAsia="黑体" w:hAnsi="黑体"/>
          <w:sz w:val="24"/>
          <w:szCs w:val="24"/>
        </w:rPr>
        <w:instrText xml:space="preserve">TOC \o "1-5" \h \u </w:instrText>
      </w:r>
      <w:r>
        <w:rPr>
          <w:rFonts w:ascii="黑体" w:eastAsia="黑体" w:hAnsi="黑体"/>
          <w:sz w:val="24"/>
          <w:szCs w:val="24"/>
        </w:rPr>
        <w:fldChar w:fldCharType="separate"/>
      </w:r>
      <w:r>
        <w:rPr>
          <w:rFonts w:ascii="黑体" w:eastAsia="黑体" w:hAnsi="黑体"/>
          <w:szCs w:val="24"/>
        </w:rPr>
        <w:fldChar w:fldCharType="begin"/>
      </w:r>
      <w:r>
        <w:rPr>
          <w:rFonts w:ascii="黑体" w:eastAsia="黑体" w:hAnsi="黑体"/>
          <w:szCs w:val="24"/>
        </w:rPr>
        <w:instrText xml:space="preserve"> HYPERLINK \l _Toc12897 </w:instrText>
      </w:r>
      <w:r>
        <w:rPr>
          <w:rFonts w:ascii="黑体" w:eastAsia="黑体" w:hAnsi="黑体"/>
          <w:szCs w:val="24"/>
        </w:rPr>
        <w:fldChar w:fldCharType="separate"/>
      </w:r>
      <w:r>
        <w:rPr>
          <w:rFonts w:hint="eastAsia"/>
          <w:lang w:val="en-US" w:eastAsia="zh-CN"/>
        </w:rPr>
        <w:t>1. 概述</w:t>
      </w:r>
      <w:r>
        <w:tab/>
      </w:r>
      <w:r>
        <w:fldChar w:fldCharType="begin"/>
      </w:r>
      <w:r>
        <w:instrText xml:space="preserve"> PAGEREF _Toc12897 \h </w:instrText>
      </w:r>
      <w:r>
        <w:fldChar w:fldCharType="separate"/>
      </w:r>
      <w:r>
        <w:t>1</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_Toc28107 </w:instrText>
      </w:r>
      <w:r>
        <w:rPr>
          <w:rFonts w:ascii="黑体" w:eastAsia="黑体" w:hAnsi="黑体"/>
          <w:szCs w:val="24"/>
        </w:rPr>
        <w:fldChar w:fldCharType="separate"/>
      </w:r>
      <w:r>
        <w:rPr>
          <w:rFonts w:hint="eastAsia"/>
          <w:lang w:val="en-US" w:eastAsia="zh-CN"/>
        </w:rPr>
        <w:t>2. 服务数据管理组织与职责</w:t>
      </w:r>
      <w:r>
        <w:tab/>
      </w:r>
      <w:r>
        <w:fldChar w:fldCharType="begin"/>
      </w:r>
      <w:r>
        <w:instrText xml:space="preserve"> PAGEREF _Toc28107 \h </w:instrText>
      </w:r>
      <w:r>
        <w:fldChar w:fldCharType="separate"/>
      </w:r>
      <w:r>
        <w:t>1</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_Toc6287 </w:instrText>
      </w:r>
      <w:r>
        <w:rPr>
          <w:rFonts w:ascii="黑体" w:eastAsia="黑体" w:hAnsi="黑体"/>
          <w:szCs w:val="24"/>
        </w:rPr>
        <w:fldChar w:fldCharType="separate"/>
      </w:r>
      <w:r>
        <w:rPr>
          <w:rFonts w:hint="eastAsia"/>
          <w:lang w:val="en-US" w:eastAsia="zh-CN"/>
        </w:rPr>
        <w:t>3. 服务数据管理制度与流程</w:t>
      </w:r>
      <w:r>
        <w:tab/>
      </w:r>
      <w:r>
        <w:fldChar w:fldCharType="begin"/>
      </w:r>
      <w:r>
        <w:instrText xml:space="preserve"> PAGEREF _Toc6287 \h </w:instrText>
      </w:r>
      <w:r>
        <w:fldChar w:fldCharType="separate"/>
      </w:r>
      <w:r>
        <w:t>1</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_Toc25771 </w:instrText>
      </w:r>
      <w:r>
        <w:rPr>
          <w:rFonts w:ascii="黑体" w:eastAsia="黑体" w:hAnsi="黑体"/>
          <w:szCs w:val="24"/>
        </w:rPr>
        <w:fldChar w:fldCharType="separate"/>
      </w:r>
      <w:r>
        <w:rPr>
          <w:rFonts w:hint="eastAsia"/>
          <w:lang w:val="en-US" w:eastAsia="zh-CN"/>
        </w:rPr>
        <w:t>4. 服务数据的类型与内容</w:t>
      </w:r>
      <w:r>
        <w:tab/>
      </w:r>
      <w:r>
        <w:fldChar w:fldCharType="begin"/>
      </w:r>
      <w:r>
        <w:instrText xml:space="preserve"> PAGEREF _Toc25771 \h </w:instrText>
      </w:r>
      <w:r>
        <w:fldChar w:fldCharType="separate"/>
      </w:r>
      <w:r>
        <w:t>2</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_Toc12492 </w:instrText>
      </w:r>
      <w:r>
        <w:rPr>
          <w:rFonts w:ascii="黑体" w:eastAsia="黑体" w:hAnsi="黑体"/>
          <w:szCs w:val="24"/>
        </w:rPr>
        <w:fldChar w:fldCharType="separate"/>
      </w:r>
      <w:r>
        <w:rPr>
          <w:rFonts w:hint="eastAsia"/>
          <w:lang w:val="en-US" w:eastAsia="zh-CN"/>
        </w:rPr>
        <w:t>5. 服务数据的工具与应用</w:t>
      </w:r>
      <w:r>
        <w:tab/>
      </w:r>
      <w:r>
        <w:fldChar w:fldCharType="begin"/>
      </w:r>
      <w:r>
        <w:instrText xml:space="preserve"> PAGEREF _Toc12492 \h </w:instrText>
      </w:r>
      <w:r>
        <w:fldChar w:fldCharType="separate"/>
      </w:r>
      <w:r>
        <w:t>2</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_Toc14847 </w:instrText>
      </w:r>
      <w:r>
        <w:rPr>
          <w:rFonts w:ascii="黑体" w:eastAsia="黑体" w:hAnsi="黑体"/>
          <w:szCs w:val="24"/>
        </w:rPr>
        <w:fldChar w:fldCharType="separate"/>
      </w:r>
      <w:r>
        <w:rPr>
          <w:rFonts w:hint="eastAsia"/>
          <w:lang w:val="en-US" w:eastAsia="zh-CN"/>
        </w:rPr>
        <w:t>6. 服务数据应用效果评估</w:t>
      </w:r>
      <w:r>
        <w:tab/>
      </w:r>
      <w:r>
        <w:fldChar w:fldCharType="begin"/>
      </w:r>
      <w:r>
        <w:instrText xml:space="preserve"> PAGEREF _Toc14847 \h </w:instrText>
      </w:r>
      <w:r>
        <w:fldChar w:fldCharType="separate"/>
      </w:r>
      <w:r>
        <w:t>3</w:t>
      </w:r>
      <w:r>
        <w:fldChar w:fldCharType="end"/>
      </w:r>
      <w:r>
        <w:rPr>
          <w:rFonts w:ascii="黑体" w:eastAsia="黑体" w:hAnsi="黑体"/>
          <w:szCs w:val="24"/>
        </w:rPr>
        <w:fldChar w:fldCharType="end"/>
      </w:r>
    </w:p>
    <w:p>
      <w:pPr>
        <w:pStyle w:val="TOC2"/>
        <w:widowControl/>
        <w:tabs>
          <w:tab w:val="left" w:pos="1440"/>
          <w:tab w:val="right" w:leader="dot" w:pos="8869"/>
        </w:tabs>
        <w:spacing w:line="480" w:lineRule="auto"/>
        <w:ind w:left="0"/>
        <w:rPr>
          <w:rFonts w:ascii="黑体" w:eastAsia="黑体" w:hAnsi="黑体"/>
          <w:sz w:val="24"/>
          <w:szCs w:val="24"/>
        </w:rPr>
        <w:sectPr>
          <w:pgSz w:w="11906" w:h="16838"/>
          <w:pgMar w:top="1560" w:right="1800" w:bottom="1440" w:left="1800" w:header="851" w:footer="992" w:gutter="0"/>
          <w:cols w:num="1" w:space="720"/>
          <w:docGrid w:type="lines" w:linePitch="312" w:charSpace="0"/>
        </w:sectPr>
      </w:pPr>
      <w:r>
        <w:rPr>
          <w:rFonts w:ascii="黑体" w:eastAsia="黑体" w:hAnsi="黑体"/>
          <w:szCs w:val="24"/>
        </w:rPr>
        <w:fldChar w:fldCharType="end"/>
      </w:r>
      <w:bookmarkStart w:id="0" w:name="_GoBack"/>
      <w:bookmarkEnd w:id="0"/>
    </w:p>
    <w:p>
      <w:pPr>
        <w:pStyle w:val="Heading1"/>
        <w:bidi w:val="0"/>
        <w:rPr>
          <w:rFonts w:hint="eastAsia"/>
          <w:lang w:val="en-US" w:eastAsia="zh-CN"/>
        </w:rPr>
      </w:pPr>
      <w:bookmarkStart w:id="1" w:name="_Toc12897"/>
      <w:r>
        <w:rPr>
          <w:rFonts w:hint="eastAsia"/>
          <w:lang w:val="en-US" w:eastAsia="zh-CN"/>
        </w:rPr>
        <w:t>1. 概述</w:t>
      </w:r>
      <w:bookmarkEnd w:id="1"/>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甘肃国邦信息科技有限公司（以下简称“公司”）在运维服务过程中，始终重视服务数据的价值，将其视为衡量服务质量、优化服务流程、支撑管理决策的重要资产。为改变以往数据分散、利用不足的状况，公司建立了系统化的服务数据管理体系。通过制定《服务数据备份管理程序》等制度，并综合利用“网强ITSM流程管理软件”、“Zabbix监控工具”等多种工具，公司实现了对运维服务全过程中产生的各类数据的有效采集、存储、分析与应用。本说明旨在阐述公司服务数据的管理机制、应用场景及实际成效，证明公司具备基于数据进行精细化管理和持续改进的能力。</w:t>
      </w:r>
    </w:p>
    <w:p>
      <w:pPr>
        <w:pStyle w:val="Heading1"/>
        <w:bidi w:val="0"/>
        <w:rPr>
          <w:rFonts w:hint="eastAsia"/>
          <w:lang w:val="en-US" w:eastAsia="zh-CN"/>
        </w:rPr>
      </w:pPr>
      <w:bookmarkStart w:id="2" w:name="_Toc28107"/>
      <w:r>
        <w:rPr>
          <w:rFonts w:hint="eastAsia"/>
          <w:lang w:val="en-US" w:eastAsia="zh-CN"/>
        </w:rPr>
        <w:t>2. 服务数据管理组织与职责</w:t>
      </w:r>
      <w:bookmarkEnd w:id="2"/>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服务数据管理遵循“谁产生、谁记录；谁管理、谁分析”的原则，各部门职责明确：运维管理部：是运维服务数据的主要产生和使用部门。负责确保运维过程数据（如事件、问题、变更记录）的及时、准确录入；负责基于数据进行服务报告编制、性能分析和日常运营决策。质量管控部：作为服务数据管理的归口监督部门，负责监督数据管理制度的执行，牵头组织服务质量数据的分析与评价，并基于数据推动质量改进。软件研发部/技术支持：负责运维工具中数据的采集、存储逻辑设计与技术实现，保障数据平台的稳定运行与数据安全。各项目组：负责本项目相关服务数据的收集、整理与初步应用，确保项目级数据的完整性。</w:t>
      </w:r>
    </w:p>
    <w:p>
      <w:pPr>
        <w:pStyle w:val="Heading1"/>
        <w:bidi w:val="0"/>
        <w:rPr>
          <w:rFonts w:hint="eastAsia"/>
          <w:lang w:val="en-US" w:eastAsia="zh-CN"/>
        </w:rPr>
      </w:pPr>
      <w:bookmarkStart w:id="3" w:name="_Toc6287"/>
      <w:r>
        <w:rPr>
          <w:rFonts w:hint="eastAsia"/>
          <w:lang w:val="en-US" w:eastAsia="zh-CN"/>
        </w:rPr>
        <w:t>3. 服务数据管理制度与流程</w:t>
      </w:r>
      <w:bookmarkEnd w:id="3"/>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公司通过《服务数据备份管理程序》、《数据安全管理规范》等制度，对服务数据的全生命周期进行管理：数据定义与采集：明确定义了各类服务数据的类型、内容、格式和采集频率。数据采集主要通过运维工具（如ITSM系统、监控系统）自动完成，确保数据的客观性与及时性。数据存储与备份：服务数据集中存储在公司的内部服务器及专用数据库中。严格执行数据备份策略，定期对重要服务数据进行备份，并定期进行恢复演练，确保数据的可用性与完整性。数据处理与分析：质量管控部与运维管理部定期（按月、季度）对收集的服务数据进行清洗、汇总与多维度分析。分析方法包括趋势分析、对比分析、根本原因分析等，旨在发现服务短板、识别改进机会。数据展示与利用：通过定制化的可视化仪表盘（如数据大屏）和定期服务报告，向管理层、项目组及相关方展示关键服务指标（KPI）的达成情况。分析结果直接应用于管理评审、内审、服务改进计划及资源规划。数据安全与保密：建立了数据访问权限控制机制，确保敏感数据仅限授权人员访问。所有员工接受数据安全培训，签署保密协议，严格遵守客户信息和运维数据的保密要求。</w:t>
      </w:r>
    </w:p>
    <w:p>
      <w:pPr>
        <w:pStyle w:val="Heading1"/>
        <w:bidi w:val="0"/>
        <w:rPr>
          <w:rFonts w:hint="eastAsia"/>
          <w:lang w:val="en-US" w:eastAsia="zh-CN"/>
        </w:rPr>
      </w:pPr>
      <w:bookmarkStart w:id="4" w:name="_Toc25771"/>
      <w:r>
        <w:rPr>
          <w:rFonts w:hint="eastAsia"/>
          <w:lang w:val="en-US" w:eastAsia="zh-CN"/>
        </w:rPr>
        <w:t>4. 服务数据的类型与内容</w:t>
      </w:r>
      <w:bookmarkEnd w:id="4"/>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公司管理的主要服务数据类型包括：</w:t>
      </w:r>
    </w:p>
    <w:tbl>
      <w:tblPr>
        <w:tblW w:w="0" w:type="auto"/>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99"/>
        <w:gridCol w:w="3593"/>
        <w:gridCol w:w="2133"/>
        <w:gridCol w:w="2121"/>
      </w:tblGrid>
      <w:tr>
        <w:tblPrEx>
          <w:tblW w:w="0" w:type="auto"/>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Ex>
        <w:trPr>
          <w:tblHeader/>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tcMar>
              <w:top w:w="150" w:type="dxa"/>
              <w:left w:w="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2"/>
                <w:szCs w:val="21"/>
              </w:rPr>
            </w:pPr>
            <w:r>
              <w:rPr>
                <w:rFonts w:hint="default"/>
                <w:sz w:val="22"/>
                <w:szCs w:val="21"/>
                <w:lang w:val="en-US" w:eastAsia="zh-CN"/>
              </w:rPr>
              <w:t>数据类型</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主要内容</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数据来源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主要应用</w:t>
            </w:r>
          </w:p>
        </w:tc>
      </w:tr>
      <w:tr>
        <w:tblPrEx>
          <w:tblW w:w="0" w:type="auto"/>
          <w:tblInd w:w="0" w:type="dxa"/>
          <w:shd w:val="clear" w:color="auto" w:fill="auto"/>
          <w:tblCellMar>
            <w:top w:w="15" w:type="dxa"/>
            <w:left w:w="15" w:type="dxa"/>
            <w:bottom w:w="15" w:type="dxa"/>
            <w:right w:w="15"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2"/>
                <w:szCs w:val="21"/>
              </w:rPr>
            </w:pPr>
            <w:r>
              <w:rPr>
                <w:rFonts w:hint="default"/>
                <w:sz w:val="22"/>
                <w:szCs w:val="21"/>
                <w:lang w:val="en-US" w:eastAsia="zh-CN"/>
              </w:rPr>
              <w:t>过程数据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事件单数量、平均响应/解决时间、问题根因分析、变更成功率、发布记录等。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网强ITSM系统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评估运维流程效率，优化服务流程。</w:t>
            </w:r>
          </w:p>
        </w:tc>
      </w:tr>
      <w:tr>
        <w:tblPrEx>
          <w:tblW w:w="0" w:type="auto"/>
          <w:tblInd w:w="0" w:type="dxa"/>
          <w:shd w:val="clear" w:color="auto" w:fill="auto"/>
          <w:tblCellMar>
            <w:top w:w="15" w:type="dxa"/>
            <w:left w:w="15" w:type="dxa"/>
            <w:bottom w:w="15" w:type="dxa"/>
            <w:right w:w="15"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质量数据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SLA达成率、客户满意度得分、重大故障次数及时长、服务报告质量等。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满意度调查、SLA监控、服务报告</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衡量服务质量水平，识别改进点。</w:t>
            </w:r>
          </w:p>
        </w:tc>
      </w:tr>
      <w:tr>
        <w:tblPrEx>
          <w:tblW w:w="0" w:type="auto"/>
          <w:tblInd w:w="0" w:type="dxa"/>
          <w:shd w:val="clear" w:color="auto" w:fill="auto"/>
          <w:tblCellMar>
            <w:top w:w="15" w:type="dxa"/>
            <w:left w:w="15" w:type="dxa"/>
            <w:bottom w:w="15" w:type="dxa"/>
            <w:right w:w="15"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性能数据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服务器CPU/内存/磁盘使用率、网络设备性能指标、应用响应时间等。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Zabbix等监控工具</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监控IT健康状态，进行容量规划和性能优化。</w:t>
            </w:r>
          </w:p>
        </w:tc>
      </w:tr>
      <w:tr>
        <w:tblPrEx>
          <w:tblW w:w="0" w:type="auto"/>
          <w:tblInd w:w="0" w:type="dxa"/>
          <w:shd w:val="clear" w:color="auto" w:fill="auto"/>
          <w:tblCellMar>
            <w:top w:w="15" w:type="dxa"/>
            <w:left w:w="15" w:type="dxa"/>
            <w:bottom w:w="15" w:type="dxa"/>
            <w:right w:w="15"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资源数据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备件库存与周转率、知识库条目数量与利用率、人员工时与技能数据。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CMDB、知识库、HR系统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优化资源调配，支持能力规划。</w:t>
            </w:r>
          </w:p>
        </w:tc>
      </w:tr>
      <w:tr>
        <w:tblPrEx>
          <w:tblW w:w="0" w:type="auto"/>
          <w:tblInd w:w="0" w:type="dxa"/>
          <w:shd w:val="clear" w:color="auto" w:fill="auto"/>
          <w:tblCellMar>
            <w:top w:w="15" w:type="dxa"/>
            <w:left w:w="15" w:type="dxa"/>
            <w:bottom w:w="15" w:type="dxa"/>
            <w:right w:w="15"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业务数据</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与客户业务系统相关的关键交易量、成功率等（在SLA约定范围内）。</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24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应用监控、日志分析</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22"/>
                <w:szCs w:val="21"/>
              </w:rPr>
            </w:pPr>
            <w:r>
              <w:rPr>
                <w:rFonts w:hint="default"/>
                <w:sz w:val="22"/>
                <w:szCs w:val="21"/>
                <w:lang w:val="en-US" w:eastAsia="zh-CN"/>
              </w:rPr>
              <w:t>评估运维对业务的实际支撑效果。</w:t>
            </w:r>
          </w:p>
        </w:tc>
      </w:tr>
    </w:tbl>
    <w:p>
      <w:pPr>
        <w:bidi w:val="0"/>
        <w:spacing w:line="360" w:lineRule="auto"/>
        <w:jc w:val="left"/>
        <w:rPr>
          <w:rFonts w:ascii="宋体" w:hAnsi="宋体" w:hint="eastAsia"/>
          <w:sz w:val="24"/>
          <w:lang w:val="en-US" w:eastAsia="zh-CN"/>
        </w:rPr>
      </w:pPr>
    </w:p>
    <w:p>
      <w:pPr>
        <w:pStyle w:val="Heading1"/>
        <w:bidi w:val="0"/>
        <w:rPr>
          <w:rFonts w:hint="eastAsia"/>
          <w:lang w:val="en-US" w:eastAsia="zh-CN"/>
        </w:rPr>
      </w:pPr>
      <w:bookmarkStart w:id="5" w:name="_Toc12492"/>
      <w:r>
        <w:rPr>
          <w:rFonts w:hint="eastAsia"/>
          <w:lang w:val="en-US" w:eastAsia="zh-CN"/>
        </w:rPr>
        <w:t>5. 服务数据的工具与应用</w:t>
      </w:r>
      <w:bookmarkEnd w:id="5"/>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公司通过以下工具平台实现服务数据的有效管理与应用：网强ITSM流程管理软件：作为核心的过程数据平台，记录了所有运维活动的流水数据，并内置报表功能，用于生成服务报告和流程指标分析。Zabbix监控工具：实时采集并存储性能数据，提供历史数据查询和趋势图表，为性能容量管理提供数据基础。数据可视化平台：公司将关键服务指标（如SLA实时状态、事件数量趋势、资源健康度）通过数据大屏进行集中可视化展示，实现了服务状态的透明化和实时感知。配置管理数据库（CMDB）：作为资源数据的核心，存储了所有配置项及其关系数据，支撑变更影响分析和故障定位。</w:t>
      </w:r>
    </w:p>
    <w:p>
      <w:pPr>
        <w:pStyle w:val="Heading1"/>
        <w:bidi w:val="0"/>
        <w:rPr>
          <w:rFonts w:hint="eastAsia"/>
          <w:lang w:val="en-US" w:eastAsia="zh-CN"/>
        </w:rPr>
      </w:pPr>
      <w:bookmarkStart w:id="6" w:name="_Toc14847"/>
      <w:r>
        <w:rPr>
          <w:rFonts w:hint="eastAsia"/>
          <w:lang w:val="en-US" w:eastAsia="zh-CN"/>
        </w:rPr>
        <w:t>6. 服务数据应用效果评估</w:t>
      </w:r>
      <w:bookmarkEnd w:id="6"/>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通过系统化的服务数据管理，公司取得了显著的应用成效：实现量化管理与决策支持：管理层能够基于准确的SLA达成率、事件趋势、客户满意度等数据做出资源调配、技术投入等决策，改变了以往依赖经验的模式。在2025年度的管理评审中，服务数据是评价体系有效性和决策改进措施的关键输入。驱动服务流程持续优化：通过分析事件和问题数据，识别出重复发生、耗时较长的故障类型，并将其纳入问题管理流程进行根因治理，有效预防了同类事件的再次发生。提升服务交付的精准性：通过性能数据的趋势分析，能够提前预判资源瓶颈，主动进行容量扩容或优化，避免了因性能不足导致的业务中断，提升了服务的 proactive（主动性）。增强客户沟通与信任：基于详实、准确的服务数据编制的服务报告，向客户清晰地展示了服务价值与成果，增强了服务的透明度，提升了客户信任度和满意度。保障服务过程可追溯：所有服务活动均有数据记录，在出现争议或需要进行审计时，可以提供完整的数据链条，确保了服务过程的可追溯性。综上所述，甘肃国邦信息科技有限公司已将服务数据深度融入运维服务的各个环节，构建了“采集-分析-决策-改进”的数据驱动闭环。这不仅有效支撑了当前服务的高效、高质量交付，也为公司运维服务能力的持续演进提供了坚实的数据基石，完全符合ITSS对服务数据管理的能力要求。</w:t>
      </w:r>
    </w:p>
    <w:sectPr>
      <w:footerReference w:type="default" r:id="rId9"/>
      <w:pgSz w:w="11906" w:h="16838"/>
      <w:pgMar w:top="1560" w:right="1800" w:bottom="1440" w:left="1800" w:header="851" w:footer="992" w:gutter="0"/>
      <w:pgNumType w:fmt="decimal"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r>
      <w:rPr>
        <w:rFonts w:asciiTheme="minorEastAsia" w:eastAsiaTheme="minorEastAsia" w:hAnsiTheme="minorEastAsia" w:hint="eastAsia"/>
        <w:szCs w:val="24"/>
      </w:rPr>
      <w:t xml:space="preserve">                </w:t>
    </w:r>
    <w:r>
      <w:rPr>
        <w:rFonts w:asciiTheme="minorEastAsia" w:eastAsiaTheme="minorEastAsia" w:hAnsiTheme="minorEastAsia"/>
        <w:szCs w:val="24"/>
      </w:rPr>
      <w:t xml:space="preserve">                         </w:t>
    </w:r>
    <w:r>
      <w:rPr>
        <w:rFonts w:asciiTheme="minorEastAsia" w:eastAsiaTheme="minorEastAsia" w:hAnsiTheme="minorEastAsia" w:hint="eastAsia"/>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420"/>
  <w:drawingGridHorizontalSpacing w:val="105"/>
  <w:drawingGridVerticalSpacing w:val="156"/>
  <w:noPunctuationKerning/>
  <w:characterSpacingControl w:val="compressPunctuation"/>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5YTk2NWU3OTRhNTU0YjZlNWE0ODExMjY4YzM0MTg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semiHidden="0" w:uiPriority="0" w:unhideWhenUsed="0" w:qFormat="1"/>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0"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ind w:firstLine="420" w:firstLineChars="200"/>
      <w:jc w:val="both"/>
    </w:pPr>
    <w:rPr>
      <w:rFonts w:ascii="Calibri" w:eastAsia="宋体" w:hAnsi="Calibri" w:cs="Arial"/>
      <w:kern w:val="2"/>
      <w:sz w:val="24"/>
      <w:szCs w:val="22"/>
      <w:lang w:val="en-US" w:eastAsia="zh-CN" w:bidi="ar-SA"/>
    </w:rPr>
  </w:style>
  <w:style w:type="paragraph" w:styleId="Heading1">
    <w:name w:val="heading 1"/>
    <w:basedOn w:val="Normal"/>
    <w:next w:val="Normal"/>
    <w:autoRedefine/>
    <w:qFormat/>
    <w:pPr>
      <w:keepNext/>
      <w:keepLines/>
      <w:spacing w:line="480" w:lineRule="auto"/>
      <w:outlineLvl w:val="0"/>
    </w:pPr>
    <w:rPr>
      <w:rFonts w:eastAsia="黑体"/>
      <w:b/>
      <w:bCs/>
      <w:kern w:val="44"/>
      <w:sz w:val="30"/>
      <w:szCs w:val="44"/>
    </w:rPr>
  </w:style>
  <w:style w:type="paragraph" w:styleId="Heading2">
    <w:name w:val="heading 2"/>
    <w:basedOn w:val="Normal"/>
    <w:next w:val="Normal"/>
    <w:autoRedefine/>
    <w:qFormat/>
    <w:pPr>
      <w:keepNext/>
      <w:keepLines/>
      <w:spacing w:before="20" w:after="20" w:line="360" w:lineRule="auto"/>
      <w:outlineLvl w:val="1"/>
    </w:pPr>
    <w:rPr>
      <w:rFonts w:ascii="Cambria" w:eastAsia="黑体" w:hAnsi="Cambria"/>
      <w:b/>
      <w:bCs/>
      <w:szCs w:val="32"/>
    </w:rPr>
  </w:style>
  <w:style w:type="paragraph" w:styleId="Heading3">
    <w:name w:val="heading 3"/>
    <w:basedOn w:val="Normal"/>
    <w:next w:val="Normal"/>
    <w:autoRedefine/>
    <w:qFormat/>
    <w:pPr>
      <w:keepNext/>
      <w:keepLines/>
      <w:spacing w:line="360" w:lineRule="auto"/>
      <w:ind w:firstLine="0" w:firstLineChars="0"/>
      <w:jc w:val="center"/>
      <w:outlineLvl w:val="2"/>
    </w:pPr>
    <w:rPr>
      <w:rFonts w:eastAsia="宋体"/>
      <w:b/>
      <w:bCs/>
      <w:szCs w:val="32"/>
    </w:rPr>
  </w:style>
  <w:style w:type="paragraph" w:styleId="Heading4">
    <w:name w:val="heading 4"/>
    <w:basedOn w:val="a"/>
    <w:next w:val="a"/>
    <w:autoRedefine/>
    <w:qFormat/>
    <w:pPr>
      <w:keepNext/>
      <w:keepLines/>
      <w:spacing w:line="240" w:lineRule="auto"/>
      <w:outlineLvl w:val="3"/>
    </w:pPr>
    <w:rPr>
      <w:rFonts w:ascii="Cambria" w:hAnsi="Cambria"/>
      <w:bCs/>
      <w:sz w:val="21"/>
      <w:szCs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customStyle="1" w:styleId="a">
    <w:name w:val="正常"/>
    <w:autoRedefine/>
    <w:qFormat/>
    <w:pPr>
      <w:widowControl w:val="0"/>
      <w:jc w:val="center"/>
    </w:pPr>
    <w:rPr>
      <w:rFonts w:ascii="Times New Roman" w:eastAsia="宋体" w:hAnsi="Times New Roman" w:cs="Times New Roman"/>
      <w:kern w:val="2"/>
      <w:sz w:val="21"/>
      <w:szCs w:val="24"/>
      <w:lang w:val="en-US" w:eastAsia="zh-CN" w:bidi="ar-SA"/>
    </w:rPr>
  </w:style>
  <w:style w:type="paragraph" w:styleId="NormalIndent">
    <w:name w:val="Normal Indent"/>
    <w:basedOn w:val="Normal"/>
    <w:autoRedefine/>
    <w:qFormat/>
    <w:pPr>
      <w:ind w:firstLine="420"/>
    </w:pPr>
  </w:style>
  <w:style w:type="paragraph" w:styleId="ListBullet">
    <w:name w:val="List Bullet"/>
    <w:basedOn w:val="Normal"/>
    <w:qFormat/>
    <w:pPr>
      <w:widowControl/>
      <w:numPr>
        <w:ilvl w:val="0"/>
        <w:numId w:val="1"/>
      </w:numPr>
      <w:spacing w:after="200" w:line="252" w:lineRule="auto"/>
      <w:contextualSpacing/>
      <w:jc w:val="left"/>
    </w:pPr>
    <w:rPr>
      <w:rFonts w:ascii="Cambria" w:hAnsi="Cambria" w:cs="Times New Roman"/>
      <w:kern w:val="0"/>
      <w:sz w:val="22"/>
      <w:lang w:eastAsia="en-US" w:bidi="en-US"/>
    </w:rPr>
  </w:style>
  <w:style w:type="paragraph" w:styleId="DocumentMap">
    <w:name w:val="Document Map"/>
    <w:basedOn w:val="Normal"/>
    <w:link w:val="a2"/>
    <w:autoRedefine/>
    <w:uiPriority w:val="99"/>
    <w:semiHidden/>
    <w:unhideWhenUsed/>
    <w:qFormat/>
    <w:rPr>
      <w:rFonts w:ascii="宋体"/>
      <w:sz w:val="18"/>
      <w:szCs w:val="18"/>
    </w:rPr>
  </w:style>
  <w:style w:type="paragraph" w:styleId="BodyText">
    <w:name w:val="Body Text"/>
    <w:basedOn w:val="Normal"/>
    <w:autoRedefine/>
    <w:qFormat/>
    <w:pPr>
      <w:spacing w:after="120"/>
    </w:pPr>
  </w:style>
  <w:style w:type="paragraph" w:styleId="BodyTextIndent">
    <w:name w:val="Body Text Indent"/>
    <w:basedOn w:val="Normal"/>
    <w:autoRedefine/>
    <w:qFormat/>
    <w:pPr>
      <w:widowControl/>
      <w:spacing w:before="100" w:beforeAutospacing="1" w:after="100" w:afterAutospacing="1"/>
      <w:jc w:val="left"/>
    </w:pPr>
    <w:rPr>
      <w:rFonts w:ascii="宋体" w:cs="宋体"/>
      <w:kern w:val="0"/>
      <w:sz w:val="24"/>
      <w:szCs w:val="24"/>
    </w:rPr>
  </w:style>
  <w:style w:type="paragraph" w:styleId="TOC5">
    <w:name w:val="toc 5"/>
    <w:basedOn w:val="Normal"/>
    <w:next w:val="Normal"/>
    <w:autoRedefine/>
    <w:uiPriority w:val="39"/>
    <w:semiHidden/>
    <w:unhideWhenUsed/>
    <w:qFormat/>
    <w:pPr>
      <w:ind w:left="1680" w:leftChars="800"/>
    </w:pPr>
  </w:style>
  <w:style w:type="paragraph" w:styleId="TOC3">
    <w:name w:val="toc 3"/>
    <w:basedOn w:val="Normal"/>
    <w:next w:val="Normal"/>
    <w:autoRedefine/>
    <w:uiPriority w:val="39"/>
    <w:qFormat/>
    <w:pPr>
      <w:tabs>
        <w:tab w:val="right" w:leader="dot" w:pos="8364"/>
      </w:tabs>
      <w:ind w:left="400" w:leftChars="400"/>
    </w:pPr>
    <w:rPr>
      <w:rFonts w:eastAsia="微软雅黑"/>
    </w:rPr>
  </w:style>
  <w:style w:type="paragraph" w:styleId="BalloonText">
    <w:name w:val="Balloon Text"/>
    <w:basedOn w:val="Normal"/>
    <w:autoRedefine/>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cs="黑体"/>
      <w:b/>
      <w:bCs/>
      <w:caps/>
      <w:sz w:val="20"/>
      <w:szCs w:val="20"/>
    </w:rPr>
  </w:style>
  <w:style w:type="paragraph" w:styleId="TOC4">
    <w:name w:val="toc 4"/>
    <w:basedOn w:val="Normal"/>
    <w:next w:val="Normal"/>
    <w:autoRedefine/>
    <w:uiPriority w:val="39"/>
    <w:semiHidden/>
    <w:unhideWhenUsed/>
    <w:qFormat/>
    <w:pPr>
      <w:ind w:left="1260" w:leftChars="600"/>
    </w:pPr>
  </w:style>
  <w:style w:type="paragraph" w:styleId="Subtitle">
    <w:name w:val="Subtitle"/>
    <w:basedOn w:val="Normal"/>
    <w:next w:val="Normal"/>
    <w:autoRedefine/>
    <w:qFormat/>
    <w:pPr>
      <w:spacing w:before="240" w:after="60" w:line="312" w:lineRule="auto"/>
      <w:jc w:val="center"/>
      <w:outlineLvl w:val="1"/>
    </w:pPr>
    <w:rPr>
      <w:rFonts w:ascii="Cambria" w:hAnsi="Cambria" w:cs="Times New Roman"/>
      <w:b/>
      <w:bCs/>
      <w:kern w:val="28"/>
      <w:sz w:val="32"/>
      <w:szCs w:val="32"/>
    </w:rPr>
  </w:style>
  <w:style w:type="paragraph" w:styleId="List">
    <w:name w:val="List"/>
    <w:basedOn w:val="Normal"/>
    <w:autoRedefine/>
    <w:qFormat/>
    <w:pPr>
      <w:ind w:left="200" w:hanging="200" w:hangingChars="200"/>
    </w:pPr>
  </w:style>
  <w:style w:type="paragraph" w:styleId="TOC2">
    <w:name w:val="toc 2"/>
    <w:basedOn w:val="Normal"/>
    <w:next w:val="Normal"/>
    <w:uiPriority w:val="39"/>
    <w:qFormat/>
    <w:pPr>
      <w:ind w:left="210"/>
      <w:jc w:val="left"/>
    </w:pPr>
    <w:rPr>
      <w:rFonts w:cs="黑体"/>
      <w:smallCaps/>
      <w:sz w:val="20"/>
      <w:szCs w:val="20"/>
    </w:rPr>
  </w:style>
  <w:style w:type="paragraph" w:styleId="NormalWeb">
    <w:name w:val="Normal (Web)"/>
    <w:basedOn w:val="Normal"/>
    <w:uiPriority w:val="99"/>
    <w:qFormat/>
    <w:pPr>
      <w:spacing w:line="360" w:lineRule="auto"/>
    </w:pPr>
    <w:rPr>
      <w:rFonts w:ascii="Times New Roman" w:hAnsi="Times New Roman" w:cs="Times New Roman"/>
      <w:sz w:val="24"/>
      <w:szCs w:val="24"/>
    </w:rPr>
  </w:style>
  <w:style w:type="paragraph" w:styleId="Title">
    <w:name w:val="Title"/>
    <w:basedOn w:val="Normal"/>
    <w:next w:val="Normal"/>
    <w:qFormat/>
    <w:pPr>
      <w:spacing w:before="240" w:after="60"/>
      <w:jc w:val="center"/>
      <w:outlineLvl w:val="0"/>
    </w:pPr>
    <w:rPr>
      <w:rFonts w:ascii="Cambria" w:hAnsi="Cambria" w:cs="Times New Roman"/>
      <w:b/>
      <w:bCs/>
      <w:sz w:val="32"/>
      <w:szCs w:val="3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Hyperlink">
    <w:name w:val="Hyperlink"/>
    <w:basedOn w:val="DefaultParagraphFont"/>
    <w:uiPriority w:val="99"/>
    <w:qFormat/>
    <w:rPr>
      <w:color w:val="0000FF"/>
      <w:u w:val="single"/>
    </w:rPr>
  </w:style>
  <w:style w:type="paragraph" w:customStyle="1" w:styleId="1">
    <w:name w:val="列出段落1"/>
    <w:basedOn w:val="Normal"/>
    <w:qFormat/>
    <w:pPr>
      <w:ind w:firstLine="200" w:firstLineChars="200"/>
    </w:pPr>
  </w:style>
  <w:style w:type="paragraph" w:customStyle="1" w:styleId="10">
    <w:name w:val="纯文本1"/>
    <w:basedOn w:val="Normal"/>
    <w:qFormat/>
    <w:pPr>
      <w:spacing w:before="60" w:after="60"/>
    </w:pPr>
    <w:rPr>
      <w:rFonts w:ascii="宋体"/>
      <w:szCs w:val="21"/>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a0">
    <w:name w:val="普通文本"/>
    <w:basedOn w:val="Normal"/>
    <w:qFormat/>
    <w:pPr>
      <w:autoSpaceDE w:val="0"/>
      <w:autoSpaceDN w:val="0"/>
      <w:adjustRightInd w:val="0"/>
    </w:pPr>
    <w:rPr>
      <w:rFonts w:ascii="宋体" w:cs="宋体"/>
      <w:szCs w:val="21"/>
    </w:rPr>
  </w:style>
  <w:style w:type="paragraph" w:customStyle="1" w:styleId="11">
    <w:name w:val="无间隔1"/>
    <w:qFormat/>
    <w:rPr>
      <w:rFonts w:ascii="Calibri" w:eastAsia="宋体" w:hAnsi="Calibri" w:cs="Arial"/>
      <w:kern w:val="2"/>
      <w:sz w:val="22"/>
      <w:szCs w:val="22"/>
      <w:lang w:val="en-US" w:eastAsia="zh-CN" w:bidi="ar-SA"/>
    </w:rPr>
  </w:style>
  <w:style w:type="paragraph" w:styleId="ListParagraph">
    <w:name w:val="List Paragraph"/>
    <w:basedOn w:val="Normal"/>
    <w:uiPriority w:val="34"/>
    <w:qFormat/>
    <w:pPr>
      <w:ind w:firstLine="420" w:firstLineChars="200"/>
    </w:pPr>
  </w:style>
  <w:style w:type="character" w:customStyle="1" w:styleId="a1">
    <w:name w:val="页脚 字符"/>
    <w:basedOn w:val="DefaultParagraphFont"/>
    <w:link w:val="Footer"/>
    <w:uiPriority w:val="99"/>
    <w:qFormat/>
    <w:rPr>
      <w:rFonts w:ascii="Calibri" w:hAnsi="Calibri" w:cs="Arial"/>
      <w:kern w:val="2"/>
      <w:sz w:val="18"/>
      <w:szCs w:val="18"/>
    </w:rPr>
  </w:style>
  <w:style w:type="paragraph" w:customStyle="1" w:styleId="3">
    <w:name w:val="标题3"/>
    <w:basedOn w:val="Normal"/>
    <w:qFormat/>
    <w:pPr>
      <w:spacing w:line="360" w:lineRule="auto"/>
      <w:jc w:val="left"/>
      <w:outlineLvl w:val="2"/>
    </w:pPr>
    <w:rPr>
      <w:rFonts w:ascii="宋体" w:hAnsi="宋体" w:cs="Times New Roman"/>
      <w:b/>
      <w:sz w:val="24"/>
      <w:szCs w:val="24"/>
    </w:rPr>
  </w:style>
  <w:style w:type="character" w:customStyle="1" w:styleId="a2">
    <w:name w:val="文档结构图 字符"/>
    <w:basedOn w:val="DefaultParagraphFont"/>
    <w:link w:val="DocumentMap"/>
    <w:uiPriority w:val="99"/>
    <w:semiHidden/>
    <w:qFormat/>
    <w:rPr>
      <w:rFonts w:ascii="宋体" w:hAnsi="Calibri" w:cs="Arial"/>
      <w:kern w:val="2"/>
      <w:sz w:val="18"/>
      <w:szCs w:val="18"/>
    </w:rPr>
  </w:style>
  <w:style w:type="paragraph" w:customStyle="1" w:styleId="a3">
    <w:name w:val="*正文"/>
    <w:basedOn w:val="Normal"/>
    <w:qFormat/>
    <w:pPr>
      <w:ind w:firstLine="200" w:firstLineChars="200"/>
    </w:pPr>
  </w:style>
  <w:style w:type="paragraph" w:customStyle="1" w:styleId="a4">
    <w:name w:val="表头"/>
    <w:basedOn w:val="Normal"/>
    <w:qFormat/>
    <w:pPr>
      <w:spacing w:line="520" w:lineRule="exact"/>
      <w:jc w:val="center"/>
    </w:pPr>
    <w:rPr>
      <w:rFonts w:ascii="黑体" w:eastAsia="黑体" w:hAnsi="微软雅黑"/>
      <w:sz w:val="24"/>
      <w:szCs w:val="24"/>
    </w:rPr>
  </w:style>
  <w:style w:type="paragraph" w:customStyle="1" w:styleId="a5">
    <w:name w:val="表内容居中"/>
    <w:basedOn w:val="Normal"/>
    <w:qFormat/>
    <w:pPr>
      <w:spacing w:line="520" w:lineRule="exact"/>
      <w:jc w:val="center"/>
    </w:pPr>
    <w:rPr>
      <w:sz w:val="24"/>
      <w:szCs w:val="24"/>
    </w:rPr>
  </w:style>
  <w:style w:type="paragraph" w:customStyle="1" w:styleId="30">
    <w:name w:val="样式3"/>
    <w:basedOn w:val="List"/>
    <w:qFormat/>
    <w:pPr>
      <w:keepNext w:val="0"/>
      <w:ind w:left="0" w:firstLine="0" w:firstLineChars="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5DEBEA-CC87-4B84-9831-8EA9AA7F91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257</Words>
  <Characters>365</Characters>
  <Application>Microsoft Office Word</Application>
  <DocSecurity>0</DocSecurity>
  <Lines>42</Lines>
  <Paragraphs>11</Paragraphs>
  <ScaleCrop>false</ScaleCrop>
  <Company>Microsoft</Company>
  <LinksUpToDate>false</LinksUpToDate>
  <CharactersWithSpaces>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21</cp:revision>
  <dcterms:created xsi:type="dcterms:W3CDTF">2019-03-04T09:01:00Z</dcterms:created>
  <dcterms:modified xsi:type="dcterms:W3CDTF">2025-11-27T16:50:06Z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E7C5EAB1546442CBA330423247C73DB4</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