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0" w:firstLineChars="0"/>
        <w:jc w:val="center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-1243330</wp:posOffset>
            </wp:positionH>
            <wp:positionV relativeFrom="paragraph">
              <wp:posOffset>-1377315</wp:posOffset>
            </wp:positionV>
            <wp:extent cx="7776210" cy="11254105"/>
            <wp:effectExtent l="0" t="0" r="1524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125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  <w:t>甘肃国邦信息科技有限公司</w:t>
      </w: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hint="eastAsia"/>
          <w:b/>
          <w:sz w:val="48"/>
          <w:szCs w:val="48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720" w:leftChars="0" w:firstLineChars="300"/>
        <w:jc w:val="both"/>
        <w:rPr>
          <w:rFonts w:hint="eastAsia"/>
          <w:b/>
          <w:sz w:val="48"/>
          <w:szCs w:val="48"/>
          <w:lang w:eastAsia="zh-CN"/>
        </w:rPr>
      </w:pPr>
      <w:r>
        <w:rPr>
          <w:rFonts w:hint="eastAsia"/>
          <w:b/>
          <w:sz w:val="48"/>
          <w:szCs w:val="48"/>
          <w:lang w:val="en-US" w:eastAsia="zh-CN"/>
        </w:rPr>
        <w:t>最终软件库</w:t>
      </w:r>
      <w:r>
        <w:rPr>
          <w:rFonts w:hint="eastAsia"/>
          <w:b/>
          <w:sz w:val="48"/>
          <w:szCs w:val="48"/>
          <w:lang w:eastAsia="zh-CN"/>
        </w:rPr>
        <w:t>应用情况说明</w:t>
      </w: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宋体" w:hAnsi="宋体" w:cs="宋体" w:hint="eastAsia"/>
          <w:b/>
          <w:bCs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GSGB-ITSS-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10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-0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2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rFonts w:ascii="宋体" w:hAnsi="宋体" w:cs="宋体" w:hint="eastAsia"/>
          <w:b/>
          <w:bCs/>
          <w:sz w:val="36"/>
          <w:szCs w:val="36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hint="eastAsia"/>
          <w:sz w:val="32"/>
          <w:szCs w:val="32"/>
        </w:rPr>
      </w:pP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eastAsia="zh-CN"/>
        </w:rPr>
        <w:t>胡葛鹏宇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审核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before="312" w:beforeLines="100" w:after="312" w:afterLines="100"/>
        <w:ind w:firstLine="720" w:firstLineChars="300"/>
        <w:jc w:val="both"/>
        <w:rPr>
          <w:rFonts w:eastAsia="宋体"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</w:rPr>
        <w:t>批准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赵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鑫            </w:t>
      </w:r>
    </w:p>
    <w:p>
      <w:pPr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br w:type="page"/>
      </w: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2025.11.15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</w:tbl>
    <w:p>
      <w:pPr>
        <w:rPr>
          <w:rFonts w:ascii="黑体" w:eastAsia="宋体" w:hAnsi="黑体" w:hint="eastAsia"/>
          <w:b/>
          <w:sz w:val="32"/>
          <w:szCs w:val="32"/>
          <w:lang w:eastAsia="zh-CN"/>
        </w:rPr>
      </w:pPr>
    </w:p>
    <w:p>
      <w:pPr>
        <w:rPr>
          <w:rFonts w:ascii="黑体" w:eastAsia="宋体" w:hAnsi="黑体" w:hint="eastAsia"/>
          <w:b/>
          <w:sz w:val="32"/>
          <w:szCs w:val="32"/>
          <w:lang w:eastAsia="zh-CN"/>
        </w:rPr>
        <w:sectPr>
          <w:headerReference w:type="default" r:id="rId7"/>
          <w:footerReference w:type="default" r:id="rId8"/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</w:p>
    <w:p>
      <w:pPr>
        <w:pStyle w:val="TOC1"/>
        <w:spacing w:line="480" w:lineRule="auto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  录</w:t>
      </w:r>
    </w:p>
    <w:p>
      <w:pPr>
        <w:pStyle w:val="TOC1"/>
        <w:tabs>
          <w:tab w:val="right" w:leader="dot" w:pos="8306"/>
        </w:tabs>
      </w:pPr>
      <w:bookmarkStart w:id="0" w:name="_GoBack"/>
      <w:bookmarkEnd w:id="0"/>
      <w:r>
        <w:rPr>
          <w:rFonts w:ascii="黑体" w:eastAsia="黑体" w:hAnsi="黑体"/>
          <w:sz w:val="24"/>
          <w:szCs w:val="24"/>
        </w:rPr>
        <w:fldChar w:fldCharType="begin"/>
      </w:r>
      <w:r>
        <w:rPr>
          <w:rFonts w:ascii="黑体" w:eastAsia="黑体" w:hAnsi="黑体"/>
          <w:sz w:val="24"/>
          <w:szCs w:val="24"/>
        </w:rPr>
        <w:instrText xml:space="preserve">TOC \o "1-5" \h \u </w:instrText>
      </w:r>
      <w:r>
        <w:rPr>
          <w:rFonts w:ascii="黑体" w:eastAsia="黑体" w:hAnsi="黑体"/>
          <w:sz w:val="24"/>
          <w:szCs w:val="24"/>
        </w:rPr>
        <w:fldChar w:fldCharType="separate"/>
      </w: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_Toc24166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1. 概述</w:t>
      </w:r>
      <w:r>
        <w:tab/>
      </w:r>
      <w:r>
        <w:fldChar w:fldCharType="begin"/>
      </w:r>
      <w:r>
        <w:instrText xml:space="preserve"> PAGEREF _Toc24166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_Toc12373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 最终软件库管理组织与职责</w:t>
      </w:r>
      <w:r>
        <w:tab/>
      </w:r>
      <w:r>
        <w:fldChar w:fldCharType="begin"/>
      </w:r>
      <w:r>
        <w:instrText xml:space="preserve"> PAGEREF _Toc12373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_Toc9816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 最终软件库管理制度与规范</w:t>
      </w:r>
      <w:r>
        <w:tab/>
      </w:r>
      <w:r>
        <w:fldChar w:fldCharType="begin"/>
      </w:r>
      <w:r>
        <w:instrText xml:space="preserve"> PAGEREF _Toc9816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_Toc32655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 最终软件库管理流程</w:t>
      </w:r>
      <w:r>
        <w:tab/>
      </w:r>
      <w:r>
        <w:fldChar w:fldCharType="begin"/>
      </w:r>
      <w:r>
        <w:instrText xml:space="preserve"> PAGEREF _Toc32655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_Toc1560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4.1 软件入库流程</w:t>
      </w:r>
      <w:r>
        <w:tab/>
      </w:r>
      <w:r>
        <w:fldChar w:fldCharType="begin"/>
      </w:r>
      <w:r>
        <w:instrText xml:space="preserve"> PAGEREF _Toc1560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_Toc12318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4.2 软件出库与使用流程</w:t>
      </w:r>
      <w:r>
        <w:tab/>
      </w:r>
      <w:r>
        <w:fldChar w:fldCharType="begin"/>
      </w:r>
      <w:r>
        <w:instrText xml:space="preserve"> PAGEREF _Toc12318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_Toc23702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4.3 软件更新与退出流程</w:t>
      </w:r>
      <w:r>
        <w:tab/>
      </w:r>
      <w:r>
        <w:fldChar w:fldCharType="begin"/>
      </w:r>
      <w:r>
        <w:instrText xml:space="preserve"> PAGEREF _Toc23702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_Toc27969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4.4 定期审计与可用性检查</w:t>
      </w:r>
      <w:r>
        <w:tab/>
      </w:r>
      <w:r>
        <w:fldChar w:fldCharType="begin"/>
      </w:r>
      <w:r>
        <w:instrText xml:space="preserve"> PAGEREF _Toc27969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_Toc30712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5. 软件库工具与技术保障</w:t>
      </w:r>
      <w:r>
        <w:tab/>
      </w:r>
      <w:r>
        <w:fldChar w:fldCharType="begin"/>
      </w:r>
      <w:r>
        <w:instrText xml:space="preserve"> PAGEREF _Toc30712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_Toc25823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6. 最终软件库应用效果评估</w:t>
      </w:r>
      <w:r>
        <w:tab/>
      </w:r>
      <w:r>
        <w:fldChar w:fldCharType="begin"/>
      </w:r>
      <w:r>
        <w:instrText xml:space="preserve"> PAGEREF _Toc25823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widowControl/>
        <w:tabs>
          <w:tab w:val="left" w:pos="1440"/>
          <w:tab w:val="right" w:leader="dot" w:pos="8869"/>
        </w:tabs>
        <w:spacing w:line="480" w:lineRule="auto"/>
        <w:ind w:left="0"/>
        <w:rPr>
          <w:rFonts w:ascii="黑体" w:eastAsia="黑体" w:hAnsi="黑体"/>
          <w:sz w:val="24"/>
          <w:szCs w:val="24"/>
        </w:rPr>
        <w:sectPr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  <w:r>
        <w:rPr>
          <w:rFonts w:ascii="黑体" w:eastAsia="黑体" w:hAnsi="黑体"/>
          <w:szCs w:val="24"/>
        </w:rPr>
        <w:fldChar w:fldCharType="end"/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1" w:name="_Toc24166"/>
      <w:r>
        <w:rPr>
          <w:rFonts w:hint="eastAsia"/>
          <w:lang w:val="en-US" w:eastAsia="zh-CN"/>
        </w:rPr>
        <w:t>1. 概述</w:t>
      </w:r>
      <w:bookmarkEnd w:id="1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甘肃国邦信息科技有限公司（以下简称"公司"）为确保运维服务过程中所使用的软件工具、系统组件及应用程序版本的标准化、安全性与一致性，避免因软件版本混乱导致的系统兼容性问题、安全漏洞及运维操作失误，特建立并严格管理最终软件库（Definitive Software Library, DSL）。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最终软件库作为公司授权的软件资产唯一可信源，存储所有经正式测试、评审与批准的软件实体及其相关文档。通过实施系统化的DSL管理，公司为运维活动中的软件分发、部署及版本控制提供了坚实基础，有效支撑了变更管理、发布管理及配置管理流程的执行。本说明详细阐述公司最终软件库的管理体系及应用成效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2" w:name="_Toc12373"/>
      <w:r>
        <w:rPr>
          <w:rFonts w:hint="eastAsia"/>
          <w:lang w:val="en-US" w:eastAsia="zh-CN"/>
        </w:rPr>
        <w:t>2. 最终软件库管理组织与职责</w:t>
      </w:r>
      <w:bookmarkEnd w:id="2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最终软件库的管理遵循"集中管控、分级负责"的原则：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软件研发部：作为最终软件库的技术归口管理部门，负责DSL的规划、建设、日常运维与技术保障，确保库的可用性与安全性。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质量管控部：负责监督DSL管理流程的执行，参与软件入库前的质量评审，确保入库软件符合质量标准。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运维管理部：作为主要使用部门，负责根据运维需求提出软件使用申请，参与软件入库测试与评审，并严格执行从DSL获取软件进行部署的操作规范。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变更管理委员会（CAB）：负责对重大软件版本入库及旧版本退出进行审批。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3" w:name="_Toc9816"/>
      <w:r>
        <w:rPr>
          <w:rFonts w:hint="eastAsia"/>
          <w:lang w:val="en-US" w:eastAsia="zh-CN"/>
        </w:rPr>
        <w:t>3. 最终软件库管理制度与规范</w:t>
      </w:r>
      <w:bookmarkEnd w:id="3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公司通过《最终软件库管理规范》等制度，对DSL的全生命周期活动进行明确规定：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管理范围：明确DSL管理的软件类型，包括操作系统安装镜像、数据库软件、中间件、应用系统程序包、补丁包、许可证文件及相关技术文档。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管理策略：确立软件版本的命名规范、存储结构、访问控制策略及保留策略（如主要版本保留数量）。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权责定义：清晰定义上述各角色在软件入库、出库、检测、退出等环节的职责与权限。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控制要求：规定所有软件必须经过正式的测试、验证与审批流程后方可入库；DSL的访问必须经过严格授权。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4" w:name="_Toc32655"/>
      <w:r>
        <w:rPr>
          <w:rFonts w:hint="eastAsia"/>
          <w:lang w:val="en-US" w:eastAsia="zh-CN"/>
        </w:rPr>
        <w:t>4. 最终软件库管理流程</w:t>
      </w:r>
      <w:bookmarkEnd w:id="4"/>
    </w:p>
    <w:p>
      <w:pPr>
        <w:pStyle w:val="Heading2"/>
        <w:bidi w:val="0"/>
        <w:rPr>
          <w:rFonts w:hint="eastAsia"/>
          <w:lang w:val="en-US" w:eastAsia="zh-CN"/>
        </w:rPr>
      </w:pPr>
      <w:bookmarkStart w:id="5" w:name="_Toc1560"/>
      <w:r>
        <w:rPr>
          <w:rFonts w:hint="eastAsia"/>
          <w:lang w:val="en-US" w:eastAsia="zh-CN"/>
        </w:rPr>
        <w:t>4.1 软件入库流程</w:t>
      </w:r>
      <w:bookmarkEnd w:id="5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申请与提交：软件研发部或项目组在完成新软件版本开发或测试后，提交入库申请，并附上测试报告、版本说明等文档。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评审与验证：质量管控部与运维管理部对软件进行质量评审与功能验证，确保其稳定、安全且符合运维要求。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审批：对于基础软件或重大应用版本，需经CAB审批。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登记入库：审批通过后，由软件研发部管理员将软件实体及其元数据（版本号、MD5校验码、适用环境、依赖关系等）录入DSL，并按规定目录结构存储。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6" w:name="_Toc12318"/>
      <w:r>
        <w:rPr>
          <w:rFonts w:hint="eastAsia"/>
          <w:lang w:val="en-US" w:eastAsia="zh-CN"/>
        </w:rPr>
        <w:t>4.2 软件出库与使用流程</w:t>
      </w:r>
      <w:bookmarkEnd w:id="6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申请：运维工程师因变更或发布需要，通过ITSM系统提交软件出库申请，明确所需软件版本及用途。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审批：申请需经项目经理或变更经理审批。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获取：审批通过后，工程师从DSL指定位置下载软件包。系统记录所有出库操作。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验证：工程师在部署前，应核对软件包的MD5等校验码，确保与DSL中记录一致。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7" w:name="_Toc23702"/>
      <w:r>
        <w:rPr>
          <w:rFonts w:hint="eastAsia"/>
          <w:lang w:val="en-US" w:eastAsia="zh-CN"/>
        </w:rPr>
        <w:t>4.3 软件更新与退出流程</w:t>
      </w:r>
      <w:bookmarkEnd w:id="7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更新：新版本软件入库后，旧版本根据预定义的策略进行保留或归档。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退出：对已废弃、存在严重安全漏洞或不再受支持的软件版本，经CAB评审批准后，由软件研发部执行退出操作，并更新CMDB中的相关配置项信息。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8" w:name="_Toc27969"/>
      <w:r>
        <w:rPr>
          <w:rFonts w:hint="eastAsia"/>
          <w:lang w:val="en-US" w:eastAsia="zh-CN"/>
        </w:rPr>
        <w:t>4.4 定期审计与可用性检查</w:t>
      </w:r>
      <w:bookmarkEnd w:id="8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公司定期（如每半年）对最终软件库进行审计，检查内容包括：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库中软件实体的完整性与准确性。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访问控制日志的合规性。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软件版本与CMDB中记录的配置项信息的一致性。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同时，定期进行可用性检查与恢复演练，确保DSL的持续可用。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9" w:name="_Toc30712"/>
      <w:r>
        <w:rPr>
          <w:rFonts w:hint="eastAsia"/>
          <w:lang w:val="en-US" w:eastAsia="zh-CN"/>
        </w:rPr>
        <w:t>5. 软件库工具与技术保障</w:t>
      </w:r>
      <w:bookmarkEnd w:id="9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公司采用以下技术手段保障最终软件库的有效运行：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专用存储服务器与版本控制系统：使用集中式、高可用的存储服务器存放软件实体，并结合版本控制系统（如SVN或Git）管理软件版本历史，确保版本可追溯。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严格的访问控制：通过账户权限管理，确保只有授权人员才能访问、上传、下载或修改DSL中的内容。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安全加固：对存储服务器进行安全加固，防止未授权访问和恶意软件感染。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备份机制：将DSL纳入公司整体备份策略，定期进行全量及增量备份。</w:t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10" w:name="_Toc25823"/>
      <w:r>
        <w:rPr>
          <w:rFonts w:hint="eastAsia"/>
          <w:lang w:val="en-US" w:eastAsia="zh-CN"/>
        </w:rPr>
        <w:t>6. 最终软件库应用效果评估</w:t>
      </w:r>
      <w:bookmarkEnd w:id="10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公司最终软件库管理体系的建立与实施，取得了显著的应用成效：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保障软件版本的一致性与合规性：从根本上杜绝了运维环境中使用非授权、错误或带毒软件版本的风险，所有部署行为均可追溯至DSL中的可信源。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支撑发布与变更管理的可靠执行：为发布管理流程提供了准确、可靠的软件包，确保了发布内容的准确性，降低了变更风险。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提升应急响应与恢复效率：当需要系统重建或回滚时，能快速从DSL中获取正确的软件版本，显著缩短恢复时间。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优化软件资产管理与成本控制：通过对软件版本的集中管理，避免了重复存储与非法拷贝，有助于软件许可证的合规管理。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符合内审与管理评审要求：在2025年度的内部审核与管理评审中，最终软件库的管理被确认符合体系要求，其规范化运作得到了充分肯定。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综上所述，甘肃国邦信息科技有限公司的最终软件库已形成一套完整、安全、可控的管理体系。该体系有效保障了运维活动中软件资产的完整性、一致性与可靠性，为高质量的服务交付提供了关键支撑，完全满足ITSS对资源管理的能力要求。</w:t>
      </w:r>
    </w:p>
    <w:sectPr>
      <w:footerReference w:type="default" r:id="rId9"/>
      <w:pgSz w:w="11906" w:h="16838"/>
      <w:pgMar w:top="1560" w:right="1800" w:bottom="1440" w:left="1800" w:header="851" w:footer="992" w:gutter="0"/>
      <w:pgNumType w:fmt="decimal" w:start="1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asciiTheme="minorEastAsia" w:eastAsiaTheme="minorEastAsia" w:hAnsiTheme="minorEastAsia" w:hint="eastAsia"/>
        <w:szCs w:val="24"/>
      </w:rPr>
      <w:t xml:space="preserve">                </w:t>
    </w:r>
    <w:r>
      <w:rPr>
        <w:rFonts w:asciiTheme="minorEastAsia" w:eastAsiaTheme="minorEastAsia" w:hAnsiTheme="minorEastAsia"/>
        <w:szCs w:val="24"/>
      </w:rPr>
      <w:t xml:space="preserve">                         </w:t>
    </w:r>
    <w:r>
      <w:rPr>
        <w:rFonts w:asciiTheme="minorEastAsia" w:eastAsiaTheme="minorEastAsia" w:hAnsiTheme="minorEastAsia" w:hint="eastAsia"/>
        <w:szCs w:val="24"/>
      </w:rPr>
      <w:t xml:space="preserve">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U5YTk2NWU3OTRhNTU0YjZlNWE0ODExMjY4YzM0MTg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39" w:qFormat="1"/>
    <w:lsdException w:name="toc 5" w:uiPriority="39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footnote text"/>
    <w:lsdException w:name="annotation text"/>
    <w:lsdException w:name="header" w:semiHidden="0" w:uiPriority="0" w:unhideWhenUsed="0" w:qFormat="1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 w:semiHidden="0" w:uiPriority="0" w:unhideWhenUsed="0" w:qFormat="1"/>
    <w:lsdException w:name="List Bullet" w:semiHidden="0" w:uiPriority="0" w:unhideWhenUsed="0" w:qFormat="1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 w:qFormat="1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 w:qFormat="1"/>
    <w:lsdException w:name="Plain Text"/>
    <w:lsdException w:name="E-mail Signature"/>
    <w:lsdException w:name="Normal (Web)" w:semiHidden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420" w:firstLineChars="200"/>
      <w:jc w:val="both"/>
    </w:pPr>
    <w:rPr>
      <w:rFonts w:ascii="Calibri" w:eastAsia="宋体" w:hAnsi="Calibri" w:cs="Arial"/>
      <w:kern w:val="2"/>
      <w:sz w:val="24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line="480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Heading2">
    <w:name w:val="heading 2"/>
    <w:basedOn w:val="Normal"/>
    <w:next w:val="Normal"/>
    <w:autoRedefine/>
    <w:qFormat/>
    <w:pPr>
      <w:keepNext/>
      <w:keepLines/>
      <w:spacing w:before="20" w:after="20" w:line="360" w:lineRule="auto"/>
      <w:outlineLvl w:val="1"/>
    </w:pPr>
    <w:rPr>
      <w:rFonts w:ascii="Cambria" w:eastAsia="黑体" w:hAnsi="Cambria"/>
      <w:b/>
      <w:bCs/>
      <w:szCs w:val="32"/>
    </w:rPr>
  </w:style>
  <w:style w:type="paragraph" w:styleId="Heading3">
    <w:name w:val="heading 3"/>
    <w:basedOn w:val="Normal"/>
    <w:next w:val="Normal"/>
    <w:autoRedefine/>
    <w:qFormat/>
    <w:pPr>
      <w:keepNext/>
      <w:keepLines/>
      <w:spacing w:line="360" w:lineRule="auto"/>
      <w:ind w:firstLine="0" w:firstLineChars="0"/>
      <w:jc w:val="center"/>
      <w:outlineLvl w:val="2"/>
    </w:pPr>
    <w:rPr>
      <w:rFonts w:eastAsia="宋体"/>
      <w:b/>
      <w:bCs/>
      <w:szCs w:val="32"/>
    </w:rPr>
  </w:style>
  <w:style w:type="paragraph" w:styleId="Heading4">
    <w:name w:val="heading 4"/>
    <w:basedOn w:val="a"/>
    <w:next w:val="a"/>
    <w:autoRedefine/>
    <w:qFormat/>
    <w:pPr>
      <w:keepNext/>
      <w:keepLines/>
      <w:spacing w:line="240" w:lineRule="auto"/>
      <w:outlineLvl w:val="3"/>
    </w:pPr>
    <w:rPr>
      <w:rFonts w:ascii="Cambria" w:hAnsi="Cambria"/>
      <w:bCs/>
      <w:sz w:val="21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正常"/>
    <w:autoRedefine/>
    <w:qFormat/>
    <w:pPr>
      <w:widowControl w:val="0"/>
      <w:jc w:val="center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NormalIndent">
    <w:name w:val="Normal Indent"/>
    <w:basedOn w:val="Normal"/>
    <w:autoRedefine/>
    <w:qFormat/>
    <w:pPr>
      <w:ind w:firstLine="420"/>
    </w:pPr>
  </w:style>
  <w:style w:type="paragraph" w:styleId="ListBullet">
    <w:name w:val="List Bullet"/>
    <w:basedOn w:val="Normal"/>
    <w:qFormat/>
    <w:pPr>
      <w:widowControl/>
      <w:numPr>
        <w:ilvl w:val="0"/>
        <w:numId w:val="1"/>
      </w:numPr>
      <w:spacing w:after="200" w:line="252" w:lineRule="auto"/>
      <w:contextualSpacing/>
      <w:jc w:val="left"/>
    </w:pPr>
    <w:rPr>
      <w:rFonts w:ascii="Cambria" w:hAnsi="Cambria" w:cs="Times New Roman"/>
      <w:kern w:val="0"/>
      <w:sz w:val="22"/>
      <w:lang w:eastAsia="en-US" w:bidi="en-US"/>
    </w:rPr>
  </w:style>
  <w:style w:type="paragraph" w:styleId="DocumentMap">
    <w:name w:val="Document Map"/>
    <w:basedOn w:val="Normal"/>
    <w:link w:val="a2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BodyText">
    <w:name w:val="Body Text"/>
    <w:basedOn w:val="Normal"/>
    <w:autoRedefine/>
    <w:qFormat/>
    <w:pPr>
      <w:spacing w:after="120"/>
    </w:pPr>
  </w:style>
  <w:style w:type="paragraph" w:styleId="BodyTextIndent">
    <w:name w:val="Body Text Indent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ind w:left="1680" w:leftChars="800"/>
    </w:pPr>
  </w:style>
  <w:style w:type="paragraph" w:styleId="TOC3">
    <w:name w:val="toc 3"/>
    <w:basedOn w:val="Normal"/>
    <w:next w:val="Normal"/>
    <w:autoRedefine/>
    <w:uiPriority w:val="39"/>
    <w:qFormat/>
    <w:pPr>
      <w:tabs>
        <w:tab w:val="right" w:leader="dot" w:pos="8364"/>
      </w:tabs>
      <w:ind w:left="400" w:leftChars="400"/>
    </w:pPr>
    <w:rPr>
      <w:rFonts w:eastAsia="微软雅黑"/>
    </w:rPr>
  </w:style>
  <w:style w:type="paragraph" w:styleId="BalloonText">
    <w:name w:val="Balloon Text"/>
    <w:basedOn w:val="Normal"/>
    <w:autoRedefine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spacing w:before="120" w:after="120"/>
      <w:jc w:val="left"/>
    </w:pPr>
    <w:rPr>
      <w:rFonts w:cs="黑体"/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ind w:left="1260" w:leftChars="600"/>
    </w:pPr>
  </w:style>
  <w:style w:type="paragraph" w:styleId="Subtitle">
    <w:name w:val="Subtitle"/>
    <w:basedOn w:val="Normal"/>
    <w:next w:val="Normal"/>
    <w:autoRedefine/>
    <w:qFormat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List">
    <w:name w:val="List"/>
    <w:basedOn w:val="Normal"/>
    <w:autoRedefine/>
    <w:qFormat/>
    <w:pPr>
      <w:ind w:left="200" w:hanging="200" w:hangingChars="200"/>
    </w:pPr>
  </w:style>
  <w:style w:type="paragraph" w:styleId="TOC2">
    <w:name w:val="toc 2"/>
    <w:basedOn w:val="Normal"/>
    <w:next w:val="Normal"/>
    <w:uiPriority w:val="39"/>
    <w:qFormat/>
    <w:pPr>
      <w:ind w:left="210"/>
      <w:jc w:val="left"/>
    </w:pPr>
    <w:rPr>
      <w:rFonts w:cs="黑体"/>
      <w:smallCaps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customStyle="1" w:styleId="1">
    <w:name w:val="列出段落1"/>
    <w:basedOn w:val="Normal"/>
    <w:qFormat/>
    <w:pPr>
      <w:ind w:firstLine="200" w:firstLineChars="200"/>
    </w:pPr>
  </w:style>
  <w:style w:type="paragraph" w:customStyle="1" w:styleId="10">
    <w:name w:val="纯文本1"/>
    <w:basedOn w:val="Normal"/>
    <w:qFormat/>
    <w:pPr>
      <w:spacing w:before="60" w:after="60"/>
    </w:pPr>
    <w:rPr>
      <w:rFonts w:ascii="宋体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a0">
    <w:name w:val="普通文本"/>
    <w:basedOn w:val="Normal"/>
    <w:qFormat/>
    <w:pPr>
      <w:autoSpaceDE w:val="0"/>
      <w:autoSpaceDN w:val="0"/>
      <w:adjustRightInd w:val="0"/>
    </w:pPr>
    <w:rPr>
      <w:rFonts w:ascii="宋体" w:cs="宋体"/>
      <w:szCs w:val="21"/>
    </w:rPr>
  </w:style>
  <w:style w:type="paragraph" w:customStyle="1" w:styleId="11">
    <w:name w:val="无间隔1"/>
    <w:qFormat/>
    <w:rPr>
      <w:rFonts w:ascii="Calibri" w:eastAsia="宋体" w:hAnsi="Calibri" w:cs="Arial"/>
      <w:kern w:val="2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a1">
    <w:name w:val="页脚 字符"/>
    <w:basedOn w:val="DefaultParagraphFont"/>
    <w:link w:val="Footer"/>
    <w:uiPriority w:val="99"/>
    <w:qFormat/>
    <w:rPr>
      <w:rFonts w:ascii="Calibri" w:hAnsi="Calibri" w:cs="Arial"/>
      <w:kern w:val="2"/>
      <w:sz w:val="18"/>
      <w:szCs w:val="18"/>
    </w:rPr>
  </w:style>
  <w:style w:type="paragraph" w:customStyle="1" w:styleId="3">
    <w:name w:val="标题3"/>
    <w:basedOn w:val="Normal"/>
    <w:qFormat/>
    <w:pPr>
      <w:spacing w:line="360" w:lineRule="auto"/>
      <w:jc w:val="left"/>
      <w:outlineLvl w:val="2"/>
    </w:pPr>
    <w:rPr>
      <w:rFonts w:ascii="宋体" w:hAnsi="宋体" w:cs="Times New Roman"/>
      <w:b/>
      <w:sz w:val="24"/>
      <w:szCs w:val="24"/>
    </w:rPr>
  </w:style>
  <w:style w:type="character" w:customStyle="1" w:styleId="a2">
    <w:name w:val="文档结构图 字符"/>
    <w:basedOn w:val="DefaultParagraphFont"/>
    <w:link w:val="DocumentMap"/>
    <w:uiPriority w:val="99"/>
    <w:semiHidden/>
    <w:qFormat/>
    <w:rPr>
      <w:rFonts w:ascii="宋体" w:hAnsi="Calibri" w:cs="Arial"/>
      <w:kern w:val="2"/>
      <w:sz w:val="18"/>
      <w:szCs w:val="18"/>
    </w:rPr>
  </w:style>
  <w:style w:type="paragraph" w:customStyle="1" w:styleId="a3">
    <w:name w:val="*正文"/>
    <w:basedOn w:val="Normal"/>
    <w:qFormat/>
    <w:pPr>
      <w:ind w:firstLine="200" w:firstLineChars="200"/>
    </w:pPr>
  </w:style>
  <w:style w:type="paragraph" w:customStyle="1" w:styleId="a4">
    <w:name w:val="表头"/>
    <w:basedOn w:val="Normal"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5">
    <w:name w:val="表内容居中"/>
    <w:basedOn w:val="Normal"/>
    <w:qFormat/>
    <w:pPr>
      <w:spacing w:line="520" w:lineRule="exact"/>
      <w:jc w:val="center"/>
    </w:pPr>
    <w:rPr>
      <w:sz w:val="24"/>
      <w:szCs w:val="24"/>
    </w:rPr>
  </w:style>
  <w:style w:type="paragraph" w:customStyle="1" w:styleId="30">
    <w:name w:val="样式3"/>
    <w:basedOn w:val="List"/>
    <w:qFormat/>
    <w:pPr>
      <w:keepNext w:val="0"/>
      <w:ind w:left="0" w:firstLine="0" w:firstLineChars="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5DEBEA-CC87-4B84-9831-8EA9AA7F91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257</Words>
  <Characters>365</Characters>
  <Application>Microsoft Office Word</Application>
  <DocSecurity>0</DocSecurity>
  <Lines>42</Lines>
  <Paragraphs>11</Paragraphs>
  <ScaleCrop>false</ScaleCrop>
  <Company>Microsoft</Company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21</cp:revision>
  <dcterms:created xsi:type="dcterms:W3CDTF">2019-03-04T09:01:00Z</dcterms:created>
  <dcterms:modified xsi:type="dcterms:W3CDTF">2025-11-27T16:52:50Z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E7C5EAB1546442CBA330423247C73DB4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