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ListParagraph"/>
        <w:widowControl/>
        <w:spacing w:line="360" w:lineRule="auto"/>
        <w:ind w:left="720" w:firstLine="105" w:leftChars="343" w:firstLineChars="50"/>
        <w:jc w:val="center"/>
        <w:rPr>
          <w:rFonts w:ascii="仿宋_GB2312" w:eastAsia="仿宋_GB2312" w:hAnsiTheme="minorEastAsia" w:cs="宋体" w:hint="eastAsia"/>
          <w:b/>
          <w:color w:val="000000"/>
          <w:kern w:val="0"/>
          <w:sz w:val="24"/>
          <w:szCs w:val="24"/>
        </w:rPr>
      </w:pPr>
      <w:r>
        <w:rPr>
          <w:rFonts w:ascii="仿宋_GB2312" w:eastAsia="仿宋_GB2312" w:hAnsiTheme="minorEastAsia" w:cs="宋体" w:hint="eastAsia"/>
          <w:b/>
          <w:color w:val="000000"/>
          <w:kern w:val="0"/>
          <w:sz w:val="24"/>
          <w:szCs w:val="24"/>
        </w:rPr>
        <w:t>南京航之舟数字科技有限公司</w:t>
      </w:r>
      <w:bookmarkStart w:id="0" w:name="_GoBack"/>
      <w:bookmarkEnd w:id="0"/>
    </w:p>
    <w:p>
      <w:pPr>
        <w:pStyle w:val="ListParagraph"/>
        <w:widowControl/>
        <w:spacing w:line="360" w:lineRule="auto"/>
        <w:ind w:left="0" w:firstLine="368" w:leftChars="0" w:firstLineChars="175"/>
        <w:jc w:val="left"/>
        <w:rPr>
          <w:rFonts w:ascii="宋体" w:hAnsi="宋体" w:cs="仿宋_GB2312" w:hint="eastAsia"/>
          <w:sz w:val="24"/>
          <w:lang w:val="en-US" w:eastAsia="zh-CN"/>
        </w:rPr>
      </w:pPr>
      <w:r>
        <w:rPr>
          <w:rFonts w:ascii="宋体" w:eastAsia="宋体" w:hAnsi="宋体" w:cs="Arial" w:hint="default"/>
          <w:sz w:val="24"/>
          <w:szCs w:val="24"/>
        </w:rPr>
        <w:t>公司在2025年</w:t>
      </w:r>
      <w:r>
        <w:rPr>
          <w:rFonts w:ascii="宋体" w:eastAsia="宋体" w:hAnsi="宋体" w:cs="Arial" w:hint="eastAsia"/>
          <w:sz w:val="24"/>
          <w:szCs w:val="24"/>
          <w:lang w:val="en-US" w:eastAsia="zh-CN"/>
        </w:rPr>
        <w:t>8</w:t>
      </w:r>
      <w:r>
        <w:rPr>
          <w:rFonts w:ascii="宋体" w:eastAsia="宋体" w:hAnsi="宋体" w:cs="Arial" w:hint="default"/>
          <w:sz w:val="24"/>
          <w:szCs w:val="24"/>
        </w:rPr>
        <w:t>月收到评估机构反馈的专家评审意见后，</w:t>
      </w:r>
      <w:r>
        <w:rPr>
          <w:rFonts w:ascii="宋体" w:eastAsia="宋体" w:hAnsi="宋体" w:cs="Arial" w:hint="eastAsia"/>
          <w:sz w:val="24"/>
          <w:szCs w:val="24"/>
          <w:lang w:eastAsia="zh-CN"/>
        </w:rPr>
        <w:t>公司总经理</w:t>
      </w:r>
      <w:r>
        <w:rPr>
          <w:rFonts w:ascii="宋体" w:eastAsia="宋体" w:hAnsi="宋体" w:cs="Arial" w:hint="default"/>
          <w:sz w:val="24"/>
          <w:szCs w:val="24"/>
        </w:rPr>
        <w:t>立即组织</w:t>
      </w:r>
      <w:r>
        <w:rPr>
          <w:rFonts w:ascii="宋体" w:eastAsia="宋体" w:hAnsi="宋体" w:cs="Arial" w:hint="eastAsia"/>
          <w:sz w:val="24"/>
          <w:szCs w:val="24"/>
          <w:lang w:eastAsia="zh-CN"/>
        </w:rPr>
        <w:t>运维相关部门：</w:t>
      </w:r>
      <w:r>
        <w:rPr>
          <w:rFonts w:ascii="宋体" w:eastAsia="宋体" w:hAnsi="宋体" w:cs="仿宋_GB2312" w:hint="eastAsia"/>
          <w:sz w:val="24"/>
          <w:lang w:eastAsia="zh-CN"/>
        </w:rPr>
        <w:t>运维管理部、人力资源部、开发部、质量管理部</w:t>
      </w:r>
      <w:r>
        <w:rPr>
          <w:rFonts w:ascii="宋体" w:hAnsi="宋体" w:cs="仿宋_GB2312" w:hint="eastAsia"/>
          <w:sz w:val="24"/>
          <w:lang w:eastAsia="zh-CN"/>
        </w:rPr>
        <w:t>等，于</w:t>
      </w:r>
      <w:r>
        <w:rPr>
          <w:rFonts w:ascii="宋体" w:hAnsi="宋体" w:cs="仿宋_GB2312" w:hint="eastAsia"/>
          <w:sz w:val="24"/>
          <w:lang w:val="en-US" w:eastAsia="zh-CN"/>
        </w:rPr>
        <w:t>2025年8月14召开专题整改会。</w:t>
      </w:r>
    </w:p>
    <w:p>
      <w:pPr>
        <w:pStyle w:val="ListParagraph"/>
        <w:widowControl/>
        <w:spacing w:line="360" w:lineRule="auto"/>
        <w:ind w:left="0" w:firstLine="368" w:leftChars="0" w:firstLineChars="175"/>
        <w:jc w:val="left"/>
        <w:rPr>
          <w:rFonts w:ascii="宋体" w:eastAsia="宋体" w:hAnsi="宋体" w:cs="Arial" w:hint="eastAsia"/>
          <w:sz w:val="24"/>
          <w:szCs w:val="24"/>
          <w:lang w:eastAsia="zh-CN"/>
        </w:rPr>
      </w:pPr>
      <w:r>
        <w:rPr>
          <w:rFonts w:ascii="宋体" w:hAnsi="宋体" w:cs="仿宋_GB2312" w:hint="eastAsia"/>
          <w:sz w:val="24"/>
          <w:lang w:val="en-US" w:eastAsia="zh-CN"/>
        </w:rPr>
        <w:t>在专题会上，各个部门</w:t>
      </w:r>
      <w:r>
        <w:rPr>
          <w:rFonts w:ascii="宋体" w:hAnsi="宋体" w:cs="仿宋_GB2312" w:hint="eastAsia"/>
          <w:sz w:val="24"/>
          <w:lang w:eastAsia="zh-CN"/>
        </w:rPr>
        <w:t>针对</w:t>
      </w:r>
      <w:r>
        <w:rPr>
          <w:rFonts w:ascii="宋体" w:eastAsia="宋体" w:hAnsi="宋体" w:cs="Arial" w:hint="default"/>
          <w:sz w:val="24"/>
          <w:szCs w:val="24"/>
        </w:rPr>
        <w:t>专家</w:t>
      </w:r>
      <w:r>
        <w:rPr>
          <w:rFonts w:ascii="宋体" w:eastAsia="宋体" w:hAnsi="宋体" w:cs="Arial" w:hint="eastAsia"/>
          <w:sz w:val="24"/>
          <w:szCs w:val="24"/>
          <w:lang w:eastAsia="zh-CN"/>
        </w:rPr>
        <w:t>会的</w:t>
      </w:r>
      <w:r>
        <w:rPr>
          <w:rFonts w:ascii="宋体" w:eastAsia="宋体" w:hAnsi="宋体" w:cs="Arial" w:hint="default"/>
          <w:sz w:val="24"/>
          <w:szCs w:val="24"/>
        </w:rPr>
        <w:t>意见进行讨论，</w:t>
      </w:r>
      <w:r>
        <w:rPr>
          <w:rFonts w:ascii="宋体" w:eastAsia="宋体" w:hAnsi="宋体" w:cs="Arial" w:hint="eastAsia"/>
          <w:sz w:val="24"/>
          <w:szCs w:val="24"/>
          <w:lang w:eastAsia="zh-CN"/>
        </w:rPr>
        <w:t>认真</w:t>
      </w:r>
      <w:r>
        <w:rPr>
          <w:rFonts w:ascii="宋体" w:eastAsia="宋体" w:hAnsi="宋体" w:cs="Arial" w:hint="default"/>
          <w:sz w:val="24"/>
          <w:szCs w:val="24"/>
        </w:rPr>
        <w:t>分析原因并制定整改措施</w:t>
      </w:r>
      <w:r>
        <w:rPr>
          <w:rFonts w:ascii="宋体" w:eastAsia="宋体" w:hAnsi="宋体" w:cs="Arial" w:hint="eastAsia"/>
          <w:sz w:val="24"/>
          <w:szCs w:val="24"/>
          <w:lang w:eastAsia="zh-CN"/>
        </w:rPr>
        <w:t>。公司总经理要求各部门认真进行整改，在</w:t>
      </w:r>
      <w:r>
        <w:rPr>
          <w:rFonts w:ascii="宋体" w:eastAsia="宋体" w:hAnsi="宋体" w:cs="Arial" w:hint="eastAsia"/>
          <w:sz w:val="24"/>
          <w:szCs w:val="24"/>
          <w:lang w:val="en-US" w:eastAsia="zh-CN"/>
        </w:rPr>
        <w:t>9月中旬之前完成整改，并由质量管理部负责进行跟踪和监督</w:t>
      </w:r>
      <w:r>
        <w:rPr>
          <w:rFonts w:ascii="宋体" w:eastAsia="宋体" w:hAnsi="宋体" w:cs="Arial" w:hint="eastAsia"/>
          <w:sz w:val="24"/>
          <w:szCs w:val="24"/>
          <w:lang w:eastAsia="zh-CN"/>
        </w:rPr>
        <w:t>。</w:t>
      </w:r>
    </w:p>
    <w:tbl>
      <w:tblPr>
        <w:tblStyle w:val="TableGrid"/>
        <w:tblpPr w:leftFromText="180" w:rightFromText="180" w:vertAnchor="page" w:horzAnchor="page" w:tblpX="1801" w:tblpY="4878"/>
        <w:tblOverlap w:val="never"/>
        <w:tblW w:w="85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799"/>
        <w:gridCol w:w="3636"/>
        <w:gridCol w:w="4090"/>
      </w:tblGrid>
      <w:tr>
        <w:tblPrEx>
          <w:tblW w:w="85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699"/>
        </w:trPr>
        <w:tc>
          <w:tcPr>
            <w:tcW w:w="799" w:type="dxa"/>
            <w:vAlign w:val="center"/>
          </w:tcPr>
          <w:p>
            <w:pPr>
              <w:widowControl/>
              <w:spacing w:line="360" w:lineRule="auto"/>
              <w:jc w:val="center"/>
              <w:rPr>
                <w:rFonts w:ascii="仿宋_GB2312" w:eastAsia="仿宋_GB2312" w:hAnsi="宋体"/>
                <w:color w:val="000000"/>
                <w:sz w:val="24"/>
                <w:szCs w:val="24"/>
              </w:rPr>
            </w:pPr>
            <w:r>
              <w:rPr>
                <w:rFonts w:ascii="仿宋_GB2312" w:eastAsia="仿宋_GB2312" w:hAnsi="宋体" w:hint="eastAsia"/>
                <w:color w:val="000000"/>
                <w:sz w:val="24"/>
                <w:szCs w:val="24"/>
              </w:rPr>
              <w:t>编号</w:t>
            </w:r>
          </w:p>
        </w:tc>
        <w:tc>
          <w:tcPr>
            <w:tcW w:w="3636" w:type="dxa"/>
            <w:vAlign w:val="center"/>
          </w:tcPr>
          <w:p>
            <w:pPr>
              <w:pStyle w:val="ListParagraph"/>
              <w:widowControl/>
              <w:spacing w:line="360" w:lineRule="auto"/>
              <w:ind w:left="2" w:firstLine="0" w:firstLineChars="0"/>
              <w:jc w:val="center"/>
              <w:rPr>
                <w:rFonts w:ascii="仿宋_GB2312" w:eastAsia="仿宋_GB2312" w:hAnsi="宋体" w:cs="宋体"/>
                <w:color w:val="000000"/>
                <w:sz w:val="24"/>
                <w:szCs w:val="24"/>
              </w:rPr>
            </w:pPr>
            <w:r>
              <w:rPr>
                <w:rFonts w:ascii="仿宋_GB2312" w:eastAsia="仿宋_GB2312" w:hAnsi="宋体" w:cs="宋体" w:hint="eastAsia"/>
                <w:color w:val="000000"/>
                <w:sz w:val="24"/>
                <w:szCs w:val="24"/>
              </w:rPr>
              <w:t>专家意见</w:t>
            </w:r>
          </w:p>
        </w:tc>
        <w:tc>
          <w:tcPr>
            <w:tcW w:w="4090" w:type="dxa"/>
            <w:vAlign w:val="center"/>
          </w:tcPr>
          <w:p>
            <w:pPr>
              <w:pStyle w:val="ListParagraph"/>
              <w:widowControl/>
              <w:spacing w:line="360" w:lineRule="auto"/>
              <w:ind w:left="2" w:firstLine="0" w:firstLineChars="0"/>
              <w:jc w:val="center"/>
              <w:rPr>
                <w:rFonts w:ascii="仿宋_GB2312" w:eastAsia="仿宋_GB2312" w:hAnsi="宋体" w:cs="宋体" w:hint="eastAsia"/>
                <w:color w:val="000000"/>
                <w:sz w:val="24"/>
                <w:szCs w:val="24"/>
                <w:lang w:eastAsia="zh-CN"/>
              </w:rPr>
            </w:pPr>
            <w:r>
              <w:rPr>
                <w:rFonts w:ascii="仿宋_GB2312" w:eastAsia="仿宋_GB2312" w:hAnsi="宋体" w:cs="宋体" w:hint="eastAsia"/>
                <w:color w:val="000000"/>
                <w:sz w:val="24"/>
                <w:szCs w:val="24"/>
                <w:lang w:eastAsia="zh-CN"/>
              </w:rPr>
              <w:t>整改说明</w:t>
            </w:r>
          </w:p>
        </w:tc>
      </w:tr>
      <w:tr>
        <w:tblPrEx>
          <w:tblW w:w="8525" w:type="dxa"/>
          <w:tblInd w:w="0" w:type="dxa"/>
          <w:tblLayout w:type="fixed"/>
          <w:tblCellMar>
            <w:top w:w="0" w:type="dxa"/>
            <w:left w:w="108" w:type="dxa"/>
            <w:bottom w:w="0" w:type="dxa"/>
            <w:right w:w="108" w:type="dxa"/>
          </w:tblCellMar>
        </w:tblPrEx>
        <w:trPr>
          <w:trHeight w:val="1134"/>
        </w:trPr>
        <w:tc>
          <w:tcPr>
            <w:tcW w:w="799" w:type="dxa"/>
            <w:vAlign w:val="center"/>
          </w:tcPr>
          <w:p>
            <w:pPr>
              <w:jc w:val="right"/>
              <w:rPr>
                <w:rFonts w:ascii="宋体" w:hAnsi="宋体"/>
                <w:color w:val="000000"/>
                <w:sz w:val="22"/>
              </w:rPr>
            </w:pPr>
            <w:r>
              <w:rPr>
                <w:rFonts w:hint="eastAsia"/>
                <w:color w:val="000000"/>
                <w:sz w:val="22"/>
              </w:rPr>
              <w:t>1</w:t>
            </w:r>
          </w:p>
        </w:tc>
        <w:tc>
          <w:tcPr>
            <w:tcW w:w="3636" w:type="dxa"/>
            <w:vAlign w:val="center"/>
          </w:tcPr>
          <w:p>
            <w:pPr>
              <w:rPr>
                <w:rFonts w:ascii="方正大标宋简体" w:eastAsia="方正大标宋简体" w:hint="eastAsia"/>
                <w:color w:val="000000"/>
                <w:szCs w:val="21"/>
              </w:rPr>
            </w:pPr>
            <w:r>
              <w:rPr>
                <w:rFonts w:ascii="方正大标宋简体" w:eastAsia="方正大标宋简体" w:hint="eastAsia"/>
                <w:color w:val="000000"/>
                <w:szCs w:val="21"/>
              </w:rPr>
              <w:t>1、</w:t>
            </w:r>
            <w:r>
              <w:rPr>
                <w:rFonts w:ascii="Times New Roman" w:eastAsia="方正大标宋简体" w:hAnsi="Times New Roman" w:cs="Times New Roman"/>
                <w:color w:val="000000"/>
                <w:sz w:val="14"/>
                <w:szCs w:val="14"/>
              </w:rPr>
              <w:t xml:space="preserve"> </w:t>
            </w:r>
            <w:r>
              <w:rPr>
                <w:rFonts w:ascii="方正大标宋简体" w:eastAsia="方正大标宋简体" w:hint="eastAsia"/>
                <w:color w:val="000000"/>
                <w:szCs w:val="21"/>
              </w:rPr>
              <w:t>服务报告管理中，未见报告准确性指标；事件管理过程中，事件分类和事件优先级未明确定义；</w:t>
            </w:r>
          </w:p>
          <w:p>
            <w:pPr>
              <w:rPr>
                <w:rFonts w:ascii="方正大标宋简体" w:eastAsia="方正大标宋简体" w:hint="eastAsia"/>
                <w:color w:val="000000"/>
                <w:szCs w:val="21"/>
              </w:rPr>
            </w:pPr>
            <w:r>
              <w:rPr>
                <w:rFonts w:ascii="方正大标宋简体" w:eastAsia="方正大标宋简体" w:hint="eastAsia"/>
                <w:color w:val="000000"/>
                <w:szCs w:val="21"/>
              </w:rPr>
              <w:t>2、配置管理过程未明确配置项抽检数量要求；</w:t>
            </w:r>
          </w:p>
          <w:p>
            <w:pPr>
              <w:rPr>
                <w:rFonts w:ascii="方正大标宋简体" w:eastAsia="方正大标宋简体" w:hint="eastAsia"/>
                <w:color w:val="000000"/>
                <w:szCs w:val="21"/>
              </w:rPr>
            </w:pPr>
            <w:r>
              <w:rPr>
                <w:rFonts w:ascii="方正大标宋简体" w:eastAsia="方正大标宋简体" w:hint="eastAsia"/>
                <w:color w:val="000000"/>
                <w:szCs w:val="21"/>
              </w:rPr>
              <w:t>3、变更流程中未见测试步骤；</w:t>
            </w:r>
          </w:p>
          <w:p>
            <w:pPr>
              <w:rPr>
                <w:rFonts w:ascii="方正大标宋简体" w:eastAsia="方正大标宋简体" w:hAnsi="宋体"/>
                <w:color w:val="000000"/>
                <w:szCs w:val="21"/>
              </w:rPr>
            </w:pPr>
          </w:p>
        </w:tc>
        <w:tc>
          <w:tcPr>
            <w:tcW w:w="4090" w:type="dxa"/>
            <w:vAlign w:val="center"/>
          </w:tcPr>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1、根据公司的《2.运维服务能力管理指标体系》，设定的2025年度服务报告指标为：服务报告及时率，公司暂不修改指，待下次管理评审时，根据公司的执行情况和需要再调整指标；</w:t>
            </w:r>
          </w:p>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2、修订《003服务事件管理程序》制度文件，明确事件分类和事件优先级；</w:t>
            </w:r>
          </w:p>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3、修订《005配置管理程序》制度文件，补充配置项抽检的说明；</w:t>
            </w:r>
          </w:p>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4、根据公司的流程设计，公司从事软件维护，所以将变更和发布结合在一起，测试环节放在发布流程里；</w:t>
            </w:r>
          </w:p>
        </w:tc>
      </w:tr>
      <w:tr>
        <w:tblPrEx>
          <w:tblW w:w="8525" w:type="dxa"/>
          <w:tblInd w:w="0" w:type="dxa"/>
          <w:tblLayout w:type="fixed"/>
          <w:tblCellMar>
            <w:top w:w="0" w:type="dxa"/>
            <w:left w:w="108" w:type="dxa"/>
            <w:bottom w:w="0" w:type="dxa"/>
            <w:right w:w="108" w:type="dxa"/>
          </w:tblCellMar>
        </w:tblPrEx>
        <w:trPr>
          <w:trHeight w:val="1134"/>
        </w:trPr>
        <w:tc>
          <w:tcPr>
            <w:tcW w:w="799" w:type="dxa"/>
            <w:vAlign w:val="center"/>
          </w:tcPr>
          <w:p>
            <w:pPr>
              <w:jc w:val="right"/>
              <w:rPr>
                <w:rFonts w:ascii="宋体" w:hAnsi="宋体"/>
                <w:color w:val="000000"/>
                <w:sz w:val="22"/>
              </w:rPr>
            </w:pPr>
            <w:r>
              <w:rPr>
                <w:rFonts w:hint="eastAsia"/>
                <w:color w:val="000000"/>
                <w:sz w:val="22"/>
              </w:rPr>
              <w:t>2</w:t>
            </w:r>
          </w:p>
        </w:tc>
        <w:tc>
          <w:tcPr>
            <w:tcW w:w="3636" w:type="dxa"/>
            <w:vAlign w:val="center"/>
          </w:tcPr>
          <w:p>
            <w:pPr>
              <w:rPr>
                <w:rFonts w:ascii="方正大标宋简体" w:eastAsia="方正大标宋简体" w:hint="eastAsia"/>
                <w:color w:val="000000"/>
                <w:szCs w:val="21"/>
              </w:rPr>
            </w:pPr>
            <w:r>
              <w:rPr>
                <w:rFonts w:ascii="方正大标宋简体" w:eastAsia="方正大标宋简体" w:hint="eastAsia"/>
                <w:color w:val="000000"/>
                <w:szCs w:val="21"/>
              </w:rPr>
              <w:t>1、技术研发只有实施计划没有规划，缺少当前技术发展动态分析以及拟关注的重点方向，研发项目缺少与运维业务的关联性说明。</w:t>
            </w:r>
          </w:p>
          <w:p>
            <w:pPr>
              <w:rPr>
                <w:rFonts w:ascii="方正大标宋简体" w:eastAsia="方正大标宋简体" w:hint="eastAsia"/>
                <w:color w:val="000000"/>
                <w:szCs w:val="21"/>
              </w:rPr>
            </w:pPr>
            <w:r>
              <w:rPr>
                <w:rFonts w:ascii="方正大标宋简体" w:eastAsia="方正大标宋简体" w:hint="eastAsia"/>
                <w:color w:val="000000"/>
                <w:szCs w:val="21"/>
              </w:rPr>
              <w:t>2、研发实施计划中对运维能力管理实施计划要求的发现问题解决问题的技术要求没有落地。</w:t>
            </w:r>
          </w:p>
          <w:p>
            <w:pPr>
              <w:rPr>
                <w:rFonts w:ascii="方正大标宋简体" w:eastAsia="方正大标宋简体" w:hAnsi="宋体"/>
                <w:color w:val="000000"/>
                <w:szCs w:val="21"/>
              </w:rPr>
            </w:pPr>
            <w:r>
              <w:rPr>
                <w:rFonts w:ascii="方正大标宋简体" w:eastAsia="方正大标宋简体" w:hint="eastAsia"/>
                <w:color w:val="000000"/>
                <w:szCs w:val="21"/>
              </w:rPr>
              <w:t>3、研发成果展现过于简单，没有直观应用截图，无法验证成果的使用情况。</w:t>
            </w:r>
          </w:p>
        </w:tc>
        <w:tc>
          <w:tcPr>
            <w:tcW w:w="4090" w:type="dxa"/>
            <w:vAlign w:val="center"/>
          </w:tcPr>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1、补充《14-02年度重点技术研发项目实施计划》，补充</w:t>
            </w:r>
            <w:r>
              <w:rPr>
                <w:rFonts w:ascii="方正大标宋简体" w:eastAsia="方正大标宋简体" w:hint="eastAsia"/>
                <w:color w:val="000000"/>
                <w:szCs w:val="21"/>
              </w:rPr>
              <w:t>当前技术发展动态分析以及拟关注的重点方向</w:t>
            </w:r>
            <w:r>
              <w:rPr>
                <w:rFonts w:ascii="方正大标宋简体" w:eastAsia="方正大标宋简体" w:hint="eastAsia"/>
                <w:color w:val="000000"/>
                <w:szCs w:val="21"/>
                <w:lang w:eastAsia="zh-CN"/>
              </w:rPr>
              <w:t>级</w:t>
            </w:r>
            <w:r>
              <w:rPr>
                <w:rFonts w:ascii="方正大标宋简体" w:eastAsia="方正大标宋简体" w:hint="eastAsia"/>
                <w:color w:val="000000"/>
                <w:szCs w:val="21"/>
                <w:lang w:val="en-US" w:eastAsia="zh-CN"/>
              </w:rPr>
              <w:t>技术研发方向的说明。2025年的研发重点在与优化和完善已有的运维服务管理平台。</w:t>
            </w:r>
          </w:p>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2、补充《14-03年度重点技术研发项目研发成果说明》，补充跟踪实施情况和截图说明。</w:t>
            </w:r>
          </w:p>
        </w:tc>
      </w:tr>
      <w:tr>
        <w:tblPrEx>
          <w:tblW w:w="8525" w:type="dxa"/>
          <w:tblInd w:w="0" w:type="dxa"/>
          <w:tblLayout w:type="fixed"/>
          <w:tblCellMar>
            <w:top w:w="0" w:type="dxa"/>
            <w:left w:w="108" w:type="dxa"/>
            <w:bottom w:w="0" w:type="dxa"/>
            <w:right w:w="108" w:type="dxa"/>
          </w:tblCellMar>
        </w:tblPrEx>
        <w:trPr>
          <w:trHeight w:val="1134"/>
        </w:trPr>
        <w:tc>
          <w:tcPr>
            <w:tcW w:w="799" w:type="dxa"/>
            <w:vAlign w:val="center"/>
          </w:tcPr>
          <w:p>
            <w:pPr>
              <w:jc w:val="right"/>
              <w:rPr>
                <w:rFonts w:ascii="宋体" w:hAnsi="宋体"/>
                <w:color w:val="000000"/>
                <w:sz w:val="22"/>
              </w:rPr>
            </w:pPr>
            <w:r>
              <w:rPr>
                <w:rFonts w:hint="eastAsia"/>
                <w:color w:val="000000"/>
                <w:sz w:val="22"/>
              </w:rPr>
              <w:t>3</w:t>
            </w:r>
          </w:p>
        </w:tc>
        <w:tc>
          <w:tcPr>
            <w:tcW w:w="3636" w:type="dxa"/>
            <w:vAlign w:val="center"/>
          </w:tcPr>
          <w:p>
            <w:pPr>
              <w:rPr>
                <w:rFonts w:ascii="方正大标宋简体" w:eastAsia="方正大标宋简体" w:hint="eastAsia"/>
                <w:color w:val="000000"/>
                <w:szCs w:val="21"/>
              </w:rPr>
            </w:pPr>
            <w:r>
              <w:rPr>
                <w:rFonts w:ascii="方正大标宋简体" w:eastAsia="方正大标宋简体" w:hint="eastAsia"/>
                <w:color w:val="000000"/>
                <w:szCs w:val="21"/>
                <w:lang w:val="en-US" w:eastAsia="zh-CN"/>
              </w:rPr>
              <w:t>1</w:t>
            </w:r>
            <w:r>
              <w:rPr>
                <w:rFonts w:ascii="方正大标宋简体" w:eastAsia="方正大标宋简体" w:hint="eastAsia"/>
                <w:color w:val="000000"/>
                <w:szCs w:val="21"/>
              </w:rPr>
              <w:t>、能力指标体系中指标目标值要求不明确（如，≥、＞、＝等）；</w:t>
            </w:r>
          </w:p>
          <w:p>
            <w:pPr>
              <w:rPr>
                <w:rFonts w:ascii="方正大标宋简体" w:eastAsia="方正大标宋简体" w:hAnsi="宋体"/>
                <w:color w:val="000000"/>
                <w:szCs w:val="21"/>
              </w:rPr>
            </w:pPr>
            <w:r>
              <w:rPr>
                <w:rFonts w:ascii="方正大标宋简体" w:eastAsia="方正大标宋简体" w:hint="eastAsia"/>
                <w:color w:val="000000"/>
                <w:szCs w:val="21"/>
                <w:lang w:val="en-US" w:eastAsia="zh-CN"/>
              </w:rPr>
              <w:t>2</w:t>
            </w:r>
            <w:r>
              <w:rPr>
                <w:rFonts w:ascii="方正大标宋简体" w:eastAsia="方正大标宋简体" w:hint="eastAsia"/>
                <w:color w:val="000000"/>
                <w:szCs w:val="21"/>
              </w:rPr>
              <w:t>、一季度人员储备率目标值10%，实际达成为0，未看到相关的解释和整改。</w:t>
            </w:r>
          </w:p>
        </w:tc>
        <w:tc>
          <w:tcPr>
            <w:tcW w:w="4090" w:type="dxa"/>
            <w:vAlign w:val="center"/>
          </w:tcPr>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1、修订《2.运维服务能力管理指标体系》，修订相关指标。</w:t>
            </w:r>
          </w:p>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2、人员储备率的考核周期调整为每年。</w:t>
            </w:r>
          </w:p>
        </w:tc>
      </w:tr>
      <w:tr>
        <w:tblPrEx>
          <w:tblW w:w="8525" w:type="dxa"/>
          <w:tblInd w:w="0" w:type="dxa"/>
          <w:tblLayout w:type="fixed"/>
          <w:tblCellMar>
            <w:top w:w="0" w:type="dxa"/>
            <w:left w:w="108" w:type="dxa"/>
            <w:bottom w:w="0" w:type="dxa"/>
            <w:right w:w="108" w:type="dxa"/>
          </w:tblCellMar>
        </w:tblPrEx>
        <w:trPr>
          <w:trHeight w:val="1134"/>
        </w:trPr>
        <w:tc>
          <w:tcPr>
            <w:tcW w:w="799" w:type="dxa"/>
            <w:vAlign w:val="center"/>
          </w:tcPr>
          <w:p>
            <w:pPr>
              <w:jc w:val="right"/>
              <w:rPr>
                <w:color w:val="000000"/>
                <w:sz w:val="22"/>
              </w:rPr>
            </w:pPr>
            <w:r>
              <w:rPr>
                <w:rFonts w:hint="eastAsia"/>
                <w:color w:val="000000"/>
                <w:sz w:val="22"/>
              </w:rPr>
              <w:t>4</w:t>
            </w:r>
          </w:p>
        </w:tc>
        <w:tc>
          <w:tcPr>
            <w:tcW w:w="3636" w:type="dxa"/>
            <w:vAlign w:val="center"/>
          </w:tcPr>
          <w:p>
            <w:pPr>
              <w:rPr>
                <w:rFonts w:ascii="方正大标宋简体" w:eastAsia="方正大标宋简体" w:hint="eastAsia"/>
                <w:color w:val="000000"/>
                <w:szCs w:val="21"/>
              </w:rPr>
            </w:pPr>
            <w:r>
              <w:rPr>
                <w:rFonts w:ascii="方正大标宋简体" w:eastAsia="方正大标宋简体" w:hint="eastAsia"/>
                <w:color w:val="000000"/>
                <w:szCs w:val="21"/>
              </w:rPr>
              <w:t>1、工具应用情况说明不充分；</w:t>
            </w:r>
          </w:p>
          <w:p>
            <w:pPr>
              <w:rPr>
                <w:rFonts w:ascii="方正大标宋简体" w:eastAsia="方正大标宋简体" w:hAnsi="宋体"/>
                <w:color w:val="000000"/>
                <w:szCs w:val="21"/>
              </w:rPr>
            </w:pPr>
            <w:r>
              <w:rPr>
                <w:rFonts w:ascii="方正大标宋简体" w:eastAsia="方正大标宋简体" w:hint="eastAsia"/>
                <w:color w:val="000000"/>
                <w:szCs w:val="21"/>
              </w:rPr>
              <w:t>2、服务台管理制度存在逻辑问题，服务台人员有解决和恢复的内容，但里面内容不是</w:t>
            </w:r>
          </w:p>
        </w:tc>
        <w:tc>
          <w:tcPr>
            <w:tcW w:w="4090" w:type="dxa"/>
            <w:vAlign w:val="center"/>
          </w:tcPr>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1、修订《10-02运维工具使用情况说明》，补充工具应用情况；</w:t>
            </w:r>
          </w:p>
          <w:p>
            <w:pPr>
              <w:rPr>
                <w:rFonts w:ascii="方正大标宋简体" w:eastAsia="方正大标宋简体" w:hint="eastAsia"/>
                <w:color w:val="000000"/>
                <w:szCs w:val="21"/>
                <w:lang w:val="en-US" w:eastAsia="zh-CN"/>
              </w:rPr>
            </w:pPr>
            <w:r>
              <w:rPr>
                <w:rFonts w:ascii="方正大标宋简体" w:eastAsia="方正大标宋简体" w:hint="eastAsia"/>
                <w:color w:val="000000"/>
                <w:szCs w:val="21"/>
                <w:lang w:val="en-US" w:eastAsia="zh-CN"/>
              </w:rPr>
              <w:t>2、修订《11-01服务台管理制度》，修改相关流程说明。服务台负责初步的技术支持，如能远程解决则解决，不能解决则进行分派。</w:t>
            </w:r>
          </w:p>
        </w:tc>
      </w:tr>
    </w:tbl>
    <w:p>
      <w:pPr>
        <w:pStyle w:val="ListParagraph"/>
        <w:widowControl/>
        <w:spacing w:line="360" w:lineRule="auto"/>
        <w:ind w:left="720" w:firstLine="105" w:leftChars="343" w:firstLineChars="50"/>
        <w:jc w:val="center"/>
        <w:rPr>
          <w:rFonts w:ascii="仿宋_GB2312" w:eastAsia="仿宋_GB2312" w:hAnsiTheme="minorEastAsia" w:cs="宋体" w:hint="eastAsia"/>
          <w:b/>
          <w:color w:val="000000"/>
          <w:kern w:val="0"/>
          <w:sz w:val="24"/>
          <w:szCs w:val="24"/>
        </w:rPr>
      </w:pPr>
    </w:p>
    <w:sectPr>
      <w:headerReference w:type="default" r:id="rId6"/>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方正大标宋简体">
    <w:altName w:val="微软雅黑"/>
    <w:panose1 w:val="02010601030101010101"/>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rPr>
        <w:rFonts w:eastAsia="宋体" w:hint="eastAsia"/>
        <w:lang w:val="en-US" w:eastAsia="zh-CN"/>
      </w:rPr>
    </w:pPr>
    <w:r>
      <w:rPr>
        <w:rFonts w:hint="eastAsia"/>
        <w:lang w:val="en-US" w:eastAsia="zh-CN"/>
      </w:rPr>
      <w:t>南京航之舟数字科技有限公司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rPr>
    </w:rPrDefault>
    <w:pPrDefault>
      <w:pPr>
        <w:spacing w:after="200" w:line="276" w:lineRule="auto"/>
      </w:pPr>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semiHidden="0"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宋体"/>
      <w:kern w:val="2"/>
      <w:sz w:val="21"/>
      <w:szCs w:val="22"/>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qFormat/>
    <w:rPr>
      <w:rFonts w:ascii="Calibri" w:eastAsia="宋体" w:hAnsi="Calibri" w:cs="宋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Char">
    <w:name w:val="页眉 Char"/>
    <w:basedOn w:val="DefaultParagraphFont"/>
    <w:link w:val="Header"/>
    <w:uiPriority w:val="99"/>
    <w:semiHidden/>
    <w:qFormat/>
    <w:rPr>
      <w:rFonts w:ascii="Calibri" w:eastAsia="宋体" w:hAnsi="Calibri" w:cs="宋体"/>
      <w:sz w:val="18"/>
      <w:szCs w:val="18"/>
    </w:rPr>
  </w:style>
  <w:style w:type="character" w:customStyle="1" w:styleId="Char0">
    <w:name w:val="页脚 Char"/>
    <w:basedOn w:val="DefaultParagraphFont"/>
    <w:link w:val="Footer"/>
    <w:uiPriority w:val="99"/>
    <w:semiHidden/>
    <w:qFormat/>
    <w:rPr>
      <w:rFonts w:ascii="Calibri" w:eastAsia="宋体" w:hAnsi="Calibri" w:cs="宋体"/>
      <w:sz w:val="18"/>
      <w:szCs w:val="18"/>
    </w:rPr>
  </w:style>
  <w:style w:type="paragraph" w:customStyle="1" w:styleId="ListParagraph">
    <w:name w:val="List Paragraph"/>
    <w:basedOn w:val="Normal"/>
    <w:uiPriority w:val="34"/>
    <w:qFormat/>
    <w:pPr>
      <w:ind w:firstLine="420" w:firstLineChars="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0EC0EB-15E2-49C7-A755-B0890CC847D5}">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65</Words>
  <Characters>375</Characters>
  <Application>Microsoft Office Word</Application>
  <DocSecurity>0</DocSecurity>
  <Lines>3</Lines>
  <Paragraphs>1</Paragraphs>
  <ScaleCrop>false</ScaleCrop>
  <Company/>
  <LinksUpToDate>false</LinksUpToDate>
  <CharactersWithSpaces>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cuijing</dc:creator>
  <cp:lastModifiedBy>MEI大東</cp:lastModifiedBy>
  <cp:revision>4</cp:revision>
  <cp:lastPrinted>2019-04-26T05:54:00Z</cp:lastPrinted>
  <dcterms:created xsi:type="dcterms:W3CDTF">2019-08-05T06:07:00Z</dcterms:created>
  <dcterms:modified xsi:type="dcterms:W3CDTF">2019-09-24T00:27:55Z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