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ackground w:color="ffffff">
    <v:background id="_x0000_s1025" filled="t"/>
  </w:background>
  <w:body>
    <w:p>
      <w:pPr>
        <w:rPr>
          <w:rFonts w:asciiTheme="minorEastAsia" w:eastAsiaTheme="minorEastAsia" w:hAnsiTheme="minorEastAsia"/>
          <w:sz w:val="52"/>
          <w:szCs w:val="52"/>
        </w:rPr>
      </w:pPr>
    </w:p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南京航之舟数字科技有限公司</w:t>
      </w:r>
    </w:p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宋体" w:hAnsi="宋体" w:hint="eastAsia"/>
          <w:b/>
          <w:sz w:val="52"/>
          <w:szCs w:val="52"/>
        </w:rPr>
        <w:t>运维服务管理体系</w:t>
      </w:r>
    </w:p>
    <w:p>
      <w:pPr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(运维服务管理指标体系)</w:t>
      </w:r>
    </w:p>
    <w:p>
      <w:pPr>
        <w:tabs>
          <w:tab w:val="left" w:pos="2775"/>
        </w:tabs>
        <w:rPr>
          <w:rFonts w:ascii="Times New Roman" w:eastAsia="黑体"/>
        </w:rPr>
      </w:pPr>
    </w:p>
    <w:p>
      <w:pPr>
        <w:tabs>
          <w:tab w:val="left" w:pos="2775"/>
        </w:tabs>
        <w:rPr>
          <w:rFonts w:ascii="Times New Roman" w:eastAsia="黑体"/>
        </w:rPr>
      </w:pPr>
    </w:p>
    <w:p>
      <w:pPr>
        <w:spacing w:line="360" w:lineRule="auto"/>
        <w:ind w:firstLine="888" w:firstLineChars="423"/>
        <w:jc w:val="left"/>
        <w:rPr>
          <w:rFonts w:ascii="Times New Roman"/>
          <w:b/>
          <w:bCs/>
          <w:spacing w:val="8"/>
          <w:sz w:val="30"/>
        </w:rPr>
      </w:pPr>
    </w:p>
    <w:tbl>
      <w:tblPr>
        <w:tblStyle w:val="TableNormal"/>
        <w:tblW w:w="85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W w:w="852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eastAsia="微软雅黑" w:hAnsi="微软雅黑"/>
                <w:b/>
              </w:rPr>
            </w:pPr>
            <w:r>
              <w:rPr>
                <w:rFonts w:ascii="微软雅黑" w:eastAsia="微软雅黑" w:hAnsi="微软雅黑" w:hint="eastAsia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1"/>
                <w:szCs w:val="21"/>
                <w:lang w:eastAsia="zh-CN"/>
              </w:rPr>
              <w:t>唐旭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eastAsia="微软雅黑" w:hAnsi="微软雅黑" w:hint="eastAsia"/>
                <w:b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eastAsia="微软雅黑" w:hAnsi="微软雅黑" w:hint="eastAsia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陈潮华</w:t>
            </w:r>
          </w:p>
        </w:tc>
      </w:tr>
      <w:tr>
        <w:tblPrEx>
          <w:tblW w:w="852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eastAsia="微软雅黑" w:hAnsi="微软雅黑" w:hint="eastAsia"/>
                <w:sz w:val="24"/>
                <w:szCs w:val="24"/>
                <w:lang w:eastAsia="zh-CN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eastAsia="微软雅黑" w:hAnsi="微软雅黑" w:hint="default"/>
                <w:szCs w:val="21"/>
                <w:lang w:val="en-US" w:eastAsia="zh-CN"/>
              </w:rPr>
            </w:pPr>
            <w:r>
              <w:rPr>
                <w:rFonts w:ascii="微软雅黑" w:eastAsia="微软雅黑" w:hAnsi="微软雅黑" w:hint="eastAsia"/>
                <w:szCs w:val="21"/>
                <w:lang w:val="en-US" w:eastAsia="zh-CN"/>
              </w:rPr>
              <w:t>2025年8月20日</w:t>
            </w:r>
          </w:p>
        </w:tc>
      </w:tr>
    </w:tbl>
    <w:p>
      <w:pPr>
        <w:spacing w:line="360" w:lineRule="auto"/>
        <w:ind w:firstLine="1260" w:firstLineChars="600"/>
        <w:rPr>
          <w:rFonts w:ascii="宋体" w:hAnsi="宋体"/>
          <w:b/>
          <w:bCs/>
          <w:spacing w:val="8"/>
          <w:sz w:val="30"/>
        </w:rPr>
      </w:pPr>
    </w:p>
    <w:p>
      <w:pPr>
        <w:rPr>
          <w:rFonts w:hAnsi="宋体"/>
        </w:rPr>
      </w:pPr>
      <w:bookmarkStart w:id="0" w:name="_Hlk493235846"/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rPr>
          <w:rFonts w:hAnsi="宋体"/>
        </w:rPr>
      </w:pPr>
    </w:p>
    <w:p>
      <w:pPr>
        <w:jc w:val="center"/>
        <w:rPr>
          <w:rFonts w:asciiTheme="minorEastAsia" w:eastAsiaTheme="minorEastAsia" w:hAnsiTheme="minorEastAsia"/>
          <w:b/>
          <w:sz w:val="28"/>
          <w:szCs w:val="28"/>
        </w:rPr>
      </w:pPr>
      <w:bookmarkEnd w:id="0"/>
      <w:bookmarkStart w:id="1" w:name="_Hlk493236729"/>
      <w:r>
        <w:rPr>
          <w:rFonts w:asciiTheme="minorEastAsia" w:eastAsiaTheme="minorEastAsia" w:hAnsiTheme="minorEastAsia" w:hint="eastAsia"/>
          <w:b/>
          <w:sz w:val="28"/>
          <w:szCs w:val="28"/>
        </w:rPr>
        <w:t>发布、修订记录</w:t>
      </w:r>
    </w:p>
    <w:tbl>
      <w:tblPr>
        <w:tblStyle w:val="TableNormal"/>
        <w:tblpPr w:leftFromText="180" w:rightFromText="180" w:vertAnchor="text" w:horzAnchor="margin" w:tblpY="59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W w:w="9288" w:type="dxa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bookmarkStart w:id="2" w:name="_Hlk493234539"/>
            <w:r>
              <w:rPr>
                <w:rFonts w:ascii="宋体" w:hAnsi="宋体" w:hint="eastAsia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备   注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ascii="宋体" w:hAnsi="宋体" w:cs="宋体" w:hint="eastAsia"/>
                <w:szCs w:val="22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2025</w:t>
            </w: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.1.</w:t>
            </w:r>
            <w:r>
              <w:rPr>
                <w:rFonts w:ascii="宋体" w:hAnsi="宋体" w:cs="宋体"/>
                <w:sz w:val="21"/>
                <w:szCs w:val="21"/>
              </w:rPr>
              <w:t>1</w:t>
            </w:r>
          </w:p>
        </w:tc>
        <w:tc>
          <w:tcPr>
            <w:tcW w:w="1550" w:type="dxa"/>
            <w:vAlign w:val="center"/>
          </w:tcPr>
          <w:p>
            <w:pPr>
              <w:spacing w:after="0" w:afterLines="0"/>
              <w:jc w:val="center"/>
              <w:rPr>
                <w:rFonts w:ascii="宋体" w:cs="宋体"/>
              </w:rPr>
            </w:pPr>
            <w:r>
              <w:rPr>
                <w:rFonts w:ascii="宋体" w:hAnsi="宋体" w:cs="宋体" w:hint="eastAsia"/>
                <w:lang w:eastAsia="zh-CN"/>
              </w:rPr>
              <w:t>唐旭</w:t>
            </w:r>
            <w:r>
              <w:rPr>
                <w:rFonts w:ascii="宋体" w:hAnsi="宋体" w:cs="宋体" w:hint="eastAsia"/>
                <w:lang w:val="en-US" w:eastAsia="zh-CN"/>
              </w:rPr>
              <w:t>/2025.1.1</w:t>
            </w:r>
          </w:p>
        </w:tc>
        <w:tc>
          <w:tcPr>
            <w:tcW w:w="1459" w:type="dxa"/>
            <w:vAlign w:val="center"/>
          </w:tcPr>
          <w:p>
            <w:pPr>
              <w:spacing w:after="0" w:afterLines="0"/>
              <w:jc w:val="center"/>
              <w:rPr>
                <w:rFonts w:ascii="宋体" w:cs="宋体"/>
              </w:rPr>
            </w:pPr>
            <w:r>
              <w:rPr>
                <w:rFonts w:ascii="宋体" w:hAnsi="宋体" w:cs="宋体" w:hint="eastAsia"/>
                <w:lang w:eastAsia="zh-CN"/>
              </w:rPr>
              <w:t>吴克</w:t>
            </w:r>
            <w:r>
              <w:rPr>
                <w:rFonts w:ascii="宋体" w:hAnsi="宋体" w:cs="宋体" w:hint="eastAsia"/>
                <w:lang w:val="en-US" w:eastAsia="zh-CN"/>
              </w:rPr>
              <w:t>/2025.1.1</w:t>
            </w:r>
          </w:p>
        </w:tc>
        <w:tc>
          <w:tcPr>
            <w:tcW w:w="1566" w:type="dxa"/>
            <w:vAlign w:val="center"/>
          </w:tcPr>
          <w:p>
            <w:pPr>
              <w:spacing w:after="0" w:afterLines="0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陈潮华/2025.1.1</w:t>
            </w:r>
          </w:p>
        </w:tc>
        <w:tc>
          <w:tcPr>
            <w:tcW w:w="2118" w:type="dxa"/>
            <w:vAlign w:val="center"/>
          </w:tcPr>
          <w:p>
            <w:pPr>
              <w:spacing w:after="0" w:afterLines="0" w:line="360" w:lineRule="auto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宋体" w:hAnsi="宋体" w:hint="eastAsia"/>
              </w:rPr>
              <w:t>新建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  <w:r>
              <w:rPr>
                <w:rFonts w:ascii="宋体" w:cs="宋体" w:hint="eastAsia"/>
                <w:szCs w:val="22"/>
                <w:lang w:val="en-US" w:eastAsia="zh-CN"/>
              </w:rPr>
              <w:t>V1.1</w:t>
            </w:r>
          </w:p>
        </w:tc>
        <w:tc>
          <w:tcPr>
            <w:tcW w:w="1479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ascii="宋体" w:hAnsi="宋体" w:cs="宋体" w:hint="eastAsia"/>
              </w:rPr>
              <w:t>2025</w:t>
            </w:r>
            <w:r>
              <w:rPr>
                <w:rFonts w:ascii="宋体" w:hAnsi="宋体" w:cs="宋体" w:hint="eastAsia"/>
                <w:lang w:val="en-US" w:eastAsia="zh-CN"/>
              </w:rPr>
              <w:t>.8.20</w:t>
            </w:r>
          </w:p>
        </w:tc>
        <w:tc>
          <w:tcPr>
            <w:tcW w:w="1550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ascii="宋体" w:hAnsi="宋体" w:cs="宋体" w:hint="eastAsia"/>
                <w:lang w:eastAsia="zh-CN"/>
              </w:rPr>
              <w:t>唐旭</w:t>
            </w:r>
            <w:r>
              <w:rPr>
                <w:rFonts w:ascii="宋体" w:hAnsi="宋体" w:cs="宋体" w:hint="eastAsia"/>
                <w:lang w:val="en-US" w:eastAsia="zh-CN"/>
              </w:rPr>
              <w:t>/2025.8.19</w:t>
            </w:r>
          </w:p>
        </w:tc>
        <w:tc>
          <w:tcPr>
            <w:tcW w:w="1459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ascii="宋体" w:hAnsi="宋体" w:cs="宋体" w:hint="eastAsia"/>
                <w:lang w:eastAsia="zh-CN"/>
              </w:rPr>
              <w:t>吴克</w:t>
            </w:r>
            <w:r>
              <w:rPr>
                <w:rFonts w:ascii="宋体" w:hAnsi="宋体" w:cs="宋体" w:hint="eastAsia"/>
                <w:lang w:val="en-US" w:eastAsia="zh-CN"/>
              </w:rPr>
              <w:t>/2025.8.19</w:t>
            </w:r>
          </w:p>
        </w:tc>
        <w:tc>
          <w:tcPr>
            <w:tcW w:w="1566" w:type="dxa"/>
            <w:vAlign w:val="center"/>
          </w:tcPr>
          <w:p>
            <w:pPr>
              <w:spacing w:after="0" w:afterLines="0"/>
              <w:jc w:val="center"/>
              <w:rPr>
                <w:rFonts w:ascii="宋体-PUA" w:eastAsia="宋体-PUA"/>
              </w:rPr>
            </w:pPr>
            <w:r>
              <w:rPr>
                <w:rFonts w:ascii="宋体" w:hAnsi="宋体" w:cs="宋体" w:hint="eastAsia"/>
                <w:lang w:val="en-US" w:eastAsia="zh-CN"/>
              </w:rPr>
              <w:t>陈潮华/2025.8.20</w:t>
            </w:r>
          </w:p>
        </w:tc>
        <w:tc>
          <w:tcPr>
            <w:tcW w:w="2118" w:type="dxa"/>
            <w:vAlign w:val="center"/>
          </w:tcPr>
          <w:p>
            <w:pPr>
              <w:spacing w:after="0" w:afterLines="0" w:line="36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hint="eastAsia"/>
                <w:lang w:eastAsia="zh-CN"/>
              </w:rPr>
              <w:t>修订</w:t>
            </w: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  <w:tr>
        <w:tblPrEx>
          <w:tblW w:w="928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/>
        </w:trPr>
        <w:tc>
          <w:tcPr>
            <w:tcW w:w="1116" w:type="dxa"/>
            <w:vAlign w:val="center"/>
          </w:tcPr>
          <w:p>
            <w:pPr>
              <w:rPr>
                <w:rFonts w:ascii="宋体-PUA" w:eastAsia="宋体-PUA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-PUA" w:eastAsia="宋体-PUA"/>
              </w:rPr>
            </w:pPr>
          </w:p>
        </w:tc>
      </w:tr>
    </w:tbl>
    <w:p>
      <w:pPr>
        <w:rPr>
          <w:b/>
          <w:bCs/>
        </w:rPr>
      </w:pPr>
      <w:bookmarkEnd w:id="1"/>
      <w:bookmarkEnd w:id="2"/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48" w:after="48" w:line="360" w:lineRule="auto"/>
        <w:jc w:val="center"/>
        <w:rPr>
          <w:rFonts w:asciiTheme="minorEastAsia" w:eastAsiaTheme="minorEastAsia" w:hAnsiTheme="minorEastAsia" w:cs="宋体"/>
          <w:b/>
          <w:bCs/>
          <w:sz w:val="44"/>
          <w:szCs w:val="44"/>
        </w:rPr>
      </w:pPr>
      <w:bookmarkStart w:id="3" w:name="_Hlk493236379"/>
      <w:r>
        <w:rPr>
          <w:rFonts w:asciiTheme="minorEastAsia" w:eastAsiaTheme="minorEastAsia" w:hAnsiTheme="minorEastAsia" w:cs="宋体" w:hint="eastAsia"/>
          <w:b/>
          <w:bCs/>
          <w:sz w:val="44"/>
          <w:szCs w:val="44"/>
        </w:rPr>
        <w:t>目  录</w:t>
      </w:r>
      <w:bookmarkEnd w:id="3"/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rPr>
          <w:rFonts w:asciiTheme="minorEastAsia" w:eastAsiaTheme="minorEastAsia" w:hAnsiTheme="minorEastAsia"/>
          <w:b/>
          <w:bCs/>
        </w:rPr>
        <w:fldChar w:fldCharType="begin"/>
      </w:r>
      <w:r>
        <w:rPr>
          <w:rFonts w:asciiTheme="minorEastAsia" w:eastAsiaTheme="minorEastAsia" w:hAnsiTheme="minorEastAsia"/>
          <w:b/>
          <w:bCs/>
        </w:rPr>
        <w:instrText xml:space="preserve"> TOC \o "1-3" \h \z \u </w:instrText>
      </w:r>
      <w:r>
        <w:rPr>
          <w:rFonts w:asciiTheme="minorEastAsia" w:eastAsiaTheme="minorEastAsia" w:hAnsiTheme="minorEastAsia"/>
          <w:b/>
          <w:bCs/>
        </w:rPr>
        <w:fldChar w:fldCharType="separate"/>
      </w:r>
      <w:r>
        <w:fldChar w:fldCharType="begin"/>
      </w:r>
      <w:r>
        <w:instrText xml:space="preserve"> HYPERLINK \l "_Toc494266686" </w:instrText>
      </w:r>
      <w:r>
        <w:fldChar w:fldCharType="separate"/>
      </w:r>
      <w:r>
        <w:rPr>
          <w:rStyle w:val="Hyperlink"/>
          <w:rFonts w:ascii="宋体" w:hAnsi="宋体"/>
        </w:rPr>
        <w:t>一、服务管理方针</w:t>
      </w:r>
      <w:r>
        <w:tab/>
      </w:r>
      <w:r>
        <w:fldChar w:fldCharType="begin"/>
      </w:r>
      <w:r>
        <w:instrText xml:space="preserve"> PAGEREF _Toc494266686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"_Toc494266687" </w:instrText>
      </w:r>
      <w:r>
        <w:fldChar w:fldCharType="separate"/>
      </w:r>
      <w:r>
        <w:rPr>
          <w:rStyle w:val="Hyperlink"/>
        </w:rPr>
        <w:t>二、</w:t>
      </w:r>
      <w:r>
        <w:rPr>
          <w:rStyle w:val="Hyperlink"/>
          <w:rFonts w:ascii="宋体" w:hAnsi="宋体"/>
        </w:rPr>
        <w:t>服务管理目标</w:t>
      </w:r>
      <w:r>
        <w:tab/>
      </w:r>
      <w:r>
        <w:fldChar w:fldCharType="begin"/>
      </w:r>
      <w:r>
        <w:instrText xml:space="preserve"> PAGEREF _Toc494266687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"_Toc494266688" </w:instrText>
      </w:r>
      <w:r>
        <w:fldChar w:fldCharType="separate"/>
      </w:r>
      <w:r>
        <w:rPr>
          <w:rStyle w:val="Hyperlink"/>
        </w:rPr>
        <w:t>三、人员达成指标</w:t>
      </w:r>
      <w:bookmarkStart w:id="4" w:name="_GoBack"/>
      <w:bookmarkEnd w:id="4"/>
      <w:r>
        <w:tab/>
      </w:r>
      <w:r>
        <w:fldChar w:fldCharType="begin"/>
      </w:r>
      <w:r>
        <w:instrText xml:space="preserve"> PAGEREF _Toc494266688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"_Toc494266689" </w:instrText>
      </w:r>
      <w:r>
        <w:fldChar w:fldCharType="separate"/>
      </w:r>
      <w:r>
        <w:rPr>
          <w:rStyle w:val="Hyperlink"/>
        </w:rPr>
        <w:t>四、资源达成指标</w:t>
      </w:r>
      <w:r>
        <w:tab/>
      </w:r>
      <w:r>
        <w:fldChar w:fldCharType="begin"/>
      </w:r>
      <w:r>
        <w:instrText xml:space="preserve"> PAGEREF _Toc494266689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"_Toc494266690" </w:instrText>
      </w:r>
      <w:r>
        <w:fldChar w:fldCharType="separate"/>
      </w:r>
      <w:r>
        <w:rPr>
          <w:rStyle w:val="Hyperlink"/>
        </w:rPr>
        <w:t>五、技术达成指标</w:t>
      </w:r>
      <w:r>
        <w:tab/>
      </w:r>
      <w:r>
        <w:fldChar w:fldCharType="begin"/>
      </w:r>
      <w:r>
        <w:instrText xml:space="preserve"> PAGEREF _Toc494266690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"_Toc494266691" </w:instrText>
      </w:r>
      <w:r>
        <w:fldChar w:fldCharType="separate"/>
      </w:r>
      <w:r>
        <w:rPr>
          <w:rStyle w:val="Hyperlink"/>
        </w:rPr>
        <w:t>六、过程达成指标</w:t>
      </w:r>
      <w:r>
        <w:tab/>
      </w:r>
      <w:r>
        <w:fldChar w:fldCharType="begin"/>
      </w:r>
      <w:r>
        <w:instrText xml:space="preserve"> PAGEREF _Toc494266691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TOC1"/>
        <w:rPr>
          <w:rFonts w:asciiTheme="minorHAnsi" w:eastAsiaTheme="minorEastAsia" w:hAnsiTheme="minorHAnsi" w:cstheme="minorBidi"/>
          <w:szCs w:val="22"/>
        </w:rPr>
      </w:pPr>
      <w:r>
        <w:fldChar w:fldCharType="begin"/>
      </w:r>
      <w:r>
        <w:instrText xml:space="preserve"> HYPERLINK \l "_Toc494266692" </w:instrText>
      </w:r>
      <w:r>
        <w:fldChar w:fldCharType="separate"/>
      </w:r>
      <w:r>
        <w:rPr>
          <w:rStyle w:val="Hyperlink"/>
        </w:rPr>
        <w:t>七、质量达成指标</w:t>
      </w:r>
      <w:r>
        <w:tab/>
      </w:r>
      <w:r>
        <w:t>6</w:t>
      </w:r>
      <w:r>
        <w:fldChar w:fldCharType="end"/>
      </w:r>
    </w:p>
    <w:p>
      <w:pPr>
        <w:rPr>
          <w:b/>
          <w:bCs/>
        </w:rPr>
      </w:pPr>
      <w:r>
        <w:rPr>
          <w:rFonts w:asciiTheme="minorEastAsia" w:eastAsiaTheme="minorEastAsia" w:hAnsiTheme="minorEastAsia"/>
          <w:b/>
          <w:bCs/>
        </w:rPr>
        <w:fldChar w:fldCharType="end"/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widowControl/>
        <w:jc w:val="left"/>
        <w:rPr>
          <w:rFonts w:ascii="Times New Roman" w:hAnsi="Times New Roman"/>
          <w:b/>
          <w:bCs/>
          <w:kern w:val="44"/>
          <w:sz w:val="20"/>
          <w:szCs w:val="44"/>
        </w:rPr>
        <w:sectPr>
          <w:headerReference w:type="default" r:id="rId6"/>
          <w:headerReference w:type="first" r:id="rId7"/>
          <w:pgSz w:w="11906" w:h="16838"/>
          <w:pgMar w:top="851" w:right="1800" w:bottom="993" w:left="1800" w:header="851" w:footer="992" w:gutter="0"/>
          <w:pgNumType w:start="0"/>
          <w:cols w:num="1" w:space="720"/>
          <w:titlePg/>
          <w:docGrid w:type="lines" w:linePitch="312" w:charSpace="0"/>
        </w:sectPr>
      </w:pPr>
    </w:p>
    <w:p>
      <w:pPr>
        <w:pStyle w:val="Heading1"/>
        <w:pageBreakBefore/>
        <w:numPr>
          <w:ilvl w:val="0"/>
          <w:numId w:val="0"/>
        </w:numPr>
        <w:rPr>
          <w:sz w:val="28"/>
          <w:szCs w:val="28"/>
        </w:rPr>
      </w:pPr>
      <w:bookmarkStart w:id="5" w:name="_Toc280096040"/>
      <w:bookmarkStart w:id="6" w:name="_Toc25725"/>
      <w:bookmarkStart w:id="7" w:name="_Toc493237461"/>
      <w:bookmarkStart w:id="8" w:name="_Toc493236468"/>
      <w:bookmarkStart w:id="9" w:name="_Toc494266686"/>
      <w:r>
        <w:rPr>
          <w:rFonts w:ascii="宋体" w:hAnsi="宋体" w:hint="eastAsia"/>
          <w:sz w:val="28"/>
          <w:szCs w:val="24"/>
        </w:rPr>
        <w:t>一</w:t>
      </w:r>
      <w:bookmarkEnd w:id="5"/>
      <w:r>
        <w:rPr>
          <w:rFonts w:ascii="宋体" w:hAnsi="宋体" w:hint="eastAsia"/>
          <w:sz w:val="28"/>
          <w:szCs w:val="24"/>
        </w:rPr>
        <w:t>、</w:t>
      </w:r>
      <w:bookmarkEnd w:id="6"/>
      <w:r>
        <w:rPr>
          <w:rFonts w:ascii="宋体" w:hAnsi="宋体" w:hint="eastAsia"/>
          <w:sz w:val="28"/>
          <w:szCs w:val="24"/>
        </w:rPr>
        <w:t>服务管理方针</w:t>
      </w:r>
      <w:bookmarkEnd w:id="7"/>
      <w:bookmarkEnd w:id="8"/>
      <w:bookmarkEnd w:id="9"/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1、提高公司自身的IT运维管理水平；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2、不断提高公司IT运维服务能力，提升用户满意度；</w:t>
      </w:r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3、实现IT运维服务业务收入持续增长。</w:t>
      </w:r>
    </w:p>
    <w:p>
      <w:pPr>
        <w:pStyle w:val="Heading1"/>
        <w:numPr>
          <w:ilvl w:val="0"/>
          <w:numId w:val="0"/>
        </w:numPr>
        <w:ind w:firstLine="309" w:firstLineChars="147"/>
        <w:rPr>
          <w:sz w:val="21"/>
          <w:szCs w:val="24"/>
        </w:rPr>
      </w:pPr>
      <w:bookmarkStart w:id="10" w:name="_Toc493237462"/>
      <w:bookmarkStart w:id="11" w:name="_Toc494266687"/>
      <w:bookmarkStart w:id="12" w:name="_Toc493236469"/>
      <w:r>
        <w:rPr>
          <w:rStyle w:val="1"/>
          <w:rFonts w:hint="eastAsia"/>
          <w:b w:val="0"/>
          <w:bCs w:val="0"/>
          <w:sz w:val="28"/>
          <w:szCs w:val="24"/>
        </w:rPr>
        <w:t>二、</w:t>
      </w:r>
      <w:r>
        <w:rPr>
          <w:rFonts w:ascii="宋体" w:hAnsi="宋体" w:hint="eastAsia"/>
          <w:sz w:val="28"/>
          <w:szCs w:val="24"/>
        </w:rPr>
        <w:t>服务管理目标</w:t>
      </w:r>
      <w:bookmarkEnd w:id="10"/>
      <w:bookmarkEnd w:id="11"/>
      <w:bookmarkEnd w:id="12"/>
    </w:p>
    <w:p>
      <w:pPr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bookmarkStart w:id="13" w:name="_Toc5373"/>
      <w:r>
        <w:rPr>
          <w:rFonts w:ascii="宋体" w:hAnsi="宋体" w:hint="eastAsia"/>
          <w:sz w:val="24"/>
          <w:szCs w:val="24"/>
        </w:rPr>
        <w:t>用户满意率≥90％</w:t>
      </w:r>
    </w:p>
    <w:p>
      <w:pPr>
        <w:spacing w:line="360" w:lineRule="auto"/>
        <w:ind w:left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2、服务报告及时率≥9</w:t>
      </w:r>
      <w:r>
        <w:rPr>
          <w:rFonts w:ascii="宋体" w:hAnsi="宋体"/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％</w:t>
      </w:r>
    </w:p>
    <w:p>
      <w:pPr>
        <w:spacing w:line="360" w:lineRule="auto"/>
        <w:ind w:left="480"/>
        <w:rPr>
          <w:rFonts w:ascii="宋体" w:hAnsi="宋体"/>
          <w:color w:val="FF000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3、服务级别达成率≥90％</w:t>
      </w:r>
    </w:p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 w:val="0"/>
          <w:sz w:val="28"/>
          <w:szCs w:val="24"/>
        </w:rPr>
      </w:pPr>
      <w:bookmarkStart w:id="14" w:name="_Toc493237463"/>
      <w:bookmarkStart w:id="15" w:name="_Toc493236470"/>
      <w:bookmarkStart w:id="16" w:name="_Toc494266688"/>
      <w:r>
        <w:rPr>
          <w:rStyle w:val="1"/>
          <w:rFonts w:hint="eastAsia"/>
          <w:b/>
          <w:bCs w:val="0"/>
          <w:sz w:val="28"/>
          <w:szCs w:val="24"/>
        </w:rPr>
        <w:t>三、人员</w:t>
      </w:r>
      <w:bookmarkEnd w:id="13"/>
      <w:r>
        <w:rPr>
          <w:rStyle w:val="1"/>
          <w:rFonts w:hint="eastAsia"/>
          <w:b/>
          <w:bCs w:val="0"/>
          <w:sz w:val="28"/>
          <w:szCs w:val="24"/>
        </w:rPr>
        <w:t>达成指标</w:t>
      </w:r>
      <w:bookmarkEnd w:id="14"/>
      <w:bookmarkEnd w:id="15"/>
      <w:bookmarkEnd w:id="16"/>
    </w:p>
    <w:tbl>
      <w:tblPr>
        <w:tblStyle w:val="TableNormal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eastAsia="zh-CN"/>
              </w:rPr>
              <w:t>类别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　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/>
        </w:trPr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《运维人员储备计划》</w:t>
            </w:r>
            <w:r>
              <w:rPr>
                <w:rFonts w:ascii="宋体" w:hAnsi="宋体" w:cs="宋体" w:hint="eastAsia"/>
                <w:kern w:val="0"/>
                <w:sz w:val="20"/>
              </w:rPr>
              <w:br/>
            </w:r>
            <w:r>
              <w:rPr>
                <w:rFonts w:ascii="宋体" w:hAnsi="宋体" w:cs="宋体" w:hint="eastAsia"/>
                <w:kern w:val="0"/>
                <w:sz w:val="20"/>
              </w:rPr>
              <w:t>《201</w:t>
            </w:r>
            <w:r>
              <w:rPr>
                <w:rFonts w:ascii="宋体" w:hAnsi="宋体" w:cs="宋体" w:hint="eastAsia"/>
                <w:kern w:val="0"/>
                <w:sz w:val="20"/>
                <w:lang w:val="en-US" w:eastAsia="zh-CN"/>
              </w:rPr>
              <w:t>8</w:t>
            </w:r>
            <w:r>
              <w:rPr>
                <w:rFonts w:ascii="宋体" w:hAnsi="宋体" w:cs="宋体" w:hint="eastAsia"/>
                <w:kern w:val="0"/>
                <w:sz w:val="20"/>
              </w:rPr>
              <w:t>年IT运维人员储备结果》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 w:val="20"/>
                <w:lang w:eastAsia="zh-CN"/>
              </w:rPr>
              <w:t>每年度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运维人员储备率=运维储备人数/运维人员总人数*100%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运维人员完成培训时长总和/年度平均运维人数</w:t>
            </w:r>
          </w:p>
        </w:tc>
      </w:tr>
    </w:tbl>
    <w:p>
      <w:pPr>
        <w:spacing w:line="360" w:lineRule="auto"/>
        <w:rPr>
          <w:rFonts w:ascii="宋体" w:hAnsi="宋体"/>
          <w:sz w:val="24"/>
          <w:szCs w:val="24"/>
        </w:rPr>
      </w:pPr>
    </w:p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 w:val="0"/>
          <w:sz w:val="28"/>
          <w:szCs w:val="24"/>
        </w:rPr>
      </w:pPr>
      <w:bookmarkStart w:id="17" w:name="_Toc493236471"/>
      <w:bookmarkStart w:id="18" w:name="_Toc494266689"/>
      <w:bookmarkStart w:id="19" w:name="_Toc493237464"/>
      <w:r>
        <w:rPr>
          <w:rStyle w:val="1"/>
          <w:rFonts w:hint="eastAsia"/>
          <w:b/>
          <w:bCs w:val="0"/>
          <w:sz w:val="28"/>
          <w:szCs w:val="24"/>
        </w:rPr>
        <w:t>四、资源达成指标</w:t>
      </w:r>
      <w:bookmarkEnd w:id="17"/>
      <w:bookmarkEnd w:id="18"/>
      <w:bookmarkEnd w:id="19"/>
    </w:p>
    <w:tbl>
      <w:tblPr>
        <w:tblStyle w:val="TableNormal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eastAsia="zh-CN"/>
              </w:rPr>
              <w:t>类别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　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2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运维管理部经理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评估报告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软件功能测试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 w:val="20"/>
                <w:lang w:eastAsia="zh-CN"/>
              </w:rPr>
              <w:t>统计分析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both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2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 w:val="20"/>
                <w:lang w:eastAsia="zh-CN"/>
              </w:rPr>
              <w:t>每季度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电话接通数量/来电总数╳100%</w:t>
            </w:r>
          </w:p>
        </w:tc>
      </w:tr>
      <w:tr>
        <w:tblPrEx>
          <w:tblW w:w="10774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微软雅黑" w:eastAsia="微软雅黑" w:hAnsi="微软雅黑" w:cs="宋体" w:hint="eastAsia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每年实际新增知识条目数量</w:t>
            </w:r>
          </w:p>
        </w:tc>
      </w:tr>
    </w:tbl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 w:val="0"/>
          <w:sz w:val="28"/>
          <w:szCs w:val="24"/>
        </w:rPr>
      </w:pPr>
      <w:bookmarkStart w:id="20" w:name="_Toc493236472"/>
      <w:bookmarkStart w:id="21" w:name="_Toc494266690"/>
      <w:bookmarkStart w:id="22" w:name="_Toc493237465"/>
      <w:r>
        <w:rPr>
          <w:rStyle w:val="1"/>
          <w:rFonts w:hint="eastAsia"/>
          <w:b/>
          <w:bCs w:val="0"/>
          <w:sz w:val="28"/>
          <w:szCs w:val="24"/>
        </w:rPr>
        <w:t>五、技术达成指标</w:t>
      </w:r>
      <w:bookmarkEnd w:id="20"/>
      <w:bookmarkEnd w:id="21"/>
      <w:bookmarkEnd w:id="22"/>
    </w:p>
    <w:p>
      <w:pPr>
        <w:spacing w:line="360" w:lineRule="auto"/>
        <w:ind w:firstLine="420" w:firstLineChars="20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1、本年内完成</w:t>
      </w:r>
      <w:r>
        <w:rPr>
          <w:rFonts w:ascii="宋体" w:hAnsi="宋体" w:hint="eastAsia"/>
          <w:sz w:val="24"/>
          <w:szCs w:val="24"/>
          <w:lang w:val="en-US" w:eastAsia="zh-CN"/>
        </w:rPr>
        <w:t>1</w:t>
      </w:r>
      <w:r>
        <w:rPr>
          <w:rFonts w:ascii="宋体" w:hAnsi="宋体" w:hint="eastAsia"/>
          <w:sz w:val="24"/>
          <w:szCs w:val="24"/>
        </w:rPr>
        <w:t>个重点运维技术研发项目的升级研发；</w:t>
      </w:r>
    </w:p>
    <w:tbl>
      <w:tblPr>
        <w:tblStyle w:val="TableNormal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>
        <w:tblPrEx>
          <w:tblW w:w="11057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eastAsia="zh-CN"/>
              </w:rPr>
              <w:t>类别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W w:w="11057" w:type="dxa"/>
          <w:tblInd w:w="-1168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本年度研发投入/上年度运维服务收入╳100%</w:t>
            </w:r>
          </w:p>
        </w:tc>
      </w:tr>
    </w:tbl>
    <w:p>
      <w:pPr>
        <w:widowControl/>
        <w:jc w:val="left"/>
        <w:rPr>
          <w:rStyle w:val="1"/>
          <w:rFonts w:ascii="Times New Roman" w:hAnsi="Times New Roman"/>
          <w:b w:val="0"/>
          <w:bCs w:val="0"/>
          <w:sz w:val="28"/>
          <w:szCs w:val="24"/>
        </w:rPr>
      </w:pPr>
    </w:p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/>
          <w:sz w:val="28"/>
          <w:szCs w:val="24"/>
        </w:rPr>
        <w:sectPr>
          <w:footerReference w:type="default" r:id="rId8"/>
          <w:footerReference w:type="first" r:id="rId9"/>
          <w:pgSz w:w="11906" w:h="16838"/>
          <w:pgMar w:top="851" w:right="1800" w:bottom="993" w:left="1800" w:header="851" w:footer="992" w:gutter="0"/>
          <w:pgNumType w:fmt="decimal" w:start="1"/>
          <w:cols w:num="1" w:space="720"/>
          <w:titlePg/>
          <w:docGrid w:type="lines" w:linePitch="312" w:charSpace="0"/>
        </w:sectPr>
      </w:pPr>
    </w:p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 w:val="0"/>
          <w:sz w:val="28"/>
          <w:szCs w:val="24"/>
        </w:rPr>
      </w:pPr>
      <w:bookmarkStart w:id="23" w:name="_Toc493236473"/>
      <w:bookmarkStart w:id="24" w:name="_Toc494266691"/>
      <w:bookmarkStart w:id="25" w:name="_Toc493237466"/>
      <w:r>
        <w:rPr>
          <w:rStyle w:val="1"/>
          <w:rFonts w:hint="eastAsia"/>
          <w:b/>
          <w:bCs w:val="0"/>
          <w:sz w:val="28"/>
          <w:szCs w:val="24"/>
        </w:rPr>
        <w:t>六、过程达成指标</w:t>
      </w:r>
      <w:bookmarkEnd w:id="23"/>
      <w:bookmarkEnd w:id="24"/>
      <w:bookmarkEnd w:id="25"/>
    </w:p>
    <w:p>
      <w:pPr>
        <w:spacing w:line="360" w:lineRule="auto"/>
        <w:ind w:firstLine="372" w:firstLineChars="177"/>
        <w:rPr>
          <w:sz w:val="24"/>
          <w:szCs w:val="24"/>
        </w:rPr>
      </w:pPr>
    </w:p>
    <w:tbl>
      <w:tblPr>
        <w:tblStyle w:val="TableNormal"/>
        <w:tblW w:w="15877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907"/>
      </w:tblGrid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  <w:lang w:eastAsia="zh-CN"/>
              </w:rPr>
              <w:t>类别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　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/>
                <w:kern w:val="0"/>
                <w:sz w:val="20"/>
              </w:rPr>
              <w:t>90</w:t>
            </w:r>
            <w:r>
              <w:rPr>
                <w:rFonts w:ascii="宋体" w:hAnsi="宋体" w:cs="宋体" w:hint="eastAsia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公司SLA的达成率=SLA中达标的指标个数/SLA中总的指标数*100%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提交及时率=及时提交的服务报告数量/应该提交的服务报告总数*100%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事件解决及时率=周期内部门及时解决的事件个数/周期内事件总数*100%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问题解决率=周期内已解决问题个数/周期内问题总数*100%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审计数据准确率=审计中完全匹配的CI数量/实际抽查的CI总数量*100%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变更成功的数量/变更总数*100%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≥</w:t>
            </w:r>
            <w:r>
              <w:rPr>
                <w:rFonts w:ascii="宋体" w:hAnsi="宋体" w:cs="宋体" w:hint="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发布成功率=成功发布的数量/发布总数*100%</w:t>
            </w:r>
          </w:p>
        </w:tc>
      </w:tr>
      <w:tr>
        <w:tblPrEx>
          <w:tblW w:w="15877" w:type="dxa"/>
          <w:tblInd w:w="-601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20"/>
                <w:lang w:eastAsia="zh-CN"/>
              </w:rPr>
            </w:pPr>
            <w:r>
              <w:rPr>
                <w:rFonts w:ascii="宋体" w:hAnsi="宋体" w:cs="宋体" w:hint="eastAsia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3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安全事件次数</w:t>
            </w:r>
          </w:p>
        </w:tc>
      </w:tr>
    </w:tbl>
    <w:p>
      <w:pPr>
        <w:spacing w:line="360" w:lineRule="auto"/>
        <w:ind w:firstLine="372" w:firstLineChars="177"/>
        <w:rPr>
          <w:sz w:val="24"/>
          <w:szCs w:val="24"/>
        </w:rPr>
      </w:pPr>
    </w:p>
    <w:p>
      <w:pPr>
        <w:spacing w:line="360" w:lineRule="auto"/>
        <w:ind w:firstLine="372" w:firstLineChars="177"/>
        <w:rPr>
          <w:rFonts w:ascii="宋体" w:hAnsi="宋体"/>
          <w:sz w:val="24"/>
          <w:szCs w:val="24"/>
        </w:rPr>
      </w:pPr>
    </w:p>
    <w:p>
      <w:pPr>
        <w:spacing w:line="360" w:lineRule="auto"/>
        <w:ind w:firstLine="372" w:firstLineChars="177"/>
        <w:rPr>
          <w:rFonts w:ascii="宋体" w:hAnsi="宋体"/>
          <w:sz w:val="24"/>
          <w:szCs w:val="24"/>
        </w:rPr>
      </w:pPr>
    </w:p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/>
          <w:sz w:val="28"/>
          <w:szCs w:val="24"/>
        </w:rPr>
        <w:sectPr>
          <w:pgSz w:w="16838" w:h="11906" w:orient="landscape"/>
          <w:pgMar w:top="1797" w:right="851" w:bottom="1797" w:left="992" w:header="851" w:footer="992" w:gutter="0"/>
          <w:pgNumType w:fmt="decimal"/>
          <w:cols w:num="1" w:space="720"/>
          <w:titlePg/>
          <w:docGrid w:type="linesAndChars" w:linePitch="312" w:charSpace="0"/>
        </w:sectPr>
      </w:pPr>
    </w:p>
    <w:p>
      <w:pPr>
        <w:pStyle w:val="Heading1"/>
        <w:numPr>
          <w:ilvl w:val="0"/>
          <w:numId w:val="0"/>
        </w:numPr>
        <w:ind w:firstLine="309" w:firstLineChars="147"/>
        <w:rPr>
          <w:rStyle w:val="1"/>
          <w:b/>
          <w:bCs w:val="0"/>
          <w:sz w:val="28"/>
          <w:szCs w:val="24"/>
        </w:rPr>
      </w:pPr>
      <w:bookmarkStart w:id="26" w:name="_Toc494266692"/>
      <w:bookmarkStart w:id="27" w:name="_Toc493236474"/>
      <w:bookmarkStart w:id="28" w:name="_Toc493237467"/>
      <w:r>
        <w:rPr>
          <w:rStyle w:val="1"/>
          <w:b/>
          <w:bCs w:val="0"/>
          <w:sz w:val="28"/>
          <w:szCs w:val="24"/>
        </w:rPr>
        <w:t>七、质量达成指标</w:t>
      </w:r>
      <w:bookmarkEnd w:id="26"/>
      <w:bookmarkEnd w:id="27"/>
      <w:bookmarkEnd w:id="28"/>
    </w:p>
    <w:tbl>
      <w:tblPr>
        <w:tblStyle w:val="TableNormal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>
        <w:tblPrEx>
          <w:tblW w:w="11057" w:type="dxa"/>
          <w:tblInd w:w="-131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目标值</w:t>
            </w:r>
          </w:p>
        </w:tc>
        <w:tc>
          <w:tcPr>
            <w:tcW w:w="1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数据来源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负责人</w:t>
            </w: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上报频次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填报人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上报形式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  <w:t>计算方法</w:t>
            </w:r>
          </w:p>
        </w:tc>
      </w:tr>
      <w:tr>
        <w:tblPrEx>
          <w:tblW w:w="11057" w:type="dxa"/>
          <w:tblInd w:w="-131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项目管理部经理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项目管理部经理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 w:hint="eastAsia"/>
                <w:kern w:val="0"/>
                <w:sz w:val="20"/>
              </w:rPr>
              <w:t>公司级客户满意率=客户满意的问卷数/收回的问卷总数</w:t>
            </w:r>
          </w:p>
        </w:tc>
      </w:tr>
    </w:tbl>
    <w:p>
      <w:pPr>
        <w:spacing w:line="360" w:lineRule="auto"/>
        <w:ind w:firstLine="372" w:firstLineChars="177"/>
        <w:rPr>
          <w:rFonts w:ascii="宋体" w:hAnsi="宋体"/>
          <w:sz w:val="24"/>
          <w:szCs w:val="24"/>
        </w:rPr>
      </w:pPr>
    </w:p>
    <w:sectPr>
      <w:pgSz w:w="11906" w:h="16838"/>
      <w:pgMar w:top="851" w:right="1797" w:bottom="992" w:left="1797" w:header="851" w:footer="992" w:gutter="0"/>
      <w:pgNumType w:fmt="decimal"/>
      <w:cols w:num="1" w:space="72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宋体-PUA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o:spid="_x0000_s2050" type="#_x0000_t202" style="height:2in;margin-left:0;margin-top:0;mso-height-relative:page;mso-position-horizontal:center;mso-position-horizontal-relative:margin;mso-width-relative:page;mso-wrap-style:none;position:absolute;width:2in;z-index:251659264" coordsize="21600,21600" filled="f" stroked="f"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0" w:color="auto"/>
      </w:pBdr>
      <w:jc w:val="center"/>
      <w:rPr>
        <w:rFonts w:eastAsia="宋体" w:hint="eastAsia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南京航之舟数字科技有限公司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0" w:color="auto"/>
      </w:pBdr>
      <w:jc w:val="center"/>
      <w:rPr>
        <w:rFonts w:eastAsia="宋体" w:hint="eastAsia"/>
        <w:sz w:val="21"/>
        <w:szCs w:val="21"/>
        <w:lang w:val="en-US" w:eastAsia="zh-CN"/>
      </w:rPr>
    </w:pPr>
    <w:r>
      <w:rPr>
        <w:rFonts w:hint="eastAsia"/>
        <w:sz w:val="21"/>
        <w:szCs w:val="21"/>
        <w:lang w:val="en-US" w:eastAsia="zh-CN"/>
      </w:rPr>
      <w:t>南京航之舟数字科技有限公司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3"/>
    <w:multiLevelType w:val="multilevel"/>
    <w:tmpl w:val="00000003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00000004"/>
    <w:multiLevelType w:val="singleLevel"/>
    <w:tmpl w:val="00000004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semiHidden="0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semiHidden="0" w:qFormat="1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semiHidden="0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qFormat="1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 w:qFormat="1"/>
    <w:lsdException w:name="annotation subject" w:semiHidden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Calibri" w:eastAsia="宋体" w:hAnsi="Calibri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numPr>
        <w:ilvl w:val="0"/>
        <w:numId w:val="1"/>
      </w:numPr>
      <w:spacing w:before="120" w:after="120" w:line="360" w:lineRule="auto"/>
      <w:outlineLvl w:val="0"/>
    </w:pPr>
    <w:rPr>
      <w:rFonts w:ascii="Times New Roman" w:hAnsi="Times New Roman"/>
      <w:b/>
      <w:bCs/>
      <w:kern w:val="44"/>
      <w:sz w:val="20"/>
      <w:szCs w:val="44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CommentText">
    <w:name w:val="annotation text"/>
    <w:basedOn w:val="Normal"/>
    <w:link w:val="a"/>
    <w:uiPriority w:val="99"/>
    <w:unhideWhenUsed/>
    <w:qFormat/>
    <w:pPr>
      <w:jc w:val="left"/>
    </w:pPr>
  </w:style>
  <w:style w:type="paragraph" w:styleId="TOC3">
    <w:name w:val="toc 3"/>
    <w:basedOn w:val="Normal"/>
    <w:next w:val="Normal"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BalloonText">
    <w:name w:val="Balloon Text"/>
    <w:basedOn w:val="Normal"/>
    <w:link w:val="a1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a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  <w:spacing w:before="62" w:beforeLines="20"/>
    </w:pPr>
  </w:style>
  <w:style w:type="paragraph" w:styleId="TOC2">
    <w:name w:val="toc 2"/>
    <w:basedOn w:val="Normal"/>
    <w:next w:val="Normal"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CommentSubject">
    <w:name w:val="annotation subject"/>
    <w:basedOn w:val="CommentText"/>
    <w:next w:val="CommentText"/>
    <w:link w:val="a0"/>
    <w:uiPriority w:val="99"/>
    <w:unhideWhenUsed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uiPriority w:val="99"/>
    <w:unhideWhenUsed/>
    <w:qFormat/>
    <w:rPr>
      <w:sz w:val="21"/>
      <w:szCs w:val="21"/>
    </w:rPr>
  </w:style>
  <w:style w:type="character" w:customStyle="1" w:styleId="1">
    <w:name w:val="标题 1 字符"/>
    <w:link w:val="Heading1"/>
    <w:qFormat/>
    <w:rPr>
      <w:b/>
      <w:bCs/>
      <w:kern w:val="44"/>
      <w:szCs w:val="44"/>
    </w:rPr>
  </w:style>
  <w:style w:type="paragraph" w:customStyle="1" w:styleId="10">
    <w:name w:val="样式1"/>
    <w:basedOn w:val="Normal"/>
    <w:qFormat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character" w:customStyle="1" w:styleId="a">
    <w:name w:val="批注文字 字符"/>
    <w:link w:val="CommentText"/>
    <w:uiPriority w:val="99"/>
    <w:qFormat/>
    <w:rPr>
      <w:rFonts w:ascii="Calibri" w:hAnsi="Calibri"/>
      <w:kern w:val="2"/>
      <w:sz w:val="21"/>
    </w:rPr>
  </w:style>
  <w:style w:type="character" w:customStyle="1" w:styleId="a0">
    <w:name w:val="批注主题 字符"/>
    <w:link w:val="CommentSubject"/>
    <w:uiPriority w:val="99"/>
    <w:semiHidden/>
    <w:qFormat/>
    <w:rPr>
      <w:rFonts w:ascii="Calibri" w:hAnsi="Calibri"/>
      <w:b/>
      <w:bCs/>
      <w:kern w:val="2"/>
      <w:sz w:val="21"/>
    </w:rPr>
  </w:style>
  <w:style w:type="character" w:customStyle="1" w:styleId="a1">
    <w:name w:val="批注框文本 字符"/>
    <w:link w:val="BalloonText"/>
    <w:uiPriority w:val="99"/>
    <w:semiHidden/>
    <w:qFormat/>
    <w:rPr>
      <w:rFonts w:ascii="Calibri" w:hAnsi="Calibri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after="200" w:line="276" w:lineRule="auto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/>
      <w:kern w:val="2"/>
      <w:sz w:val="18"/>
      <w:szCs w:val="18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a3">
    <w:name w:val="页脚 字符"/>
    <w:basedOn w:val="DefaultParagraphFont"/>
    <w:link w:val="Footer"/>
    <w:uiPriority w:val="99"/>
    <w:qFormat/>
    <w:rPr>
      <w:rFonts w:ascii="Calibri" w:hAnsi="Calibri"/>
      <w:kern w:val="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02C97A1-FED8-47DC-AD7B-EEEA4639F78E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2012年运维服务能力管理指标体系</dc:title>
  <dc:creator>系统运维部-余建波</dc:creator>
  <cp:lastModifiedBy>MEI大東</cp:lastModifiedBy>
  <cp:revision>49</cp:revision>
  <cp:lastPrinted>2017-09-27T01:09:00Z</cp:lastPrinted>
  <dcterms:created xsi:type="dcterms:W3CDTF">2017-01-03T06:33:00Z</dcterms:created>
  <dcterms:modified xsi:type="dcterms:W3CDTF">2019-09-24T00:29:11Z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