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rPr>
          <w:rFonts w:asciiTheme="minorEastAsia" w:eastAsiaTheme="minorEastAsia" w:hAnsiTheme="minorEastAsia"/>
          <w:b/>
          <w:sz w:val="52"/>
        </w:rPr>
      </w:pPr>
      <w:bookmarkStart w:id="0" w:name="_Toc36568206"/>
      <w:bookmarkStart w:id="1" w:name="_Toc36549468"/>
    </w:p>
    <w:p>
      <w:pPr>
        <w:pStyle w:val="Normal0"/>
        <w:spacing w:after="120"/>
        <w:jc w:val="center"/>
        <w:rPr>
          <w:rFonts w:ascii="宋体" w:hAnsi="宋体" w:hint="eastAsia"/>
          <w:color w:val="000000"/>
          <w:sz w:val="28"/>
          <w:lang w:eastAsia="zh-CN"/>
        </w:rPr>
      </w:pPr>
      <w:r>
        <w:rPr>
          <w:rFonts w:ascii="宋体" w:hAnsi="宋体" w:cs="黑体" w:hint="eastAsia"/>
          <w:b/>
          <w:sz w:val="52"/>
          <w:szCs w:val="52"/>
          <w:lang w:eastAsia="zh-CN"/>
        </w:rPr>
        <w:t>南京航之舟数字科技有限公司</w:t>
      </w:r>
    </w:p>
    <w:p>
      <w:pPr>
        <w:jc w:val="center"/>
        <w:rPr>
          <w:rFonts w:asciiTheme="minorEastAsia" w:eastAsiaTheme="minorEastAsia" w:hAnsiTheme="minorEastAsia"/>
          <w:b/>
          <w:sz w:val="52"/>
          <w:szCs w:val="52"/>
        </w:rPr>
      </w:pPr>
      <w:r>
        <w:rPr>
          <w:rFonts w:asciiTheme="minorEastAsia" w:eastAsiaTheme="minorEastAsia" w:hAnsiTheme="minorEastAsia" w:hint="eastAsia"/>
          <w:b/>
          <w:sz w:val="52"/>
        </w:rPr>
        <w:t>运维</w:t>
      </w:r>
      <w:r>
        <w:rPr>
          <w:rFonts w:asciiTheme="minorEastAsia" w:eastAsiaTheme="minorEastAsia" w:hAnsiTheme="minorEastAsia" w:hint="eastAsia"/>
          <w:b/>
          <w:sz w:val="52"/>
          <w:lang w:val="en-US" w:eastAsia="zh-CN"/>
        </w:rPr>
        <w:t>服务能力</w:t>
      </w:r>
      <w:r>
        <w:rPr>
          <w:rFonts w:asciiTheme="minorEastAsia" w:eastAsiaTheme="minorEastAsia" w:hAnsiTheme="minorEastAsia" w:hint="eastAsia"/>
          <w:b/>
          <w:sz w:val="52"/>
        </w:rPr>
        <w:t>管理制度</w:t>
      </w:r>
    </w:p>
    <w:p>
      <w:pPr>
        <w:rPr>
          <w:rFonts w:asciiTheme="minorEastAsia" w:eastAsiaTheme="minorEastAsia" w:hAnsiTheme="minorEastAsia"/>
        </w:rPr>
      </w:pPr>
    </w:p>
    <w:p>
      <w:pPr>
        <w:jc w:val="center"/>
        <w:rPr>
          <w:rFonts w:asciiTheme="minorEastAsia" w:eastAsiaTheme="minorEastAsia" w:hAnsiTheme="minorEastAsia"/>
        </w:rPr>
      </w:pPr>
    </w:p>
    <w:p>
      <w:pPr>
        <w:rPr>
          <w:rFonts w:asciiTheme="minorEastAsia" w:eastAsiaTheme="minorEastAsia" w:hAnsiTheme="minorEastAsia"/>
        </w:rPr>
      </w:pPr>
    </w:p>
    <w:p>
      <w:pPr>
        <w:rPr>
          <w:rFonts w:asciiTheme="minorEastAsia" w:eastAsiaTheme="minorEastAsia" w:hAnsiTheme="minorEastAsia"/>
        </w:rPr>
      </w:pPr>
    </w:p>
    <w:p>
      <w:pPr>
        <w:rPr>
          <w:rFonts w:asciiTheme="minorEastAsia" w:eastAsiaTheme="minorEastAsia" w:hAnsiTheme="minorEastAsia"/>
        </w:rPr>
      </w:pPr>
    </w:p>
    <w:p>
      <w:pPr>
        <w:rPr>
          <w:rFonts w:asciiTheme="minorEastAsia" w:eastAsiaTheme="minorEastAsia" w:hAnsiTheme="minorEastAsia"/>
        </w:rPr>
      </w:pPr>
    </w:p>
    <w:p>
      <w:pPr>
        <w:rPr>
          <w:rFonts w:asciiTheme="minorEastAsia" w:eastAsiaTheme="minorEastAsia" w:hAnsiTheme="minorEastAsia"/>
        </w:rPr>
      </w:pPr>
    </w:p>
    <w:p>
      <w:pPr>
        <w:rPr>
          <w:rFonts w:asciiTheme="minorEastAsia" w:eastAsiaTheme="minorEastAsia" w:hAnsiTheme="minorEastAsia"/>
        </w:rPr>
      </w:pPr>
    </w:p>
    <w:p>
      <w:pPr>
        <w:rPr>
          <w:rFonts w:asciiTheme="minorEastAsia" w:eastAsiaTheme="minorEastAsia" w:hAnsiTheme="minorEastAsia"/>
        </w:rPr>
      </w:pPr>
    </w:p>
    <w:p>
      <w:pPr>
        <w:rPr>
          <w:rFonts w:asciiTheme="minorEastAsia" w:eastAsiaTheme="minorEastAsia" w:hAnsiTheme="minorEastAsia"/>
        </w:rPr>
      </w:pPr>
    </w:p>
    <w:p>
      <w:pPr>
        <w:rPr>
          <w:rFonts w:asciiTheme="minorEastAsia" w:eastAsiaTheme="minorEastAsia" w:hAnsiTheme="minorEastAsia"/>
        </w:rPr>
      </w:pPr>
    </w:p>
    <w:p>
      <w:pPr>
        <w:rPr>
          <w:rFonts w:asciiTheme="minorEastAsia" w:eastAsiaTheme="minorEastAsia" w:hAnsiTheme="minorEastAsia"/>
        </w:rPr>
      </w:pPr>
    </w:p>
    <w:p>
      <w:pPr>
        <w:rPr>
          <w:rFonts w:asciiTheme="minorEastAsia" w:eastAsiaTheme="minorEastAsia" w:hAnsiTheme="minorEastAsia"/>
        </w:rPr>
      </w:pPr>
    </w:p>
    <w:tbl>
      <w:tblPr>
        <w:tblStyle w:val="TableNormal"/>
        <w:tblpPr w:leftFromText="180" w:rightFromText="180" w:vertAnchor="text" w:horzAnchor="page" w:tblpX="1807" w:tblpY="294"/>
        <w:tblOverlap w:val="never"/>
        <w:tblW w:w="85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82"/>
        <w:gridCol w:w="1450"/>
        <w:gridCol w:w="1110"/>
        <w:gridCol w:w="1664"/>
        <w:gridCol w:w="1661"/>
        <w:gridCol w:w="1659"/>
      </w:tblGrid>
      <w:tr>
        <w:tblPrEx>
          <w:tblW w:w="85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51"/>
        </w:trPr>
        <w:tc>
          <w:tcPr>
            <w:tcW w:w="982" w:type="dxa"/>
          </w:tcPr>
          <w:p>
            <w:pPr>
              <w:jc w:val="center"/>
              <w:rPr>
                <w:rFonts w:ascii="微软雅黑" w:eastAsia="微软雅黑" w:hAnsi="微软雅黑"/>
                <w:b/>
              </w:rPr>
            </w:pPr>
            <w:r>
              <w:rPr>
                <w:rFonts w:ascii="微软雅黑" w:eastAsia="微软雅黑" w:hAnsi="微软雅黑" w:hint="eastAsia"/>
                <w:b/>
              </w:rPr>
              <w:t>编制</w:t>
            </w:r>
          </w:p>
        </w:tc>
        <w:tc>
          <w:tcPr>
            <w:tcW w:w="1450" w:type="dxa"/>
          </w:tcPr>
          <w:p>
            <w:pPr>
              <w:jc w:val="center"/>
              <w:rPr>
                <w:rFonts w:ascii="微软雅黑" w:eastAsia="微软雅黑" w:hAnsi="微软雅黑" w:hint="eastAsia"/>
                <w:sz w:val="24"/>
                <w:szCs w:val="24"/>
                <w:lang w:eastAsia="zh-CN"/>
              </w:rPr>
            </w:pPr>
            <w:r>
              <w:rPr>
                <w:rFonts w:ascii="微软雅黑" w:eastAsia="微软雅黑" w:hAnsi="微软雅黑" w:hint="eastAsia"/>
                <w:sz w:val="21"/>
                <w:szCs w:val="21"/>
                <w:lang w:eastAsia="zh-CN"/>
              </w:rPr>
              <w:t>秦杰</w:t>
            </w:r>
          </w:p>
        </w:tc>
        <w:tc>
          <w:tcPr>
            <w:tcW w:w="1110" w:type="dxa"/>
          </w:tcPr>
          <w:p>
            <w:pPr>
              <w:jc w:val="center"/>
              <w:rPr>
                <w:rFonts w:ascii="微软雅黑" w:eastAsia="微软雅黑" w:hAnsi="微软雅黑" w:hint="eastAsia"/>
                <w:b/>
                <w:lang w:eastAsia="zh-CN"/>
              </w:rPr>
            </w:pPr>
            <w:r>
              <w:rPr>
                <w:rFonts w:ascii="微软雅黑" w:eastAsia="微软雅黑" w:hAnsi="微软雅黑" w:hint="eastAsia"/>
                <w:b/>
                <w:lang w:eastAsia="zh-CN"/>
              </w:rPr>
              <w:t>审核</w:t>
            </w:r>
          </w:p>
        </w:tc>
        <w:tc>
          <w:tcPr>
            <w:tcW w:w="1664" w:type="dxa"/>
          </w:tcPr>
          <w:p>
            <w:pPr>
              <w:jc w:val="center"/>
              <w:rPr>
                <w:rFonts w:ascii="微软雅黑" w:eastAsia="微软雅黑" w:hAnsi="微软雅黑" w:hint="default"/>
                <w:szCs w:val="21"/>
                <w:lang w:val="en-US" w:eastAsia="zh-CN"/>
              </w:rPr>
            </w:pPr>
            <w:r>
              <w:rPr>
                <w:rFonts w:ascii="微软雅黑" w:eastAsia="微软雅黑" w:hAnsi="微软雅黑" w:hint="eastAsia"/>
                <w:szCs w:val="21"/>
                <w:lang w:val="en-US" w:eastAsia="zh-CN"/>
              </w:rPr>
              <w:t>史志伟</w:t>
            </w:r>
          </w:p>
        </w:tc>
        <w:tc>
          <w:tcPr>
            <w:tcW w:w="1661" w:type="dxa"/>
          </w:tcPr>
          <w:p>
            <w:pPr>
              <w:jc w:val="center"/>
              <w:rPr>
                <w:rFonts w:ascii="微软雅黑" w:eastAsia="微软雅黑" w:hAnsi="微软雅黑" w:hint="eastAsia"/>
                <w:szCs w:val="21"/>
                <w:lang w:val="en-US" w:eastAsia="zh-CN"/>
              </w:rPr>
            </w:pPr>
            <w:r>
              <w:rPr>
                <w:rFonts w:ascii="微软雅黑" w:eastAsia="微软雅黑" w:hAnsi="微软雅黑" w:hint="eastAsia"/>
                <w:b/>
                <w:bCs/>
                <w:szCs w:val="21"/>
                <w:lang w:val="en-US" w:eastAsia="zh-CN"/>
              </w:rPr>
              <w:t>审批</w:t>
            </w:r>
          </w:p>
        </w:tc>
        <w:tc>
          <w:tcPr>
            <w:tcW w:w="1659" w:type="dxa"/>
          </w:tcPr>
          <w:p>
            <w:pPr>
              <w:jc w:val="center"/>
              <w:rPr>
                <w:rFonts w:ascii="微软雅黑" w:eastAsia="微软雅黑" w:hAnsi="微软雅黑" w:hint="eastAsia"/>
                <w:szCs w:val="21"/>
                <w:lang w:val="en-US" w:eastAsia="zh-CN"/>
              </w:rPr>
            </w:pPr>
            <w:r>
              <w:rPr>
                <w:rFonts w:ascii="微软雅黑" w:eastAsia="微软雅黑" w:hAnsi="微软雅黑" w:hint="eastAsia"/>
                <w:szCs w:val="21"/>
                <w:lang w:val="en-US" w:eastAsia="zh-CN"/>
              </w:rPr>
              <w:t>陈潮华</w:t>
            </w:r>
          </w:p>
        </w:tc>
      </w:tr>
      <w:tr>
        <w:tblPrEx>
          <w:tblW w:w="8526" w:type="dxa"/>
          <w:tblInd w:w="0" w:type="dxa"/>
          <w:tblLayout w:type="fixed"/>
          <w:tblCellMar>
            <w:top w:w="0" w:type="dxa"/>
            <w:left w:w="108" w:type="dxa"/>
            <w:bottom w:w="0" w:type="dxa"/>
            <w:right w:w="108" w:type="dxa"/>
          </w:tblCellMar>
        </w:tblPrEx>
        <w:trPr>
          <w:trHeight w:val="296"/>
        </w:trPr>
        <w:tc>
          <w:tcPr>
            <w:tcW w:w="2432" w:type="dxa"/>
            <w:gridSpan w:val="2"/>
          </w:tcPr>
          <w:p>
            <w:pPr>
              <w:jc w:val="center"/>
              <w:rPr>
                <w:rFonts w:ascii="微软雅黑" w:eastAsia="微软雅黑" w:hAnsi="微软雅黑" w:hint="eastAsia"/>
                <w:sz w:val="24"/>
                <w:szCs w:val="24"/>
                <w:lang w:eastAsia="zh-CN"/>
              </w:rPr>
            </w:pPr>
            <w:r>
              <w:rPr>
                <w:rFonts w:ascii="微软雅黑" w:eastAsia="微软雅黑" w:hAnsi="微软雅黑" w:hint="eastAsia"/>
                <w:b/>
                <w:bCs/>
                <w:sz w:val="22"/>
                <w:szCs w:val="22"/>
                <w:lang w:eastAsia="zh-CN"/>
              </w:rPr>
              <w:t>发布日期</w:t>
            </w:r>
          </w:p>
        </w:tc>
        <w:tc>
          <w:tcPr>
            <w:tcW w:w="6094" w:type="dxa"/>
            <w:gridSpan w:val="4"/>
          </w:tcPr>
          <w:p>
            <w:pPr>
              <w:jc w:val="center"/>
              <w:rPr>
                <w:rFonts w:ascii="微软雅黑" w:eastAsia="微软雅黑" w:hAnsi="微软雅黑" w:hint="default"/>
                <w:szCs w:val="21"/>
                <w:lang w:val="en-US" w:eastAsia="zh-CN"/>
              </w:rPr>
            </w:pPr>
            <w:r>
              <w:rPr>
                <w:rFonts w:ascii="微软雅黑" w:eastAsia="微软雅黑" w:hAnsi="微软雅黑" w:hint="eastAsia"/>
                <w:szCs w:val="21"/>
                <w:lang w:val="en-US" w:eastAsia="zh-CN"/>
              </w:rPr>
              <w:t>2025年1月1日</w:t>
            </w:r>
          </w:p>
        </w:tc>
      </w:tr>
    </w:tbl>
    <w:p>
      <w:pPr>
        <w:rPr>
          <w:rFonts w:asciiTheme="minorEastAsia" w:eastAsiaTheme="minorEastAsia" w:hAnsiTheme="minorEastAsia"/>
        </w:rPr>
      </w:pPr>
    </w:p>
    <w:p>
      <w:pPr>
        <w:rPr>
          <w:rFonts w:asciiTheme="minorEastAsia" w:eastAsiaTheme="minorEastAsia" w:hAnsiTheme="minorEastAsia"/>
        </w:rPr>
      </w:pPr>
    </w:p>
    <w:p>
      <w:pPr>
        <w:jc w:val="center"/>
        <w:rPr>
          <w:rFonts w:asciiTheme="minorEastAsia" w:eastAsiaTheme="minorEastAsia" w:hAnsiTheme="minorEastAsia"/>
          <w:b/>
          <w:sz w:val="28"/>
          <w:szCs w:val="28"/>
        </w:rPr>
      </w:pPr>
      <w:bookmarkEnd w:id="0"/>
      <w:bookmarkEnd w:id="1"/>
      <w:bookmarkStart w:id="2" w:name="_Hlk493236729"/>
      <w:r>
        <w:rPr>
          <w:rFonts w:asciiTheme="minorEastAsia" w:eastAsiaTheme="minorEastAsia" w:hAnsiTheme="minorEastAsia" w:hint="eastAsia"/>
          <w:b/>
          <w:sz w:val="28"/>
          <w:szCs w:val="28"/>
        </w:rPr>
        <w:t>发布、修订记录</w:t>
      </w:r>
    </w:p>
    <w:tbl>
      <w:tblPr>
        <w:tblStyle w:val="TableNormal"/>
        <w:tblpPr w:leftFromText="180" w:rightFromText="180" w:vertAnchor="text" w:horzAnchor="margin" w:tblpY="59"/>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116"/>
        <w:gridCol w:w="1479"/>
        <w:gridCol w:w="1550"/>
        <w:gridCol w:w="1459"/>
        <w:gridCol w:w="1566"/>
        <w:gridCol w:w="2118"/>
      </w:tblGrid>
      <w:tr>
        <w:tblPrEx>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Ex>
        <w:tc>
          <w:tcPr>
            <w:tcW w:w="1116" w:type="dxa"/>
            <w:vAlign w:val="center"/>
          </w:tcPr>
          <w:p>
            <w:pPr>
              <w:spacing w:line="360" w:lineRule="auto"/>
              <w:jc w:val="center"/>
              <w:rPr>
                <w:rFonts w:ascii="宋体"/>
              </w:rPr>
            </w:pPr>
            <w:bookmarkStart w:id="3" w:name="_Hlk493234539"/>
            <w:r>
              <w:rPr>
                <w:rFonts w:ascii="宋体" w:hAnsi="宋体" w:hint="eastAsia"/>
              </w:rPr>
              <w:t>版本号</w:t>
            </w:r>
          </w:p>
        </w:tc>
        <w:tc>
          <w:tcPr>
            <w:tcW w:w="1479" w:type="dxa"/>
            <w:vAlign w:val="center"/>
          </w:tcPr>
          <w:p>
            <w:pPr>
              <w:spacing w:line="360" w:lineRule="auto"/>
              <w:jc w:val="center"/>
              <w:rPr>
                <w:rFonts w:ascii="宋体"/>
              </w:rPr>
            </w:pPr>
            <w:r>
              <w:rPr>
                <w:rFonts w:ascii="宋体" w:hAnsi="宋体" w:hint="eastAsia"/>
              </w:rPr>
              <w:t>发布日期</w:t>
            </w:r>
          </w:p>
        </w:tc>
        <w:tc>
          <w:tcPr>
            <w:tcW w:w="1550" w:type="dxa"/>
            <w:vAlign w:val="center"/>
          </w:tcPr>
          <w:p>
            <w:pPr>
              <w:spacing w:line="360" w:lineRule="auto"/>
              <w:jc w:val="center"/>
              <w:rPr>
                <w:rFonts w:ascii="宋体"/>
              </w:rPr>
            </w:pPr>
            <w:r>
              <w:rPr>
                <w:rFonts w:ascii="宋体" w:hAnsi="宋体" w:hint="eastAsia"/>
              </w:rPr>
              <w:t>修改人/</w:t>
            </w:r>
          </w:p>
          <w:p>
            <w:pPr>
              <w:spacing w:line="360" w:lineRule="auto"/>
              <w:jc w:val="center"/>
              <w:rPr>
                <w:rFonts w:ascii="宋体"/>
              </w:rPr>
            </w:pPr>
            <w:r>
              <w:rPr>
                <w:rFonts w:ascii="宋体" w:hAnsi="宋体" w:hint="eastAsia"/>
              </w:rPr>
              <w:t>修改日期</w:t>
            </w:r>
          </w:p>
        </w:tc>
        <w:tc>
          <w:tcPr>
            <w:tcW w:w="1459" w:type="dxa"/>
            <w:vAlign w:val="center"/>
          </w:tcPr>
          <w:p>
            <w:pPr>
              <w:spacing w:line="360" w:lineRule="auto"/>
              <w:jc w:val="center"/>
              <w:rPr>
                <w:rFonts w:ascii="宋体"/>
              </w:rPr>
            </w:pPr>
            <w:r>
              <w:rPr>
                <w:rFonts w:ascii="宋体" w:hAnsi="宋体" w:hint="eastAsia"/>
              </w:rPr>
              <w:t>审核人/</w:t>
            </w:r>
          </w:p>
          <w:p>
            <w:pPr>
              <w:spacing w:line="360" w:lineRule="auto"/>
              <w:jc w:val="center"/>
              <w:rPr>
                <w:rFonts w:ascii="宋体"/>
              </w:rPr>
            </w:pPr>
            <w:r>
              <w:rPr>
                <w:rFonts w:ascii="宋体" w:hAnsi="宋体" w:hint="eastAsia"/>
              </w:rPr>
              <w:t>审核日期</w:t>
            </w:r>
          </w:p>
        </w:tc>
        <w:tc>
          <w:tcPr>
            <w:tcW w:w="1566" w:type="dxa"/>
            <w:vAlign w:val="center"/>
          </w:tcPr>
          <w:p>
            <w:pPr>
              <w:spacing w:line="360" w:lineRule="auto"/>
              <w:jc w:val="center"/>
              <w:rPr>
                <w:rFonts w:ascii="宋体"/>
              </w:rPr>
            </w:pPr>
            <w:r>
              <w:rPr>
                <w:rFonts w:ascii="宋体" w:hAnsi="宋体" w:hint="eastAsia"/>
              </w:rPr>
              <w:t>批准人/</w:t>
            </w:r>
          </w:p>
          <w:p>
            <w:pPr>
              <w:spacing w:line="360" w:lineRule="auto"/>
              <w:jc w:val="center"/>
              <w:rPr>
                <w:rFonts w:ascii="宋体"/>
              </w:rPr>
            </w:pPr>
            <w:r>
              <w:rPr>
                <w:rFonts w:ascii="宋体" w:hAnsi="宋体" w:hint="eastAsia"/>
              </w:rPr>
              <w:t>批准日期</w:t>
            </w:r>
          </w:p>
        </w:tc>
        <w:tc>
          <w:tcPr>
            <w:tcW w:w="2118" w:type="dxa"/>
            <w:vAlign w:val="center"/>
          </w:tcPr>
          <w:p>
            <w:pPr>
              <w:spacing w:line="360" w:lineRule="auto"/>
              <w:jc w:val="center"/>
              <w:rPr>
                <w:rFonts w:ascii="宋体"/>
              </w:rPr>
            </w:pPr>
            <w:r>
              <w:rPr>
                <w:rFonts w:ascii="宋体" w:hAnsi="宋体" w:hint="eastAsia"/>
              </w:rPr>
              <w:t>备   注</w:t>
            </w: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cs="宋体"/>
              </w:rPr>
            </w:pPr>
            <w:r>
              <w:rPr>
                <w:rFonts w:ascii="宋体" w:hAnsi="宋体" w:cs="宋体" w:hint="eastAsia"/>
                <w:szCs w:val="22"/>
                <w:lang w:val="en-US" w:eastAsia="zh-CN"/>
              </w:rPr>
              <w:t>V1.0</w:t>
            </w:r>
          </w:p>
        </w:tc>
        <w:tc>
          <w:tcPr>
            <w:tcW w:w="1479" w:type="dxa"/>
            <w:vAlign w:val="center"/>
          </w:tcPr>
          <w:p>
            <w:pPr>
              <w:jc w:val="center"/>
              <w:rPr>
                <w:rFonts w:ascii="宋体" w:cs="宋体"/>
              </w:rPr>
            </w:pPr>
            <w:r>
              <w:rPr>
                <w:rFonts w:ascii="宋体" w:hAnsi="宋体" w:cs="宋体" w:hint="eastAsia"/>
                <w:sz w:val="21"/>
                <w:szCs w:val="21"/>
              </w:rPr>
              <w:t>2025</w:t>
            </w:r>
            <w:r>
              <w:rPr>
                <w:rFonts w:ascii="宋体" w:hAnsi="宋体" w:cs="宋体" w:hint="eastAsia"/>
                <w:sz w:val="21"/>
                <w:szCs w:val="21"/>
                <w:lang w:val="en-US" w:eastAsia="zh-CN"/>
              </w:rPr>
              <w:t>.1.</w:t>
            </w:r>
            <w:r>
              <w:rPr>
                <w:rFonts w:ascii="宋体" w:hAnsi="宋体" w:cs="宋体"/>
                <w:sz w:val="21"/>
                <w:szCs w:val="21"/>
              </w:rPr>
              <w:t>1</w:t>
            </w:r>
          </w:p>
        </w:tc>
        <w:tc>
          <w:tcPr>
            <w:tcW w:w="1550" w:type="dxa"/>
            <w:vAlign w:val="center"/>
          </w:tcPr>
          <w:p>
            <w:pPr>
              <w:spacing w:after="0" w:afterLines="0"/>
              <w:jc w:val="center"/>
              <w:rPr>
                <w:rFonts w:ascii="宋体" w:cs="宋体"/>
              </w:rPr>
            </w:pPr>
            <w:r>
              <w:rPr>
                <w:rFonts w:ascii="宋体" w:hAnsi="宋体" w:cs="宋体" w:hint="eastAsia"/>
                <w:lang w:eastAsia="zh-CN"/>
              </w:rPr>
              <w:t>秦杰</w:t>
            </w:r>
            <w:r>
              <w:rPr>
                <w:rFonts w:ascii="宋体" w:hAnsi="宋体" w:cs="宋体" w:hint="eastAsia"/>
                <w:lang w:val="en-US" w:eastAsia="zh-CN"/>
              </w:rPr>
              <w:t>/2025.1.1</w:t>
            </w:r>
          </w:p>
        </w:tc>
        <w:tc>
          <w:tcPr>
            <w:tcW w:w="1459" w:type="dxa"/>
            <w:vAlign w:val="center"/>
          </w:tcPr>
          <w:p>
            <w:pPr>
              <w:spacing w:after="0" w:afterLines="0"/>
              <w:jc w:val="center"/>
              <w:rPr>
                <w:rFonts w:ascii="宋体" w:cs="宋体"/>
              </w:rPr>
            </w:pPr>
            <w:r>
              <w:rPr>
                <w:rFonts w:ascii="宋体" w:hAnsi="宋体" w:cs="宋体" w:hint="eastAsia"/>
                <w:lang w:eastAsia="zh-CN"/>
              </w:rPr>
              <w:t>史志伟</w:t>
            </w:r>
            <w:r>
              <w:rPr>
                <w:rFonts w:ascii="宋体" w:hAnsi="宋体" w:cs="宋体" w:hint="eastAsia"/>
                <w:lang w:val="en-US" w:eastAsia="zh-CN"/>
              </w:rPr>
              <w:t>/2025.1.1</w:t>
            </w:r>
          </w:p>
        </w:tc>
        <w:tc>
          <w:tcPr>
            <w:tcW w:w="1566" w:type="dxa"/>
            <w:vAlign w:val="center"/>
          </w:tcPr>
          <w:p>
            <w:pPr>
              <w:spacing w:after="0" w:afterLines="0"/>
              <w:jc w:val="center"/>
              <w:rPr>
                <w:rFonts w:ascii="宋体" w:hAnsi="宋体" w:cs="宋体"/>
              </w:rPr>
            </w:pPr>
            <w:r>
              <w:rPr>
                <w:rFonts w:ascii="宋体" w:hAnsi="宋体" w:cs="宋体" w:hint="eastAsia"/>
                <w:lang w:val="en-US" w:eastAsia="zh-CN"/>
              </w:rPr>
              <w:t>陈潮华/2025.1.1</w:t>
            </w:r>
          </w:p>
        </w:tc>
        <w:tc>
          <w:tcPr>
            <w:tcW w:w="2118" w:type="dxa"/>
            <w:vAlign w:val="center"/>
          </w:tcPr>
          <w:p>
            <w:pPr>
              <w:spacing w:after="0" w:afterLines="0" w:line="360" w:lineRule="auto"/>
              <w:jc w:val="center"/>
              <w:rPr>
                <w:rFonts w:ascii="宋体" w:hAnsi="宋体"/>
              </w:rPr>
            </w:pPr>
            <w:r>
              <w:rPr>
                <w:rFonts w:ascii="宋体" w:hAnsi="宋体" w:hint="eastAsia"/>
              </w:rPr>
              <w:t>新建</w:t>
            </w: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 w:hAnsi="宋体" w:cs="宋体"/>
              </w:rPr>
            </w:pPr>
          </w:p>
        </w:tc>
      </w:tr>
      <w:tr>
        <w:tblPrEx>
          <w:tblW w:w="9288" w:type="dxa"/>
          <w:tblInd w:w="0" w:type="dxa"/>
          <w:tblLayout w:type="fixed"/>
          <w:tblCellMar>
            <w:top w:w="0" w:type="dxa"/>
            <w:left w:w="108" w:type="dxa"/>
            <w:bottom w:w="0" w:type="dxa"/>
            <w:right w:w="108" w:type="dxa"/>
          </w:tblCellMar>
        </w:tblPrEx>
        <w:trPr>
          <w:trHeight w:val="730"/>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bl>
    <w:p>
      <w:pPr>
        <w:rPr>
          <w:b/>
          <w:bCs/>
        </w:rPr>
      </w:pPr>
      <w:bookmarkEnd w:id="2"/>
      <w:bookmarkEnd w:id="3"/>
    </w:p>
    <w:p>
      <w:pPr>
        <w:rPr>
          <w:b/>
          <w:bCs/>
        </w:rPr>
      </w:pPr>
    </w:p>
    <w:p>
      <w:pPr>
        <w:rPr>
          <w:b/>
          <w:bCs/>
        </w:rPr>
      </w:pPr>
    </w:p>
    <w:p>
      <w:pPr>
        <w:pStyle w:val="TOC2"/>
        <w:tabs>
          <w:tab w:val="left" w:pos="1260"/>
          <w:tab w:val="right" w:leader="dot" w:pos="8296"/>
        </w:tabs>
      </w:pPr>
      <w:r>
        <w:rPr>
          <w:b/>
          <w:bCs/>
          <w:szCs w:val="21"/>
        </w:rPr>
        <w:fldChar w:fldCharType="begin"/>
      </w:r>
      <w:r>
        <w:rPr>
          <w:b/>
          <w:bCs/>
          <w:szCs w:val="21"/>
        </w:rPr>
        <w:instrText xml:space="preserve"> TOC \o "1-3" \h \z \u </w:instrText>
      </w:r>
      <w:r>
        <w:rPr>
          <w:b/>
          <w:bCs/>
          <w:szCs w:val="21"/>
        </w:rPr>
        <w:fldChar w:fldCharType="separate"/>
      </w:r>
    </w:p>
    <w:sdt>
      <w:sdtPr>
        <w:rPr>
          <w:rFonts w:ascii="宋体" w:eastAsia="宋体" w:hAnsi="宋体" w:cs="Times New Roman"/>
          <w:kern w:val="2"/>
          <w:sz w:val="21"/>
          <w:szCs w:val="22"/>
          <w:lang w:val="en-US" w:eastAsia="zh-CN" w:bidi="ar-SA"/>
        </w:rPr>
        <w:id w:val="147454292"/>
        <w:docPartObj>
          <w:docPartGallery w:val="Table of Contents"/>
          <w:docPartUnique/>
        </w:docPartObj>
      </w:sdtPr>
      <w:sdtEndPr>
        <w:rPr>
          <w:rFonts w:ascii="Calibri" w:eastAsia="宋体" w:hAnsi="Calibri" w:cs="Times New Roman"/>
          <w:kern w:val="2"/>
          <w:sz w:val="21"/>
          <w:szCs w:val="22"/>
          <w:lang w:val="en-US" w:eastAsia="zh-CN" w:bidi="ar-SA"/>
        </w:rPr>
      </w:sdtEndPr>
      <w:sdtContent>
        <w:p>
          <w:pPr>
            <w:pStyle w:val="TOC2"/>
            <w:tabs>
              <w:tab w:val="left" w:pos="1260"/>
              <w:tab w:val="right" w:leader="dot" w:pos="8296"/>
            </w:tabs>
            <w:ind w:left="0" w:right="0" w:firstLine="0" w:leftChars="0" w:rightChars="0" w:firstLineChars="0"/>
            <w:jc w:val="center"/>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_Toc16724 </w:instrText>
          </w:r>
          <w:r>
            <w:fldChar w:fldCharType="separate"/>
          </w:r>
          <w:r>
            <w:rPr>
              <w:rFonts w:asciiTheme="minorEastAsia" w:eastAsiaTheme="minorEastAsia" w:hAnsiTheme="minorEastAsia" w:hint="default"/>
            </w:rPr>
            <w:t xml:space="preserve">1. </w:t>
          </w:r>
          <w:r>
            <w:rPr>
              <w:rFonts w:asciiTheme="minorEastAsia" w:eastAsiaTheme="minorEastAsia" w:hAnsiTheme="minorEastAsia"/>
            </w:rPr>
            <w:t>适用范围</w:t>
          </w:r>
          <w:r>
            <w:tab/>
          </w:r>
          <w:r>
            <w:fldChar w:fldCharType="begin"/>
          </w:r>
          <w:r>
            <w:instrText xml:space="preserve"> PAGEREF _Toc16724 \h </w:instrText>
          </w:r>
          <w:r>
            <w:fldChar w:fldCharType="separate"/>
          </w:r>
          <w:r>
            <w:t>1</w:t>
          </w:r>
          <w:r>
            <w:fldChar w:fldCharType="end"/>
          </w:r>
          <w:r>
            <w:fldChar w:fldCharType="end"/>
          </w:r>
        </w:p>
        <w:p>
          <w:pPr>
            <w:pStyle w:val="TOC1"/>
            <w:tabs>
              <w:tab w:val="right" w:leader="dot" w:pos="8306"/>
            </w:tabs>
          </w:pPr>
          <w:r>
            <w:fldChar w:fldCharType="begin"/>
          </w:r>
          <w:r>
            <w:instrText xml:space="preserve"> HYPERLINK \l _Toc26895 </w:instrText>
          </w:r>
          <w:r>
            <w:fldChar w:fldCharType="separate"/>
          </w:r>
          <w:r>
            <w:rPr>
              <w:rFonts w:asciiTheme="minorEastAsia" w:eastAsiaTheme="minorEastAsia" w:hAnsiTheme="minorEastAsia" w:hint="default"/>
            </w:rPr>
            <w:t xml:space="preserve">2. </w:t>
          </w:r>
          <w:r>
            <w:rPr>
              <w:rFonts w:asciiTheme="minorEastAsia" w:eastAsiaTheme="minorEastAsia" w:hAnsiTheme="minorEastAsia" w:hint="eastAsia"/>
            </w:rPr>
            <w:t>运维服务</w:t>
          </w:r>
          <w:r>
            <w:rPr>
              <w:rFonts w:asciiTheme="minorEastAsia" w:eastAsiaTheme="minorEastAsia" w:hAnsiTheme="minorEastAsia"/>
            </w:rPr>
            <w:t>组织</w:t>
          </w:r>
          <w:r>
            <w:rPr>
              <w:rFonts w:asciiTheme="minorEastAsia" w:eastAsiaTheme="minorEastAsia" w:hAnsiTheme="minorEastAsia" w:hint="eastAsia"/>
            </w:rPr>
            <w:t>及职责</w:t>
          </w:r>
          <w:r>
            <w:tab/>
          </w:r>
          <w:r>
            <w:fldChar w:fldCharType="begin"/>
          </w:r>
          <w:r>
            <w:instrText xml:space="preserve"> PAGEREF _Toc26895 \h </w:instrText>
          </w:r>
          <w:r>
            <w:fldChar w:fldCharType="separate"/>
          </w:r>
          <w:r>
            <w:t>1</w:t>
          </w:r>
          <w:r>
            <w:fldChar w:fldCharType="end"/>
          </w:r>
          <w:r>
            <w:fldChar w:fldCharType="end"/>
          </w:r>
        </w:p>
        <w:p>
          <w:pPr>
            <w:pStyle w:val="TOC1"/>
            <w:tabs>
              <w:tab w:val="right" w:leader="dot" w:pos="8306"/>
            </w:tabs>
          </w:pPr>
          <w:r>
            <w:fldChar w:fldCharType="begin"/>
          </w:r>
          <w:r>
            <w:instrText xml:space="preserve"> HYPERLINK \l _Toc28568 </w:instrText>
          </w:r>
          <w:r>
            <w:fldChar w:fldCharType="separate"/>
          </w:r>
          <w:r>
            <w:rPr>
              <w:rFonts w:asciiTheme="minorEastAsia" w:eastAsiaTheme="minorEastAsia" w:hAnsiTheme="minorEastAsia" w:hint="default"/>
            </w:rPr>
            <w:t xml:space="preserve">3. </w:t>
          </w:r>
          <w:r>
            <w:rPr>
              <w:rFonts w:asciiTheme="minorEastAsia" w:eastAsiaTheme="minorEastAsia" w:hAnsiTheme="minorEastAsia" w:hint="eastAsia"/>
            </w:rPr>
            <w:t>服务能力管理体系&amp;PDCA</w:t>
          </w:r>
          <w:r>
            <w:tab/>
          </w:r>
          <w:r>
            <w:fldChar w:fldCharType="begin"/>
          </w:r>
          <w:r>
            <w:instrText xml:space="preserve"> PAGEREF _Toc28568 \h </w:instrText>
          </w:r>
          <w:r>
            <w:fldChar w:fldCharType="separate"/>
          </w:r>
          <w:r>
            <w:t>1</w:t>
          </w:r>
          <w:r>
            <w:fldChar w:fldCharType="end"/>
          </w:r>
          <w:r>
            <w:fldChar w:fldCharType="end"/>
          </w:r>
        </w:p>
        <w:p>
          <w:pPr>
            <w:pStyle w:val="TOC2"/>
            <w:tabs>
              <w:tab w:val="right" w:leader="dot" w:pos="8306"/>
            </w:tabs>
          </w:pPr>
          <w:r>
            <w:fldChar w:fldCharType="begin"/>
          </w:r>
          <w:r>
            <w:instrText xml:space="preserve"> HYPERLINK \l _Toc389 </w:instrText>
          </w:r>
          <w:r>
            <w:fldChar w:fldCharType="separate"/>
          </w:r>
          <w:r>
            <w:rPr>
              <w:rFonts w:asciiTheme="minorEastAsia" w:eastAsiaTheme="minorEastAsia" w:hAnsiTheme="minorEastAsia" w:hint="default"/>
            </w:rPr>
            <w:t xml:space="preserve">3.1 </w:t>
          </w:r>
          <w:r>
            <w:rPr>
              <w:rFonts w:asciiTheme="minorEastAsia" w:eastAsiaTheme="minorEastAsia" w:hAnsiTheme="minorEastAsia" w:hint="eastAsia"/>
            </w:rPr>
            <w:t>策划</w:t>
          </w:r>
          <w:r>
            <w:tab/>
          </w:r>
          <w:r>
            <w:fldChar w:fldCharType="begin"/>
          </w:r>
          <w:r>
            <w:instrText xml:space="preserve"> PAGEREF _Toc389 \h </w:instrText>
          </w:r>
          <w:r>
            <w:fldChar w:fldCharType="separate"/>
          </w:r>
          <w:r>
            <w:t>1</w:t>
          </w:r>
          <w:r>
            <w:fldChar w:fldCharType="end"/>
          </w:r>
          <w:r>
            <w:fldChar w:fldCharType="end"/>
          </w:r>
        </w:p>
        <w:p>
          <w:pPr>
            <w:pStyle w:val="TOC3"/>
            <w:tabs>
              <w:tab w:val="right" w:leader="dot" w:pos="8306"/>
            </w:tabs>
          </w:pPr>
          <w:r>
            <w:fldChar w:fldCharType="begin"/>
          </w:r>
          <w:r>
            <w:instrText xml:space="preserve"> HYPERLINK \l _Toc16148 </w:instrText>
          </w:r>
          <w:r>
            <w:fldChar w:fldCharType="separate"/>
          </w:r>
          <w:r>
            <w:rPr>
              <w:rFonts w:asciiTheme="minorEastAsia" w:eastAsiaTheme="minorEastAsia" w:hAnsiTheme="minorEastAsia" w:hint="default"/>
            </w:rPr>
            <w:t xml:space="preserve">3.1.1 </w:t>
          </w:r>
          <w:r>
            <w:rPr>
              <w:rFonts w:asciiTheme="minorEastAsia" w:eastAsiaTheme="minorEastAsia" w:hAnsiTheme="minorEastAsia" w:hint="eastAsia"/>
            </w:rPr>
            <w:t>服务目录</w:t>
          </w:r>
          <w:r>
            <w:tab/>
          </w:r>
          <w:r>
            <w:fldChar w:fldCharType="begin"/>
          </w:r>
          <w:r>
            <w:instrText xml:space="preserve"> PAGEREF _Toc16148 \h </w:instrText>
          </w:r>
          <w:r>
            <w:fldChar w:fldCharType="separate"/>
          </w:r>
          <w:r>
            <w:t>1</w:t>
          </w:r>
          <w:r>
            <w:fldChar w:fldCharType="end"/>
          </w:r>
          <w:r>
            <w:fldChar w:fldCharType="end"/>
          </w:r>
        </w:p>
        <w:p>
          <w:pPr>
            <w:pStyle w:val="TOC3"/>
            <w:tabs>
              <w:tab w:val="right" w:leader="dot" w:pos="8306"/>
            </w:tabs>
          </w:pPr>
          <w:r>
            <w:fldChar w:fldCharType="begin"/>
          </w:r>
          <w:r>
            <w:instrText xml:space="preserve"> HYPERLINK \l _Toc16529 </w:instrText>
          </w:r>
          <w:r>
            <w:fldChar w:fldCharType="separate"/>
          </w:r>
          <w:r>
            <w:rPr>
              <w:rFonts w:asciiTheme="minorEastAsia" w:eastAsiaTheme="minorEastAsia" w:hAnsiTheme="minorEastAsia" w:hint="default"/>
            </w:rPr>
            <w:t xml:space="preserve">3.1.2 </w:t>
          </w:r>
          <w:r>
            <w:rPr>
              <w:rFonts w:asciiTheme="minorEastAsia" w:eastAsiaTheme="minorEastAsia" w:hAnsiTheme="minorEastAsia" w:hint="eastAsia"/>
            </w:rPr>
            <w:t>运维服务组织架构和管理制度</w:t>
          </w:r>
          <w:r>
            <w:tab/>
          </w:r>
          <w:r>
            <w:fldChar w:fldCharType="begin"/>
          </w:r>
          <w:r>
            <w:instrText xml:space="preserve"> PAGEREF _Toc16529 \h </w:instrText>
          </w:r>
          <w:r>
            <w:fldChar w:fldCharType="separate"/>
          </w:r>
          <w:r>
            <w:t>2</w:t>
          </w:r>
          <w:r>
            <w:fldChar w:fldCharType="end"/>
          </w:r>
          <w:r>
            <w:fldChar w:fldCharType="end"/>
          </w:r>
        </w:p>
        <w:p>
          <w:pPr>
            <w:pStyle w:val="TOC3"/>
            <w:tabs>
              <w:tab w:val="right" w:leader="dot" w:pos="8306"/>
            </w:tabs>
          </w:pPr>
          <w:r>
            <w:fldChar w:fldCharType="begin"/>
          </w:r>
          <w:r>
            <w:instrText xml:space="preserve"> HYPERLINK \l _Toc4363 </w:instrText>
          </w:r>
          <w:r>
            <w:fldChar w:fldCharType="separate"/>
          </w:r>
          <w:r>
            <w:rPr>
              <w:rFonts w:asciiTheme="minorEastAsia" w:eastAsiaTheme="minorEastAsia" w:hAnsiTheme="minorEastAsia" w:hint="default"/>
            </w:rPr>
            <w:t xml:space="preserve">3.1.3 </w:t>
          </w:r>
          <w:r>
            <w:rPr>
              <w:rFonts w:asciiTheme="minorEastAsia" w:eastAsiaTheme="minorEastAsia" w:hAnsiTheme="minorEastAsia" w:hint="eastAsia"/>
            </w:rPr>
            <w:t>运维服务能力策划</w:t>
          </w:r>
          <w:r>
            <w:tab/>
          </w:r>
          <w:r>
            <w:fldChar w:fldCharType="begin"/>
          </w:r>
          <w:r>
            <w:instrText xml:space="preserve"> PAGEREF _Toc4363 \h </w:instrText>
          </w:r>
          <w:r>
            <w:fldChar w:fldCharType="separate"/>
          </w:r>
          <w:r>
            <w:t>2</w:t>
          </w:r>
          <w:r>
            <w:fldChar w:fldCharType="end"/>
          </w:r>
          <w:r>
            <w:fldChar w:fldCharType="end"/>
          </w:r>
        </w:p>
        <w:p>
          <w:pPr>
            <w:pStyle w:val="TOC3"/>
            <w:tabs>
              <w:tab w:val="right" w:leader="dot" w:pos="8306"/>
            </w:tabs>
          </w:pPr>
          <w:r>
            <w:fldChar w:fldCharType="begin"/>
          </w:r>
          <w:r>
            <w:instrText xml:space="preserve"> HYPERLINK \l _Toc22137 </w:instrText>
          </w:r>
          <w:r>
            <w:fldChar w:fldCharType="separate"/>
          </w:r>
          <w:r>
            <w:rPr>
              <w:rFonts w:asciiTheme="minorEastAsia" w:eastAsiaTheme="minorEastAsia" w:hAnsiTheme="minorEastAsia" w:hint="default"/>
            </w:rPr>
            <w:t xml:space="preserve">3.1.4 </w:t>
          </w:r>
          <w:r>
            <w:rPr>
              <w:rFonts w:asciiTheme="minorEastAsia" w:eastAsiaTheme="minorEastAsia" w:hAnsiTheme="minorEastAsia" w:hint="eastAsia"/>
            </w:rPr>
            <w:t>质量管理策划</w:t>
          </w:r>
          <w:r>
            <w:tab/>
          </w:r>
          <w:r>
            <w:fldChar w:fldCharType="begin"/>
          </w:r>
          <w:r>
            <w:instrText xml:space="preserve"> PAGEREF _Toc22137 \h </w:instrText>
          </w:r>
          <w:r>
            <w:fldChar w:fldCharType="separate"/>
          </w:r>
          <w:r>
            <w:t>2</w:t>
          </w:r>
          <w:r>
            <w:fldChar w:fldCharType="end"/>
          </w:r>
          <w:r>
            <w:fldChar w:fldCharType="end"/>
          </w:r>
        </w:p>
        <w:p>
          <w:pPr>
            <w:pStyle w:val="TOC2"/>
            <w:tabs>
              <w:tab w:val="right" w:leader="dot" w:pos="8306"/>
            </w:tabs>
          </w:pPr>
          <w:r>
            <w:fldChar w:fldCharType="begin"/>
          </w:r>
          <w:r>
            <w:instrText xml:space="preserve"> HYPERLINK \l _Toc142 </w:instrText>
          </w:r>
          <w:r>
            <w:fldChar w:fldCharType="separate"/>
          </w:r>
          <w:r>
            <w:rPr>
              <w:rFonts w:asciiTheme="minorEastAsia" w:eastAsiaTheme="minorEastAsia" w:hAnsiTheme="minorEastAsia" w:hint="default"/>
            </w:rPr>
            <w:t xml:space="preserve">3.2 </w:t>
          </w:r>
          <w:r>
            <w:rPr>
              <w:rFonts w:asciiTheme="minorEastAsia" w:eastAsiaTheme="minorEastAsia" w:hAnsiTheme="minorEastAsia"/>
            </w:rPr>
            <w:t>实施</w:t>
          </w:r>
          <w:r>
            <w:tab/>
          </w:r>
          <w:r>
            <w:fldChar w:fldCharType="begin"/>
          </w:r>
          <w:r>
            <w:instrText xml:space="preserve"> PAGEREF _Toc142 \h </w:instrText>
          </w:r>
          <w:r>
            <w:fldChar w:fldCharType="separate"/>
          </w:r>
          <w:r>
            <w:t>3</w:t>
          </w:r>
          <w:r>
            <w:fldChar w:fldCharType="end"/>
          </w:r>
          <w:r>
            <w:fldChar w:fldCharType="end"/>
          </w:r>
        </w:p>
        <w:p>
          <w:pPr>
            <w:pStyle w:val="TOC2"/>
            <w:tabs>
              <w:tab w:val="right" w:leader="dot" w:pos="8306"/>
            </w:tabs>
          </w:pPr>
          <w:r>
            <w:fldChar w:fldCharType="begin"/>
          </w:r>
          <w:r>
            <w:instrText xml:space="preserve"> HYPERLINK \l _Toc30306 </w:instrText>
          </w:r>
          <w:r>
            <w:fldChar w:fldCharType="separate"/>
          </w:r>
          <w:r>
            <w:rPr>
              <w:rFonts w:asciiTheme="minorEastAsia" w:eastAsiaTheme="minorEastAsia" w:hAnsiTheme="minorEastAsia" w:hint="default"/>
            </w:rPr>
            <w:t xml:space="preserve">3.3 </w:t>
          </w:r>
          <w:r>
            <w:rPr>
              <w:rFonts w:asciiTheme="minorEastAsia" w:eastAsiaTheme="minorEastAsia" w:hAnsiTheme="minorEastAsia" w:hint="eastAsia"/>
            </w:rPr>
            <w:t>检查</w:t>
          </w:r>
          <w:r>
            <w:tab/>
          </w:r>
          <w:r>
            <w:fldChar w:fldCharType="begin"/>
          </w:r>
          <w:r>
            <w:instrText xml:space="preserve"> PAGEREF _Toc30306 \h </w:instrText>
          </w:r>
          <w:r>
            <w:fldChar w:fldCharType="separate"/>
          </w:r>
          <w:r>
            <w:t>3</w:t>
          </w:r>
          <w:r>
            <w:fldChar w:fldCharType="end"/>
          </w:r>
          <w:r>
            <w:fldChar w:fldCharType="end"/>
          </w:r>
        </w:p>
        <w:p>
          <w:pPr>
            <w:pStyle w:val="TOC2"/>
            <w:tabs>
              <w:tab w:val="right" w:leader="dot" w:pos="8306"/>
            </w:tabs>
          </w:pPr>
          <w:r>
            <w:fldChar w:fldCharType="begin"/>
          </w:r>
          <w:r>
            <w:instrText xml:space="preserve"> HYPERLINK \l _Toc20252 </w:instrText>
          </w:r>
          <w:r>
            <w:fldChar w:fldCharType="separate"/>
          </w:r>
          <w:r>
            <w:rPr>
              <w:rFonts w:asciiTheme="minorEastAsia" w:eastAsiaTheme="minorEastAsia" w:hAnsiTheme="minorEastAsia" w:hint="default"/>
            </w:rPr>
            <w:t xml:space="preserve">3.4 </w:t>
          </w:r>
          <w:r>
            <w:rPr>
              <w:rFonts w:asciiTheme="minorEastAsia" w:eastAsiaTheme="minorEastAsia" w:hAnsiTheme="minorEastAsia" w:hint="eastAsia"/>
            </w:rPr>
            <w:t>改进</w:t>
          </w:r>
          <w:r>
            <w:tab/>
          </w:r>
          <w:r>
            <w:fldChar w:fldCharType="begin"/>
          </w:r>
          <w:r>
            <w:instrText xml:space="preserve"> PAGEREF _Toc20252 \h </w:instrText>
          </w:r>
          <w:r>
            <w:fldChar w:fldCharType="separate"/>
          </w:r>
          <w:r>
            <w:t>3</w:t>
          </w:r>
          <w:r>
            <w:fldChar w:fldCharType="end"/>
          </w:r>
          <w:r>
            <w:fldChar w:fldCharType="end"/>
          </w:r>
        </w:p>
        <w:p>
          <w:pPr>
            <w:pStyle w:val="TOC1"/>
            <w:tabs>
              <w:tab w:val="right" w:leader="dot" w:pos="8306"/>
            </w:tabs>
          </w:pPr>
          <w:r>
            <w:fldChar w:fldCharType="begin"/>
          </w:r>
          <w:r>
            <w:instrText xml:space="preserve"> HYPERLINK \l _Toc4856 </w:instrText>
          </w:r>
          <w:r>
            <w:fldChar w:fldCharType="separate"/>
          </w:r>
          <w:r>
            <w:rPr>
              <w:rFonts w:asciiTheme="minorEastAsia" w:eastAsiaTheme="minorEastAsia" w:hAnsiTheme="minorEastAsia" w:hint="default"/>
            </w:rPr>
            <w:t xml:space="preserve">4. </w:t>
          </w:r>
          <w:r>
            <w:rPr>
              <w:rFonts w:asciiTheme="minorEastAsia" w:eastAsiaTheme="minorEastAsia" w:hAnsiTheme="minorEastAsia" w:hint="eastAsia"/>
            </w:rPr>
            <w:t>运维服务能力四要素</w:t>
          </w:r>
          <w:r>
            <w:tab/>
          </w:r>
          <w:r>
            <w:fldChar w:fldCharType="begin"/>
          </w:r>
          <w:r>
            <w:instrText xml:space="preserve"> PAGEREF _Toc4856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_Toc10040 </w:instrText>
          </w:r>
          <w:r>
            <w:fldChar w:fldCharType="separate"/>
          </w:r>
          <w:r>
            <w:rPr>
              <w:rFonts w:asciiTheme="minorEastAsia" w:eastAsiaTheme="minorEastAsia" w:hAnsiTheme="minorEastAsia" w:hint="default"/>
            </w:rPr>
            <w:t xml:space="preserve">4.1 </w:t>
          </w:r>
          <w:r>
            <w:rPr>
              <w:rFonts w:asciiTheme="minorEastAsia" w:eastAsiaTheme="minorEastAsia" w:hAnsiTheme="minorEastAsia" w:hint="eastAsia"/>
            </w:rPr>
            <w:t>人员</w:t>
          </w:r>
          <w:r>
            <w:tab/>
          </w:r>
          <w:r>
            <w:fldChar w:fldCharType="begin"/>
          </w:r>
          <w:r>
            <w:instrText xml:space="preserve"> PAGEREF _Toc10040 \h </w:instrText>
          </w:r>
          <w:r>
            <w:fldChar w:fldCharType="separate"/>
          </w:r>
          <w:r>
            <w:t>4</w:t>
          </w:r>
          <w:r>
            <w:fldChar w:fldCharType="end"/>
          </w:r>
          <w:r>
            <w:fldChar w:fldCharType="end"/>
          </w:r>
        </w:p>
        <w:p>
          <w:pPr>
            <w:pStyle w:val="TOC3"/>
            <w:tabs>
              <w:tab w:val="right" w:leader="dot" w:pos="8306"/>
            </w:tabs>
          </w:pPr>
          <w:r>
            <w:fldChar w:fldCharType="begin"/>
          </w:r>
          <w:r>
            <w:instrText xml:space="preserve"> HYPERLINK \l _Toc11566 </w:instrText>
          </w:r>
          <w:r>
            <w:fldChar w:fldCharType="separate"/>
          </w:r>
          <w:r>
            <w:rPr>
              <w:rFonts w:asciiTheme="minorEastAsia" w:eastAsiaTheme="minorEastAsia" w:hAnsiTheme="minorEastAsia" w:hint="default"/>
            </w:rPr>
            <w:t xml:space="preserve">4.1.1 </w:t>
          </w:r>
          <w:r>
            <w:rPr>
              <w:rFonts w:asciiTheme="minorEastAsia" w:eastAsiaTheme="minorEastAsia" w:hAnsiTheme="minorEastAsia" w:hint="eastAsia"/>
            </w:rPr>
            <w:t>人员管理</w:t>
          </w:r>
          <w:r>
            <w:tab/>
          </w:r>
          <w:r>
            <w:fldChar w:fldCharType="begin"/>
          </w:r>
          <w:r>
            <w:instrText xml:space="preserve"> PAGEREF _Toc11566 \h </w:instrText>
          </w:r>
          <w:r>
            <w:fldChar w:fldCharType="separate"/>
          </w:r>
          <w:r>
            <w:t>4</w:t>
          </w:r>
          <w:r>
            <w:fldChar w:fldCharType="end"/>
          </w:r>
          <w:r>
            <w:fldChar w:fldCharType="end"/>
          </w:r>
        </w:p>
        <w:p>
          <w:pPr>
            <w:pStyle w:val="TOC3"/>
            <w:tabs>
              <w:tab w:val="right" w:leader="dot" w:pos="8306"/>
            </w:tabs>
          </w:pPr>
          <w:r>
            <w:fldChar w:fldCharType="begin"/>
          </w:r>
          <w:r>
            <w:instrText xml:space="preserve"> HYPERLINK \l _Toc27799 </w:instrText>
          </w:r>
          <w:r>
            <w:fldChar w:fldCharType="separate"/>
          </w:r>
          <w:r>
            <w:rPr>
              <w:rFonts w:asciiTheme="minorEastAsia" w:eastAsiaTheme="minorEastAsia" w:hAnsiTheme="minorEastAsia" w:hint="default"/>
              <w:szCs w:val="24"/>
            </w:rPr>
            <w:t xml:space="preserve">4.1.2 </w:t>
          </w:r>
          <w:r>
            <w:rPr>
              <w:rFonts w:asciiTheme="minorEastAsia" w:eastAsiaTheme="minorEastAsia" w:hAnsiTheme="minorEastAsia" w:hint="eastAsia"/>
              <w:szCs w:val="24"/>
            </w:rPr>
            <w:t>岗位结构</w:t>
          </w:r>
          <w:r>
            <w:tab/>
          </w:r>
          <w:r>
            <w:fldChar w:fldCharType="begin"/>
          </w:r>
          <w:r>
            <w:instrText xml:space="preserve"> PAGEREF _Toc27799 \h </w:instrText>
          </w:r>
          <w:r>
            <w:fldChar w:fldCharType="separate"/>
          </w:r>
          <w:r>
            <w:t>5</w:t>
          </w:r>
          <w:r>
            <w:fldChar w:fldCharType="end"/>
          </w:r>
          <w:r>
            <w:fldChar w:fldCharType="end"/>
          </w:r>
        </w:p>
        <w:p>
          <w:pPr>
            <w:pStyle w:val="TOC3"/>
            <w:tabs>
              <w:tab w:val="right" w:leader="dot" w:pos="8306"/>
            </w:tabs>
          </w:pPr>
          <w:r>
            <w:fldChar w:fldCharType="begin"/>
          </w:r>
          <w:r>
            <w:instrText xml:space="preserve"> HYPERLINK \l _Toc11825 </w:instrText>
          </w:r>
          <w:r>
            <w:fldChar w:fldCharType="separate"/>
          </w:r>
          <w:r>
            <w:rPr>
              <w:rFonts w:asciiTheme="minorEastAsia" w:eastAsiaTheme="minorEastAsia" w:hAnsiTheme="minorEastAsia" w:hint="default"/>
              <w:szCs w:val="24"/>
            </w:rPr>
            <w:t xml:space="preserve">4.1.3 </w:t>
          </w:r>
          <w:r>
            <w:rPr>
              <w:rFonts w:asciiTheme="minorEastAsia" w:eastAsiaTheme="minorEastAsia" w:hAnsiTheme="minorEastAsia" w:hint="eastAsia"/>
              <w:szCs w:val="24"/>
            </w:rPr>
            <w:t>知识、技能、经验</w:t>
          </w:r>
          <w:r>
            <w:tab/>
          </w:r>
          <w:r>
            <w:fldChar w:fldCharType="begin"/>
          </w:r>
          <w:r>
            <w:instrText xml:space="preserve"> PAGEREF _Toc11825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_Toc20180 </w:instrText>
          </w:r>
          <w:r>
            <w:fldChar w:fldCharType="separate"/>
          </w:r>
          <w:r>
            <w:rPr>
              <w:rFonts w:asciiTheme="minorEastAsia" w:eastAsiaTheme="minorEastAsia" w:hAnsiTheme="minorEastAsia" w:hint="default"/>
            </w:rPr>
            <w:t xml:space="preserve">4.2 </w:t>
          </w:r>
          <w:r>
            <w:rPr>
              <w:rFonts w:asciiTheme="minorEastAsia" w:eastAsiaTheme="minorEastAsia" w:hAnsiTheme="minorEastAsia" w:hint="eastAsia"/>
            </w:rPr>
            <w:t>资源</w:t>
          </w:r>
          <w:r>
            <w:tab/>
          </w:r>
          <w:r>
            <w:fldChar w:fldCharType="begin"/>
          </w:r>
          <w:r>
            <w:instrText xml:space="preserve"> PAGEREF _Toc20180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_Toc19909 </w:instrText>
          </w:r>
          <w:r>
            <w:fldChar w:fldCharType="separate"/>
          </w:r>
          <w:r>
            <w:rPr>
              <w:rFonts w:asciiTheme="minorEastAsia" w:eastAsiaTheme="minorEastAsia" w:hAnsiTheme="minorEastAsia" w:hint="default"/>
              <w:szCs w:val="24"/>
            </w:rPr>
            <w:t xml:space="preserve">4.2.1 </w:t>
          </w:r>
          <w:r>
            <w:rPr>
              <w:rFonts w:asciiTheme="minorEastAsia" w:eastAsiaTheme="minorEastAsia" w:hAnsiTheme="minorEastAsia" w:hint="eastAsia"/>
              <w:szCs w:val="24"/>
            </w:rPr>
            <w:t>运维工具</w:t>
          </w:r>
          <w:r>
            <w:tab/>
          </w:r>
          <w:r>
            <w:fldChar w:fldCharType="begin"/>
          </w:r>
          <w:r>
            <w:instrText xml:space="preserve"> PAGEREF _Toc19909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_Toc15063 </w:instrText>
          </w:r>
          <w:r>
            <w:fldChar w:fldCharType="separate"/>
          </w:r>
          <w:r>
            <w:rPr>
              <w:rFonts w:asciiTheme="minorEastAsia" w:eastAsiaTheme="minorEastAsia" w:hAnsiTheme="minorEastAsia" w:cs="Arial" w:hint="default"/>
              <w:kern w:val="36"/>
              <w:szCs w:val="24"/>
            </w:rPr>
            <w:t xml:space="preserve">4.2.2 </w:t>
          </w:r>
          <w:r>
            <w:rPr>
              <w:rFonts w:asciiTheme="minorEastAsia" w:eastAsiaTheme="minorEastAsia" w:hAnsiTheme="minorEastAsia" w:hint="eastAsia"/>
              <w:szCs w:val="24"/>
            </w:rPr>
            <w:t>服务台</w:t>
          </w:r>
          <w:r>
            <w:tab/>
          </w:r>
          <w:r>
            <w:fldChar w:fldCharType="begin"/>
          </w:r>
          <w:r>
            <w:instrText xml:space="preserve"> PAGEREF _Toc15063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_Toc20636 </w:instrText>
          </w:r>
          <w:r>
            <w:fldChar w:fldCharType="separate"/>
          </w:r>
          <w:r>
            <w:rPr>
              <w:rFonts w:asciiTheme="minorEastAsia" w:eastAsiaTheme="minorEastAsia" w:hAnsiTheme="minorEastAsia" w:cs="Arial" w:hint="default"/>
              <w:kern w:val="36"/>
              <w:szCs w:val="24"/>
            </w:rPr>
            <w:t xml:space="preserve">4.2.3 </w:t>
          </w:r>
          <w:r>
            <w:rPr>
              <w:rFonts w:asciiTheme="minorEastAsia" w:eastAsiaTheme="minorEastAsia" w:hAnsiTheme="minorEastAsia" w:hint="eastAsia"/>
              <w:szCs w:val="24"/>
            </w:rPr>
            <w:t>备件库</w:t>
          </w:r>
          <w:r>
            <w:tab/>
          </w:r>
          <w:r>
            <w:fldChar w:fldCharType="begin"/>
          </w:r>
          <w:r>
            <w:instrText xml:space="preserve"> PAGEREF _Toc20636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_Toc26700 </w:instrText>
          </w:r>
          <w:r>
            <w:fldChar w:fldCharType="separate"/>
          </w:r>
          <w:r>
            <w:rPr>
              <w:rFonts w:asciiTheme="minorEastAsia" w:eastAsiaTheme="minorEastAsia" w:hAnsiTheme="minorEastAsia" w:cs="Arial" w:hint="default"/>
              <w:kern w:val="36"/>
              <w:szCs w:val="24"/>
            </w:rPr>
            <w:t xml:space="preserve">4.2.4 </w:t>
          </w:r>
          <w:r>
            <w:rPr>
              <w:rFonts w:asciiTheme="minorEastAsia" w:eastAsiaTheme="minorEastAsia" w:hAnsiTheme="minorEastAsia" w:hint="eastAsia"/>
              <w:szCs w:val="24"/>
            </w:rPr>
            <w:t>知识库</w:t>
          </w:r>
          <w:r>
            <w:tab/>
          </w:r>
          <w:r>
            <w:fldChar w:fldCharType="begin"/>
          </w:r>
          <w:r>
            <w:instrText xml:space="preserve"> PAGEREF _Toc26700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_Toc1649 </w:instrText>
          </w:r>
          <w:r>
            <w:fldChar w:fldCharType="separate"/>
          </w:r>
          <w:r>
            <w:rPr>
              <w:rFonts w:asciiTheme="minorEastAsia" w:eastAsiaTheme="minorEastAsia" w:hAnsiTheme="minorEastAsia" w:cs="Arial" w:hint="default"/>
              <w:kern w:val="36"/>
              <w:szCs w:val="24"/>
            </w:rPr>
            <w:t xml:space="preserve">4.3 </w:t>
          </w:r>
          <w:r>
            <w:rPr>
              <w:rFonts w:asciiTheme="minorEastAsia" w:eastAsiaTheme="minorEastAsia" w:hAnsiTheme="minorEastAsia" w:hint="eastAsia"/>
              <w:szCs w:val="24"/>
            </w:rPr>
            <w:t>技术</w:t>
          </w:r>
          <w:r>
            <w:tab/>
          </w:r>
          <w:r>
            <w:fldChar w:fldCharType="begin"/>
          </w:r>
          <w:r>
            <w:instrText xml:space="preserve"> PAGEREF _Toc1649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_Toc27604 </w:instrText>
          </w:r>
          <w:r>
            <w:fldChar w:fldCharType="separate"/>
          </w:r>
          <w:r>
            <w:rPr>
              <w:rFonts w:asciiTheme="minorEastAsia" w:eastAsiaTheme="minorEastAsia" w:hAnsiTheme="minorEastAsia" w:cs="Arial" w:hint="default"/>
              <w:kern w:val="36"/>
              <w:szCs w:val="24"/>
            </w:rPr>
            <w:t xml:space="preserve">4.3.1 </w:t>
          </w:r>
          <w:r>
            <w:rPr>
              <w:rFonts w:asciiTheme="minorEastAsia" w:eastAsiaTheme="minorEastAsia" w:hAnsiTheme="minorEastAsia" w:hint="eastAsia"/>
              <w:szCs w:val="24"/>
            </w:rPr>
            <w:t>技术研发</w:t>
          </w:r>
          <w:r>
            <w:tab/>
          </w:r>
          <w:r>
            <w:fldChar w:fldCharType="begin"/>
          </w:r>
          <w:r>
            <w:instrText xml:space="preserve"> PAGEREF _Toc27604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_Toc28137 </w:instrText>
          </w:r>
          <w:r>
            <w:fldChar w:fldCharType="separate"/>
          </w:r>
          <w:r>
            <w:rPr>
              <w:rFonts w:asciiTheme="minorEastAsia" w:eastAsiaTheme="minorEastAsia" w:hAnsiTheme="minorEastAsia" w:cs="Arial" w:hint="default"/>
              <w:kern w:val="36"/>
              <w:szCs w:val="24"/>
            </w:rPr>
            <w:t xml:space="preserve">4.3.2 </w:t>
          </w:r>
          <w:r>
            <w:rPr>
              <w:rFonts w:asciiTheme="minorEastAsia" w:eastAsiaTheme="minorEastAsia" w:hAnsiTheme="minorEastAsia" w:hint="eastAsia"/>
              <w:szCs w:val="24"/>
            </w:rPr>
            <w:t>与发现问题相关的技术</w:t>
          </w:r>
          <w:r>
            <w:tab/>
          </w:r>
          <w:r>
            <w:fldChar w:fldCharType="begin"/>
          </w:r>
          <w:r>
            <w:instrText xml:space="preserve"> PAGEREF _Toc28137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_Toc15329 </w:instrText>
          </w:r>
          <w:r>
            <w:fldChar w:fldCharType="separate"/>
          </w:r>
          <w:r>
            <w:rPr>
              <w:rFonts w:asciiTheme="minorEastAsia" w:eastAsiaTheme="minorEastAsia" w:hAnsiTheme="minorEastAsia" w:cs="Arial" w:hint="default"/>
              <w:kern w:val="36"/>
              <w:szCs w:val="24"/>
            </w:rPr>
            <w:t xml:space="preserve">4.3.3 </w:t>
          </w:r>
          <w:r>
            <w:rPr>
              <w:rFonts w:asciiTheme="minorEastAsia" w:eastAsiaTheme="minorEastAsia" w:hAnsiTheme="minorEastAsia" w:hint="eastAsia"/>
              <w:szCs w:val="24"/>
            </w:rPr>
            <w:t>与解决问题相关的技术</w:t>
          </w:r>
          <w:r>
            <w:tab/>
          </w:r>
          <w:r>
            <w:fldChar w:fldCharType="begin"/>
          </w:r>
          <w:r>
            <w:instrText xml:space="preserve"> PAGEREF _Toc15329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_Toc21638 </w:instrText>
          </w:r>
          <w:r>
            <w:fldChar w:fldCharType="separate"/>
          </w:r>
          <w:r>
            <w:rPr>
              <w:rFonts w:asciiTheme="minorEastAsia" w:eastAsiaTheme="minorEastAsia" w:hAnsiTheme="minorEastAsia" w:hint="default"/>
              <w:szCs w:val="24"/>
            </w:rPr>
            <w:t xml:space="preserve">4.4 </w:t>
          </w:r>
          <w:r>
            <w:rPr>
              <w:rFonts w:asciiTheme="minorEastAsia" w:eastAsiaTheme="minorEastAsia" w:hAnsiTheme="minorEastAsia" w:hint="eastAsia"/>
              <w:szCs w:val="24"/>
            </w:rPr>
            <w:t>过程</w:t>
          </w:r>
          <w:r>
            <w:tab/>
          </w:r>
          <w:r>
            <w:fldChar w:fldCharType="begin"/>
          </w:r>
          <w:r>
            <w:instrText xml:space="preserve"> PAGEREF _Toc21638 \h </w:instrText>
          </w:r>
          <w:r>
            <w:fldChar w:fldCharType="separate"/>
          </w:r>
          <w:r>
            <w:t>9</w:t>
          </w:r>
          <w:r>
            <w:fldChar w:fldCharType="end"/>
          </w:r>
          <w:r>
            <w:fldChar w:fldCharType="end"/>
          </w:r>
        </w:p>
        <w:p>
          <w:pPr>
            <w:rPr>
              <w:rFonts w:ascii="Calibri" w:eastAsia="宋体" w:hAnsi="Calibri" w:cs="Times New Roman"/>
              <w:kern w:val="2"/>
              <w:sz w:val="21"/>
              <w:szCs w:val="22"/>
              <w:lang w:val="en-US" w:eastAsia="zh-CN" w:bidi="ar-SA"/>
            </w:rPr>
          </w:pPr>
          <w:r>
            <w:fldChar w:fldCharType="end"/>
          </w:r>
        </w:p>
      </w:sdtContent>
    </w:sdt>
    <w:p>
      <w:pPr>
        <w:rPr>
          <w:rFonts w:ascii="Calibri" w:eastAsia="宋体" w:hAnsi="Calibri" w:cs="Times New Roman"/>
          <w:kern w:val="2"/>
          <w:sz w:val="21"/>
          <w:szCs w:val="22"/>
          <w:lang w:val="en-US" w:eastAsia="zh-CN" w:bidi="ar-SA"/>
        </w:rPr>
      </w:pPr>
    </w:p>
    <w:p>
      <w:pPr>
        <w:rPr>
          <w:b/>
          <w:bCs/>
          <w:szCs w:val="21"/>
        </w:rPr>
      </w:pPr>
      <w:r>
        <w:rPr>
          <w:b/>
          <w:bCs/>
          <w:szCs w:val="21"/>
        </w:rPr>
        <w:fldChar w:fldCharType="end"/>
      </w:r>
    </w:p>
    <w:p>
      <w:pPr>
        <w:spacing w:line="360" w:lineRule="auto"/>
        <w:ind w:firstLine="480"/>
        <w:rPr>
          <w:rFonts w:asciiTheme="minorEastAsia" w:eastAsiaTheme="minorEastAsia" w:hAnsiTheme="minorEastAsia" w:hint="eastAsia"/>
          <w:sz w:val="24"/>
          <w:szCs w:val="24"/>
        </w:rPr>
        <w:sectPr>
          <w:headerReference w:type="default" r:id="rId6"/>
          <w:footerReference w:type="default" r:id="rId7"/>
          <w:headerReference w:type="first" r:id="rId8"/>
          <w:pgSz w:w="11906" w:h="16838"/>
          <w:pgMar w:top="1440" w:right="1800" w:bottom="1440" w:left="1800" w:header="851" w:footer="992" w:gutter="0"/>
          <w:cols w:num="1" w:space="425"/>
          <w:docGrid w:type="lines" w:linePitch="312" w:charSpace="0"/>
        </w:sectPr>
      </w:pPr>
    </w:p>
    <w:p>
      <w:pPr>
        <w:spacing w:line="360" w:lineRule="auto"/>
        <w:ind w:firstLine="480"/>
        <w:rPr>
          <w:rFonts w:asciiTheme="minorEastAsia" w:eastAsiaTheme="minorEastAsia" w:hAnsiTheme="minorEastAsia"/>
          <w:sz w:val="24"/>
          <w:szCs w:val="24"/>
        </w:rPr>
      </w:pPr>
      <w:r>
        <w:rPr>
          <w:rFonts w:asciiTheme="minorEastAsia" w:eastAsiaTheme="minorEastAsia" w:hAnsiTheme="minorEastAsia" w:hint="eastAsia"/>
          <w:sz w:val="24"/>
          <w:szCs w:val="24"/>
        </w:rPr>
        <w:t>运维管理制度</w:t>
      </w:r>
      <w:r>
        <w:rPr>
          <w:rFonts w:asciiTheme="minorEastAsia" w:eastAsiaTheme="minorEastAsia" w:hAnsiTheme="minorEastAsia"/>
          <w:sz w:val="24"/>
          <w:szCs w:val="24"/>
        </w:rPr>
        <w:t>的编写</w:t>
      </w:r>
      <w:r>
        <w:rPr>
          <w:rFonts w:asciiTheme="minorEastAsia" w:eastAsiaTheme="minorEastAsia" w:hAnsiTheme="minorEastAsia" w:hint="eastAsia"/>
          <w:sz w:val="24"/>
          <w:szCs w:val="24"/>
        </w:rPr>
        <w:t>是为</w:t>
      </w:r>
      <w:r>
        <w:rPr>
          <w:rFonts w:asciiTheme="minorEastAsia" w:eastAsiaTheme="minorEastAsia" w:hAnsiTheme="minorEastAsia"/>
          <w:sz w:val="24"/>
          <w:szCs w:val="24"/>
        </w:rPr>
        <w:t>保证</w:t>
      </w:r>
      <w:r>
        <w:rPr>
          <w:rFonts w:asciiTheme="minorEastAsia" w:eastAsiaTheme="minorEastAsia" w:hAnsiTheme="minorEastAsia" w:hint="eastAsia"/>
          <w:sz w:val="24"/>
          <w:szCs w:val="24"/>
        </w:rPr>
        <w:t>公司</w:t>
      </w:r>
      <w:r>
        <w:rPr>
          <w:rFonts w:asciiTheme="minorEastAsia" w:eastAsiaTheme="minorEastAsia" w:hAnsiTheme="minorEastAsia"/>
          <w:sz w:val="24"/>
          <w:szCs w:val="24"/>
        </w:rPr>
        <w:t>的运维服务能力管理体系合理、标准、高效</w:t>
      </w:r>
      <w:r>
        <w:rPr>
          <w:rFonts w:asciiTheme="minorEastAsia" w:eastAsiaTheme="minorEastAsia" w:hAnsiTheme="minorEastAsia" w:hint="eastAsia"/>
          <w:sz w:val="24"/>
          <w:szCs w:val="24"/>
        </w:rPr>
        <w:t>而制定的纲领性文件</w:t>
      </w:r>
      <w:r>
        <w:rPr>
          <w:rFonts w:asciiTheme="minorEastAsia" w:eastAsiaTheme="minorEastAsia" w:hAnsiTheme="minorEastAsia"/>
          <w:sz w:val="24"/>
          <w:szCs w:val="24"/>
        </w:rPr>
        <w:t>。通过</w:t>
      </w:r>
      <w:r>
        <w:rPr>
          <w:rFonts w:asciiTheme="minorEastAsia" w:eastAsiaTheme="minorEastAsia" w:hAnsiTheme="minorEastAsia" w:hint="eastAsia"/>
          <w:sz w:val="24"/>
          <w:szCs w:val="24"/>
        </w:rPr>
        <w:t>制度</w:t>
      </w:r>
      <w:r>
        <w:rPr>
          <w:rFonts w:asciiTheme="minorEastAsia" w:eastAsiaTheme="minorEastAsia" w:hAnsiTheme="minorEastAsia"/>
          <w:sz w:val="24"/>
          <w:szCs w:val="24"/>
        </w:rPr>
        <w:t>使公司内的所有角色具备规范的作业依据和活动准则，持续有效</w:t>
      </w:r>
      <w:r>
        <w:rPr>
          <w:rFonts w:asciiTheme="minorEastAsia" w:eastAsiaTheme="minorEastAsia" w:hAnsiTheme="minorEastAsia" w:hint="eastAsia"/>
          <w:sz w:val="24"/>
          <w:szCs w:val="24"/>
        </w:rPr>
        <w:t>地</w:t>
      </w:r>
      <w:r>
        <w:rPr>
          <w:rFonts w:asciiTheme="minorEastAsia" w:eastAsiaTheme="minorEastAsia" w:hAnsiTheme="minorEastAsia"/>
          <w:sz w:val="24"/>
          <w:szCs w:val="24"/>
        </w:rPr>
        <w:t>贯彻</w:t>
      </w:r>
      <w:r>
        <w:rPr>
          <w:rFonts w:asciiTheme="minorEastAsia" w:eastAsiaTheme="minorEastAsia" w:hAnsiTheme="minorEastAsia" w:hint="eastAsia"/>
          <w:sz w:val="24"/>
          <w:szCs w:val="24"/>
        </w:rPr>
        <w:t>公司</w:t>
      </w:r>
      <w:r>
        <w:rPr>
          <w:rFonts w:asciiTheme="minorEastAsia" w:eastAsiaTheme="minorEastAsia" w:hAnsiTheme="minorEastAsia"/>
          <w:sz w:val="24"/>
          <w:szCs w:val="24"/>
        </w:rPr>
        <w:t>的服务方针，并实现</w:t>
      </w:r>
      <w:r>
        <w:rPr>
          <w:rFonts w:asciiTheme="minorEastAsia" w:eastAsiaTheme="minorEastAsia" w:hAnsiTheme="minorEastAsia" w:hint="eastAsia"/>
          <w:sz w:val="24"/>
          <w:szCs w:val="24"/>
        </w:rPr>
        <w:t>公司</w:t>
      </w:r>
      <w:r>
        <w:rPr>
          <w:rFonts w:asciiTheme="minorEastAsia" w:eastAsiaTheme="minorEastAsia" w:hAnsiTheme="minorEastAsia"/>
          <w:sz w:val="24"/>
          <w:szCs w:val="24"/>
        </w:rPr>
        <w:t>服务目标</w:t>
      </w:r>
      <w:r>
        <w:rPr>
          <w:rFonts w:asciiTheme="minorEastAsia" w:eastAsiaTheme="minorEastAsia" w:hAnsiTheme="minorEastAsia" w:hint="eastAsia"/>
          <w:sz w:val="24"/>
          <w:szCs w:val="24"/>
        </w:rPr>
        <w:t>的总体策略规定</w:t>
      </w:r>
      <w:r>
        <w:rPr>
          <w:rFonts w:asciiTheme="minorEastAsia" w:eastAsiaTheme="minorEastAsia" w:hAnsiTheme="minorEastAsia"/>
          <w:sz w:val="24"/>
          <w:szCs w:val="24"/>
        </w:rPr>
        <w:t>。</w:t>
      </w:r>
    </w:p>
    <w:p>
      <w:pPr>
        <w:pStyle w:val="Title"/>
        <w:numPr>
          <w:ilvl w:val="0"/>
          <w:numId w:val="1"/>
        </w:numPr>
        <w:rPr>
          <w:rFonts w:asciiTheme="minorEastAsia" w:eastAsiaTheme="minorEastAsia" w:hAnsiTheme="minorEastAsia"/>
        </w:rPr>
      </w:pPr>
      <w:bookmarkStart w:id="4" w:name="_Toc352592778"/>
      <w:bookmarkStart w:id="5" w:name="_Toc16724"/>
      <w:bookmarkStart w:id="6" w:name="_Toc487477447"/>
      <w:bookmarkStart w:id="7" w:name="_Toc295398444"/>
      <w:bookmarkStart w:id="8" w:name="_Toc330215804"/>
      <w:bookmarkStart w:id="9" w:name="_Toc493496575"/>
      <w:r>
        <w:rPr>
          <w:rFonts w:asciiTheme="minorEastAsia" w:eastAsiaTheme="minorEastAsia" w:hAnsiTheme="minorEastAsia"/>
        </w:rPr>
        <w:t>适用范围</w:t>
      </w:r>
      <w:bookmarkEnd w:id="4"/>
      <w:bookmarkEnd w:id="5"/>
      <w:bookmarkEnd w:id="6"/>
      <w:bookmarkEnd w:id="7"/>
      <w:bookmarkEnd w:id="8"/>
      <w:bookmarkEnd w:id="9"/>
    </w:p>
    <w:p>
      <w:pPr>
        <w:spacing w:line="360" w:lineRule="auto"/>
        <w:ind w:firstLine="480"/>
        <w:rPr>
          <w:rFonts w:asciiTheme="minorEastAsia" w:eastAsiaTheme="minorEastAsia" w:hAnsiTheme="minorEastAsia"/>
          <w:sz w:val="24"/>
          <w:szCs w:val="24"/>
        </w:rPr>
      </w:pPr>
      <w:r>
        <w:rPr>
          <w:rFonts w:asciiTheme="minorEastAsia" w:eastAsiaTheme="minorEastAsia" w:hAnsiTheme="minorEastAsia" w:hint="eastAsia"/>
          <w:sz w:val="24"/>
          <w:szCs w:val="24"/>
        </w:rPr>
        <w:t>本文档是</w:t>
      </w:r>
      <w:r>
        <w:rPr>
          <w:rFonts w:asciiTheme="minorEastAsia" w:eastAsiaTheme="minorEastAsia" w:hAnsiTheme="minorEastAsia"/>
          <w:sz w:val="24"/>
          <w:szCs w:val="24"/>
        </w:rPr>
        <w:t>公司</w:t>
      </w:r>
      <w:r>
        <w:rPr>
          <w:rFonts w:asciiTheme="minorEastAsia" w:eastAsiaTheme="minorEastAsia" w:hAnsiTheme="minorEastAsia" w:hint="eastAsia"/>
          <w:sz w:val="24"/>
          <w:szCs w:val="24"/>
        </w:rPr>
        <w:t>运维服务能力管理体系的整体管理规定，适用于公司运维服务业务全过程的参与方。</w:t>
      </w:r>
    </w:p>
    <w:p>
      <w:pPr>
        <w:pStyle w:val="Title"/>
        <w:numPr>
          <w:ilvl w:val="0"/>
          <w:numId w:val="1"/>
        </w:numPr>
        <w:rPr>
          <w:rFonts w:asciiTheme="minorEastAsia" w:eastAsiaTheme="minorEastAsia" w:hAnsiTheme="minorEastAsia"/>
        </w:rPr>
      </w:pPr>
      <w:bookmarkStart w:id="10" w:name="_Toc172197724"/>
      <w:bookmarkStart w:id="11" w:name="_Toc181523448"/>
      <w:bookmarkStart w:id="12" w:name="_Toc176005233"/>
      <w:bookmarkStart w:id="13" w:name="_Toc26895"/>
      <w:bookmarkStart w:id="14" w:name="_Toc352592786"/>
      <w:bookmarkStart w:id="15" w:name="_Toc487477448"/>
      <w:bookmarkStart w:id="16" w:name="_Toc330215812"/>
      <w:bookmarkStart w:id="17" w:name="_Toc230760545"/>
      <w:bookmarkStart w:id="18" w:name="_Toc493496576"/>
      <w:bookmarkStart w:id="19" w:name="_Toc295398452"/>
      <w:r>
        <w:rPr>
          <w:rFonts w:asciiTheme="minorEastAsia" w:eastAsiaTheme="minorEastAsia" w:hAnsiTheme="minorEastAsia" w:hint="eastAsia"/>
        </w:rPr>
        <w:t>运维服务</w:t>
      </w:r>
      <w:r>
        <w:rPr>
          <w:rFonts w:asciiTheme="minorEastAsia" w:eastAsiaTheme="minorEastAsia" w:hAnsiTheme="minorEastAsia"/>
        </w:rPr>
        <w:t>组织</w:t>
      </w:r>
      <w:bookmarkEnd w:id="10"/>
      <w:bookmarkEnd w:id="11"/>
      <w:bookmarkEnd w:id="12"/>
      <w:r>
        <w:rPr>
          <w:rFonts w:asciiTheme="minorEastAsia" w:eastAsiaTheme="minorEastAsia" w:hAnsiTheme="minorEastAsia" w:hint="eastAsia"/>
        </w:rPr>
        <w:t>及职责</w:t>
      </w:r>
      <w:bookmarkEnd w:id="13"/>
      <w:bookmarkEnd w:id="14"/>
      <w:bookmarkEnd w:id="15"/>
      <w:bookmarkEnd w:id="16"/>
      <w:bookmarkEnd w:id="17"/>
      <w:bookmarkEnd w:id="18"/>
      <w:bookmarkEnd w:id="19"/>
    </w:p>
    <w:p>
      <w:pPr>
        <w:ind w:left="360"/>
        <w:rPr>
          <w:rFonts w:asciiTheme="minorEastAsia" w:eastAsiaTheme="minorEastAsia" w:hAnsiTheme="minorEastAsia"/>
          <w:sz w:val="24"/>
          <w:szCs w:val="24"/>
        </w:rPr>
      </w:pPr>
      <w:r>
        <w:rPr>
          <w:rFonts w:asciiTheme="minorEastAsia" w:eastAsiaTheme="minorEastAsia" w:hAnsiTheme="minorEastAsia" w:hint="eastAsia"/>
          <w:sz w:val="24"/>
          <w:szCs w:val="24"/>
        </w:rPr>
        <w:t>公司运维服务组织及职责见《组织架构及部门职责》。</w:t>
      </w:r>
    </w:p>
    <w:p>
      <w:pPr>
        <w:pStyle w:val="Title"/>
        <w:numPr>
          <w:ilvl w:val="0"/>
          <w:numId w:val="1"/>
        </w:numPr>
        <w:rPr>
          <w:rFonts w:asciiTheme="minorEastAsia" w:eastAsiaTheme="minorEastAsia" w:hAnsiTheme="minorEastAsia"/>
        </w:rPr>
      </w:pPr>
      <w:bookmarkStart w:id="20" w:name="_Toc352592817"/>
      <w:bookmarkStart w:id="21" w:name="_Toc330215818"/>
      <w:bookmarkStart w:id="22" w:name="_Toc487477449"/>
      <w:bookmarkStart w:id="23" w:name="_Toc28568"/>
      <w:bookmarkStart w:id="24" w:name="_Toc493496577"/>
      <w:r>
        <w:rPr>
          <w:rFonts w:asciiTheme="minorEastAsia" w:eastAsiaTheme="minorEastAsia" w:hAnsiTheme="minorEastAsia" w:hint="eastAsia"/>
        </w:rPr>
        <w:t>服务能力管理体系&amp;PDCA</w:t>
      </w:r>
      <w:bookmarkEnd w:id="20"/>
      <w:bookmarkEnd w:id="21"/>
      <w:bookmarkEnd w:id="22"/>
      <w:bookmarkEnd w:id="23"/>
      <w:bookmarkEnd w:id="24"/>
    </w:p>
    <w:p>
      <w:pPr>
        <w:pStyle w:val="20"/>
        <w:spacing w:line="360" w:lineRule="auto"/>
        <w:ind w:firstLine="420"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公司建立了</w:t>
      </w:r>
      <w:r>
        <w:rPr>
          <w:rFonts w:asciiTheme="minorEastAsia" w:eastAsiaTheme="minorEastAsia" w:hAnsiTheme="minorEastAsia" w:cs="Arial"/>
          <w:color w:val="000000"/>
          <w:kern w:val="36"/>
          <w:sz w:val="24"/>
        </w:rPr>
        <w:t>遵循Plan</w:t>
      </w:r>
      <w:r>
        <w:rPr>
          <w:rFonts w:asciiTheme="minorEastAsia" w:eastAsiaTheme="minorEastAsia" w:hAnsiTheme="minorEastAsia" w:cs="Arial" w:hint="eastAsia"/>
          <w:color w:val="000000"/>
          <w:kern w:val="36"/>
          <w:sz w:val="24"/>
        </w:rPr>
        <w:t>（策划）</w:t>
      </w:r>
      <w:r>
        <w:rPr>
          <w:rFonts w:asciiTheme="minorEastAsia" w:eastAsiaTheme="minorEastAsia" w:hAnsiTheme="minorEastAsia" w:cs="Arial"/>
          <w:color w:val="000000"/>
          <w:kern w:val="36"/>
          <w:sz w:val="24"/>
        </w:rPr>
        <w:t>-Do</w:t>
      </w:r>
      <w:r>
        <w:rPr>
          <w:rFonts w:asciiTheme="minorEastAsia" w:eastAsiaTheme="minorEastAsia" w:hAnsiTheme="minorEastAsia" w:cs="Arial" w:hint="eastAsia"/>
          <w:color w:val="000000"/>
          <w:kern w:val="36"/>
          <w:sz w:val="24"/>
        </w:rPr>
        <w:t>（实施）</w:t>
      </w:r>
      <w:r>
        <w:rPr>
          <w:rFonts w:asciiTheme="minorEastAsia" w:eastAsiaTheme="minorEastAsia" w:hAnsiTheme="minorEastAsia" w:cs="Arial"/>
          <w:color w:val="000000"/>
          <w:kern w:val="36"/>
          <w:sz w:val="24"/>
        </w:rPr>
        <w:t>-Check</w:t>
      </w:r>
      <w:r>
        <w:rPr>
          <w:rFonts w:asciiTheme="minorEastAsia" w:eastAsiaTheme="minorEastAsia" w:hAnsiTheme="minorEastAsia" w:cs="Arial" w:hint="eastAsia"/>
          <w:color w:val="000000"/>
          <w:kern w:val="36"/>
          <w:sz w:val="24"/>
        </w:rPr>
        <w:t>（检查）</w:t>
      </w:r>
      <w:r>
        <w:rPr>
          <w:rFonts w:asciiTheme="minorEastAsia" w:eastAsiaTheme="minorEastAsia" w:hAnsiTheme="minorEastAsia" w:cs="Arial"/>
          <w:color w:val="000000"/>
          <w:kern w:val="36"/>
          <w:sz w:val="24"/>
        </w:rPr>
        <w:t>-Act</w:t>
      </w:r>
      <w:r>
        <w:rPr>
          <w:rFonts w:asciiTheme="minorEastAsia" w:eastAsiaTheme="minorEastAsia" w:hAnsiTheme="minorEastAsia" w:cs="Arial" w:hint="eastAsia"/>
          <w:color w:val="000000"/>
          <w:kern w:val="36"/>
          <w:sz w:val="24"/>
        </w:rPr>
        <w:t>（改进）</w:t>
      </w:r>
      <w:r>
        <w:rPr>
          <w:rFonts w:asciiTheme="minorEastAsia" w:eastAsiaTheme="minorEastAsia" w:hAnsiTheme="minorEastAsia" w:cs="Arial"/>
          <w:color w:val="000000"/>
          <w:kern w:val="36"/>
          <w:sz w:val="24"/>
        </w:rPr>
        <w:t>模式</w:t>
      </w:r>
      <w:r>
        <w:rPr>
          <w:rFonts w:asciiTheme="minorEastAsia" w:eastAsiaTheme="minorEastAsia" w:hAnsiTheme="minorEastAsia" w:cs="Arial" w:hint="eastAsia"/>
          <w:color w:val="000000"/>
          <w:kern w:val="36"/>
          <w:sz w:val="24"/>
        </w:rPr>
        <w:t>的运维服务能力管理体系机制，并按照该机制实现体系和过程的持续改进。对运维体系进行质量控制和质量改进，能够帮助公司不断提升服务管理水平和服务提供能力，为公司带来收益。</w:t>
      </w:r>
    </w:p>
    <w:p>
      <w:pPr>
        <w:pStyle w:val="Heading2"/>
        <w:numPr>
          <w:ilvl w:val="1"/>
          <w:numId w:val="1"/>
        </w:numPr>
        <w:rPr>
          <w:rFonts w:asciiTheme="minorEastAsia" w:eastAsiaTheme="minorEastAsia" w:hAnsiTheme="minorEastAsia"/>
        </w:rPr>
      </w:pPr>
      <w:bookmarkStart w:id="25" w:name="_Toc487477450"/>
      <w:bookmarkStart w:id="26" w:name="_Toc493496578"/>
      <w:bookmarkStart w:id="27" w:name="_Toc389"/>
      <w:r>
        <w:rPr>
          <w:rFonts w:asciiTheme="minorEastAsia" w:eastAsiaTheme="minorEastAsia" w:hAnsiTheme="minorEastAsia" w:hint="eastAsia"/>
        </w:rPr>
        <w:t>策划</w:t>
      </w:r>
      <w:bookmarkEnd w:id="25"/>
      <w:bookmarkEnd w:id="26"/>
      <w:bookmarkEnd w:id="27"/>
    </w:p>
    <w:p>
      <w:pPr>
        <w:pStyle w:val="TOC2"/>
        <w:rPr>
          <w:rFonts w:asciiTheme="minorEastAsia" w:eastAsiaTheme="minorEastAsia" w:hAnsiTheme="minorEastAsia"/>
        </w:rPr>
      </w:pPr>
      <w:r>
        <w:rPr>
          <w:rFonts w:asciiTheme="minorEastAsia" w:eastAsiaTheme="minorEastAsia" w:hAnsiTheme="minorEastAsia" w:hint="eastAsia"/>
        </w:rPr>
        <w:t>组织运维服务策划活动应由运维管理部下属各部门（技术部、服务台）、人力资源部等部门共同参与制定。</w:t>
      </w:r>
    </w:p>
    <w:p>
      <w:pPr>
        <w:pStyle w:val="Heading3"/>
        <w:numPr>
          <w:ilvl w:val="2"/>
          <w:numId w:val="1"/>
        </w:numPr>
        <w:rPr>
          <w:rFonts w:asciiTheme="minorEastAsia" w:eastAsiaTheme="minorEastAsia" w:hAnsiTheme="minorEastAsia"/>
        </w:rPr>
      </w:pPr>
      <w:bookmarkStart w:id="28" w:name="_Toc16148"/>
      <w:bookmarkStart w:id="29" w:name="_Toc493496579"/>
      <w:r>
        <w:rPr>
          <w:rFonts w:asciiTheme="minorEastAsia" w:eastAsiaTheme="minorEastAsia" w:hAnsiTheme="minorEastAsia" w:hint="eastAsia"/>
        </w:rPr>
        <w:t>服务目录</w:t>
      </w:r>
      <w:bookmarkEnd w:id="28"/>
      <w:bookmarkEnd w:id="29"/>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组织应根据自身业务定位和能力，策划运行维护服务对象的服务内容与要求，并形成服务目录；</w:t>
      </w:r>
    </w:p>
    <w:p>
      <w:pPr>
        <w:pStyle w:val="20"/>
        <w:spacing w:line="360" w:lineRule="auto"/>
        <w:ind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 xml:space="preserve">a) 制定服务目录管理流程，服务目录符合企业的运维服务业务定位和能力，与公司的组织结构、人员的岗位职责、经验等相匹配； </w:t>
      </w:r>
    </w:p>
    <w:p>
      <w:pPr>
        <w:pStyle w:val="20"/>
        <w:spacing w:line="360" w:lineRule="auto"/>
        <w:ind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b) 建立服务目录的更新制度和方法，在公司组织级和项目级设置服务目录管理的岗位职责，定期对服务目录与公司业务服务对象的符合度进行评估，并对服务目录进行更新。</w:t>
      </w:r>
    </w:p>
    <w:p>
      <w:pPr>
        <w:pStyle w:val="20"/>
        <w:spacing w:line="360" w:lineRule="auto"/>
        <w:ind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服务目录管理相关制度见《运维服务目录管理规范》。</w:t>
      </w:r>
    </w:p>
    <w:p>
      <w:pPr>
        <w:pStyle w:val="Heading3"/>
        <w:numPr>
          <w:ilvl w:val="2"/>
          <w:numId w:val="1"/>
        </w:numPr>
        <w:rPr>
          <w:rFonts w:asciiTheme="minorEastAsia" w:eastAsiaTheme="minorEastAsia" w:hAnsiTheme="minorEastAsia"/>
        </w:rPr>
      </w:pPr>
      <w:bookmarkStart w:id="30" w:name="_Toc16529"/>
      <w:bookmarkStart w:id="31" w:name="_Toc493496580"/>
      <w:r>
        <w:rPr>
          <w:rFonts w:asciiTheme="minorEastAsia" w:eastAsiaTheme="minorEastAsia" w:hAnsiTheme="minorEastAsia" w:hint="eastAsia"/>
        </w:rPr>
        <w:t>运维服务组织架构和管理制度</w:t>
      </w:r>
      <w:bookmarkEnd w:id="30"/>
      <w:bookmarkEnd w:id="31"/>
    </w:p>
    <w:p>
      <w:pPr>
        <w:pStyle w:val="20"/>
        <w:spacing w:line="360" w:lineRule="auto"/>
        <w:ind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依据组织的业务发展需要来建立组织结构和管理制度，保证运维服务团队相对独立，以支持服务目录的实施或实现：</w:t>
      </w:r>
    </w:p>
    <w:p>
      <w:pPr>
        <w:pStyle w:val="20"/>
        <w:spacing w:line="360" w:lineRule="auto"/>
        <w:ind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 xml:space="preserve">a) 应定期根据组织的业务发展需要对组织架构和管理制度进行策划和完善，并根据策划结果对公司组织架构和管理制度进行优化； </w:t>
      </w:r>
    </w:p>
    <w:p>
      <w:pPr>
        <w:pStyle w:val="20"/>
        <w:spacing w:line="360" w:lineRule="auto"/>
        <w:ind w:left="200" w:firstLine="0"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 xml:space="preserve">c) 策划活动的结果要与服务目录相匹配，策划结果包括对组织级的服务目录进行修订； </w:t>
      </w:r>
    </w:p>
    <w:p>
      <w:pPr>
        <w:pStyle w:val="20"/>
        <w:spacing w:line="360" w:lineRule="auto"/>
        <w:ind w:left="200" w:firstLine="0"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d) 策划过程和根据策划对企业组织架构和管理制度的优化过程要留下记录。</w:t>
      </w:r>
    </w:p>
    <w:p>
      <w:pPr>
        <w:pStyle w:val="Heading3"/>
        <w:numPr>
          <w:ilvl w:val="2"/>
          <w:numId w:val="1"/>
        </w:numPr>
        <w:rPr>
          <w:rFonts w:asciiTheme="minorEastAsia" w:eastAsiaTheme="minorEastAsia" w:hAnsiTheme="minorEastAsia"/>
        </w:rPr>
      </w:pPr>
      <w:bookmarkStart w:id="32" w:name="_Toc4363"/>
      <w:bookmarkStart w:id="33" w:name="_Toc493496581"/>
      <w:r>
        <w:rPr>
          <w:rFonts w:asciiTheme="minorEastAsia" w:eastAsiaTheme="minorEastAsia" w:hAnsiTheme="minorEastAsia" w:hint="eastAsia"/>
        </w:rPr>
        <w:t>运维服务能力策划</w:t>
      </w:r>
      <w:bookmarkEnd w:id="32"/>
      <w:bookmarkEnd w:id="33"/>
    </w:p>
    <w:p>
      <w:pPr>
        <w:pStyle w:val="20"/>
        <w:spacing w:line="360" w:lineRule="auto"/>
        <w:ind w:firstLine="420"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组织应每年对人员、资源、技术和过程进行规划，建立相适应的指标体系和服务保障体系；</w:t>
      </w:r>
    </w:p>
    <w:p>
      <w:pPr>
        <w:pStyle w:val="20"/>
        <w:spacing w:line="360" w:lineRule="auto"/>
        <w:ind w:firstLine="420"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 xml:space="preserve">a) 组织应在每年1月制定完善的《年度运维服务能力管理计划》，计划应覆盖能力四要素相关内容； </w:t>
      </w:r>
    </w:p>
    <w:p>
      <w:pPr>
        <w:pStyle w:val="20"/>
        <w:spacing w:line="360" w:lineRule="auto"/>
        <w:ind w:firstLine="420"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 xml:space="preserve">b) 基于年度运维服务能力管理计划建立完善的运维服务能力管理指标体系，具有明确的量化指标，并定期进行考核； </w:t>
      </w:r>
    </w:p>
    <w:p>
      <w:pPr>
        <w:pStyle w:val="20"/>
        <w:spacing w:line="360" w:lineRule="auto"/>
        <w:ind w:firstLine="420"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 xml:space="preserve">c) 建立全面的运维服务保障体系，参见体系文件中各管理制度； </w:t>
      </w:r>
    </w:p>
    <w:p>
      <w:pPr>
        <w:pStyle w:val="Heading3"/>
        <w:numPr>
          <w:ilvl w:val="2"/>
          <w:numId w:val="1"/>
        </w:numPr>
        <w:rPr>
          <w:rFonts w:asciiTheme="minorEastAsia" w:eastAsiaTheme="minorEastAsia" w:hAnsiTheme="minorEastAsia"/>
        </w:rPr>
      </w:pPr>
      <w:bookmarkStart w:id="34" w:name="_Toc493496582"/>
      <w:bookmarkStart w:id="35" w:name="_Toc22137"/>
      <w:r>
        <w:rPr>
          <w:rFonts w:asciiTheme="minorEastAsia" w:eastAsiaTheme="minorEastAsia" w:hAnsiTheme="minorEastAsia" w:hint="eastAsia"/>
        </w:rPr>
        <w:t>质量管理策划</w:t>
      </w:r>
      <w:bookmarkEnd w:id="34"/>
      <w:bookmarkEnd w:id="35"/>
    </w:p>
    <w:p>
      <w:pPr>
        <w:pStyle w:val="20"/>
        <w:spacing w:line="360" w:lineRule="auto"/>
        <w:ind w:firstLine="420"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组织应策划管理、审核并改进服务质量，建立内部审核评估机制。</w:t>
      </w:r>
    </w:p>
    <w:p>
      <w:pPr>
        <w:pStyle w:val="20"/>
        <w:spacing w:line="360" w:lineRule="auto"/>
        <w:ind w:firstLine="420" w:firstLineChars="0"/>
        <w:jc w:val="left"/>
        <w:rPr>
          <w:rFonts w:asciiTheme="minorEastAsia" w:eastAsiaTheme="minorEastAsia" w:hAnsiTheme="minorEastAsia" w:cs="Arial"/>
          <w:color w:val="000000"/>
          <w:kern w:val="36"/>
          <w:sz w:val="24"/>
        </w:rPr>
      </w:pPr>
      <w:bookmarkStart w:id="36" w:name="_Toc331145136"/>
      <w:bookmarkEnd w:id="36"/>
      <w:bookmarkStart w:id="37" w:name="_Toc331145044"/>
      <w:bookmarkEnd w:id="37"/>
      <w:bookmarkStart w:id="38" w:name="_Toc331579742"/>
      <w:bookmarkEnd w:id="38"/>
      <w:bookmarkStart w:id="39" w:name="_Toc331150568"/>
      <w:bookmarkEnd w:id="39"/>
      <w:bookmarkStart w:id="40" w:name="_Toc352592819"/>
      <w:bookmarkEnd w:id="40"/>
      <w:r>
        <w:rPr>
          <w:rFonts w:asciiTheme="minorEastAsia" w:eastAsiaTheme="minorEastAsia" w:hAnsiTheme="minorEastAsia" w:cs="Arial" w:hint="eastAsia"/>
          <w:color w:val="000000"/>
          <w:kern w:val="36"/>
          <w:sz w:val="24"/>
        </w:rPr>
        <w:t xml:space="preserve">a) 建立服务质量管理体系，包括服务质量管理要求、服务质量审核机制和服务改进机制，见《运维服务质量管理制度》； </w:t>
      </w:r>
    </w:p>
    <w:p>
      <w:pPr>
        <w:pStyle w:val="20"/>
        <w:spacing w:line="360" w:lineRule="auto"/>
        <w:ind w:firstLine="420"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 xml:space="preserve">b)质量管理部负责组织运维服务质量管理工作； </w:t>
      </w:r>
    </w:p>
    <w:p>
      <w:pPr>
        <w:pStyle w:val="20"/>
        <w:spacing w:line="360" w:lineRule="auto"/>
        <w:ind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 xml:space="preserve">  c）内审应覆盖运维业务相关部门及项目层；</w:t>
      </w:r>
    </w:p>
    <w:p>
      <w:pPr>
        <w:pStyle w:val="20"/>
        <w:spacing w:line="360" w:lineRule="auto"/>
        <w:ind w:firstLine="420"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d) 组织需根据业务发展定期对服务质量管理体系优化改进。</w:t>
      </w:r>
    </w:p>
    <w:p>
      <w:pPr>
        <w:pStyle w:val="Heading2"/>
        <w:numPr>
          <w:ilvl w:val="1"/>
          <w:numId w:val="1"/>
        </w:numPr>
        <w:rPr>
          <w:rFonts w:asciiTheme="minorEastAsia" w:eastAsiaTheme="minorEastAsia" w:hAnsiTheme="minorEastAsia"/>
        </w:rPr>
      </w:pPr>
      <w:bookmarkStart w:id="41" w:name="_Toc331145045"/>
      <w:bookmarkEnd w:id="41"/>
      <w:bookmarkStart w:id="42" w:name="_Toc331150569"/>
      <w:bookmarkEnd w:id="42"/>
      <w:bookmarkStart w:id="43" w:name="_Toc331145137"/>
      <w:bookmarkEnd w:id="43"/>
      <w:bookmarkStart w:id="44" w:name="_Toc331579743"/>
      <w:bookmarkEnd w:id="44"/>
      <w:bookmarkStart w:id="45" w:name="_Toc352592820"/>
      <w:bookmarkEnd w:id="45"/>
      <w:bookmarkStart w:id="46" w:name="_Toc493496583"/>
      <w:bookmarkStart w:id="47" w:name="_Toc142"/>
      <w:bookmarkStart w:id="48" w:name="_Toc487477451"/>
      <w:r>
        <w:rPr>
          <w:rFonts w:asciiTheme="minorEastAsia" w:eastAsiaTheme="minorEastAsia" w:hAnsiTheme="minorEastAsia"/>
        </w:rPr>
        <w:t>实施</w:t>
      </w:r>
      <w:bookmarkEnd w:id="46"/>
      <w:bookmarkEnd w:id="47"/>
      <w:bookmarkEnd w:id="48"/>
    </w:p>
    <w:p>
      <w:pPr>
        <w:pStyle w:val="20"/>
        <w:spacing w:line="360" w:lineRule="auto"/>
        <w:ind w:firstLine="420"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组织应制定满足整体策划的实施计划，并按计划实施；</w:t>
      </w:r>
    </w:p>
    <w:p>
      <w:pPr>
        <w:pStyle w:val="20"/>
        <w:spacing w:line="360" w:lineRule="auto"/>
        <w:ind w:firstLine="420"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组织应建立与需方的沟通协调机制，见《客户沟通矩阵表》；</w:t>
      </w:r>
    </w:p>
    <w:p>
      <w:pPr>
        <w:pStyle w:val="20"/>
        <w:spacing w:line="360" w:lineRule="auto"/>
        <w:ind w:firstLine="420" w:firstLineChars="0"/>
        <w:jc w:val="left"/>
        <w:rPr>
          <w:rFonts w:asciiTheme="minorEastAsia" w:eastAsiaTheme="minorEastAsia" w:hAnsiTheme="minorEastAsia" w:cs="Arial"/>
          <w:i/>
          <w:color w:val="000000"/>
          <w:kern w:val="36"/>
          <w:szCs w:val="21"/>
        </w:rPr>
      </w:pPr>
      <w:r>
        <w:rPr>
          <w:rFonts w:asciiTheme="minorEastAsia" w:eastAsiaTheme="minorEastAsia" w:hAnsiTheme="minorEastAsia" w:cs="Arial" w:hint="eastAsia"/>
          <w:color w:val="000000"/>
          <w:kern w:val="36"/>
          <w:sz w:val="24"/>
        </w:rPr>
        <w:t>组织应按照服务能力要求实施管理活动并记录，确保服务能力管理和服务过程实施可追溯，服务结果可计量或可评估。组织应对实施情况及指标完成情况进行总结分析和优化改善，应考虑运维工作涵盖的各个方面，注重运维能力管理的全面发展。</w:t>
      </w:r>
    </w:p>
    <w:p>
      <w:pPr>
        <w:pStyle w:val="Heading2"/>
        <w:numPr>
          <w:ilvl w:val="1"/>
          <w:numId w:val="1"/>
        </w:numPr>
        <w:rPr>
          <w:rFonts w:asciiTheme="minorEastAsia" w:eastAsiaTheme="minorEastAsia" w:hAnsiTheme="minorEastAsia"/>
        </w:rPr>
      </w:pPr>
      <w:bookmarkStart w:id="49" w:name="_Toc30306"/>
      <w:bookmarkStart w:id="50" w:name="_Toc493496584"/>
      <w:bookmarkStart w:id="51" w:name="_Toc487477452"/>
      <w:r>
        <w:rPr>
          <w:rFonts w:asciiTheme="minorEastAsia" w:eastAsiaTheme="minorEastAsia" w:hAnsiTheme="minorEastAsia" w:hint="eastAsia"/>
        </w:rPr>
        <w:t>检查</w:t>
      </w:r>
      <w:bookmarkEnd w:id="49"/>
      <w:bookmarkEnd w:id="50"/>
      <w:bookmarkEnd w:id="51"/>
    </w:p>
    <w:p>
      <w:pPr>
        <w:pStyle w:val="20"/>
        <w:spacing w:line="360" w:lineRule="auto"/>
        <w:ind w:firstLine="420"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组织应至少每年组织一次内审和管理评审工作，评审服务过程及相关管理体系，以确保服务能力的适宜性和有效性，详见《内审管理制度》、《管理评审制度》；</w:t>
      </w:r>
    </w:p>
    <w:p>
      <w:pPr>
        <w:pStyle w:val="20"/>
        <w:spacing w:line="360" w:lineRule="auto"/>
        <w:ind w:firstLine="420"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质量管理部负责每半年一次调查需方满意度，详见《客户满意度调查制度》。</w:t>
      </w:r>
    </w:p>
    <w:p>
      <w:pPr>
        <w:pStyle w:val="20"/>
        <w:spacing w:line="360" w:lineRule="auto"/>
        <w:ind w:firstLine="420"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质量管理部负责对服务能力策划实施的结果进行统计分析，对检查结果进行分析评估。各项检查结果作为服务改进、服务管理计划和体系改进的输入项，并得到运用；</w:t>
      </w:r>
    </w:p>
    <w:p>
      <w:pPr>
        <w:pStyle w:val="20"/>
        <w:spacing w:line="360" w:lineRule="auto"/>
        <w:ind w:firstLine="420"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质量管理部负责对所有管理文档、分析报告和过程实施记录进行管理。</w:t>
      </w:r>
    </w:p>
    <w:p>
      <w:pPr>
        <w:pStyle w:val="Heading2"/>
        <w:numPr>
          <w:ilvl w:val="1"/>
          <w:numId w:val="1"/>
        </w:numPr>
        <w:rPr>
          <w:rFonts w:asciiTheme="minorEastAsia" w:eastAsiaTheme="minorEastAsia" w:hAnsiTheme="minorEastAsia"/>
        </w:rPr>
      </w:pPr>
      <w:bookmarkStart w:id="52" w:name="_Toc493496585"/>
      <w:bookmarkStart w:id="53" w:name="_Toc20252"/>
      <w:bookmarkStart w:id="54" w:name="_Toc487477453"/>
      <w:r>
        <w:rPr>
          <w:rFonts w:asciiTheme="minorEastAsia" w:eastAsiaTheme="minorEastAsia" w:hAnsiTheme="minorEastAsia" w:hint="eastAsia"/>
        </w:rPr>
        <w:t>改进</w:t>
      </w:r>
      <w:bookmarkEnd w:id="52"/>
      <w:bookmarkEnd w:id="53"/>
      <w:bookmarkEnd w:id="54"/>
    </w:p>
    <w:p>
      <w:pPr>
        <w:pStyle w:val="20"/>
        <w:spacing w:line="360" w:lineRule="auto"/>
        <w:ind w:firstLine="420"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组织应建立服务能力管理改进机制，改进工作内容如下：</w:t>
      </w:r>
    </w:p>
    <w:p>
      <w:pPr>
        <w:pStyle w:val="20"/>
        <w:numPr>
          <w:ilvl w:val="0"/>
          <w:numId w:val="2"/>
        </w:numPr>
        <w:spacing w:line="360" w:lineRule="auto"/>
        <w:ind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对检查中发现的不符合策划要求的行为进行总结分析；</w:t>
      </w:r>
    </w:p>
    <w:p>
      <w:pPr>
        <w:pStyle w:val="20"/>
        <w:numPr>
          <w:ilvl w:val="0"/>
          <w:numId w:val="2"/>
        </w:numPr>
        <w:spacing w:line="360" w:lineRule="auto"/>
        <w:ind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对未达成的指标进行调查分析；</w:t>
      </w:r>
    </w:p>
    <w:p>
      <w:pPr>
        <w:pStyle w:val="20"/>
        <w:numPr>
          <w:ilvl w:val="0"/>
          <w:numId w:val="2"/>
        </w:numPr>
        <w:spacing w:line="360" w:lineRule="auto"/>
        <w:ind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根据分析结果确定改进措施，制定服务能力改进计划。</w:t>
      </w:r>
    </w:p>
    <w:p>
      <w:pPr>
        <w:pStyle w:val="20"/>
        <w:spacing w:line="360" w:lineRule="auto"/>
        <w:ind w:firstLine="0"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对改进过程进行监控管理；宜保留所有管理文档、分析报告和过程实施记录；</w:t>
      </w:r>
    </w:p>
    <w:p>
      <w:pPr>
        <w:pStyle w:val="20"/>
        <w:spacing w:line="360" w:lineRule="auto"/>
        <w:ind w:firstLine="420"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运维服务能力管理改进结果应与服务目录、人员、工具、技术、过程的持续改进相匹配。</w:t>
      </w:r>
    </w:p>
    <w:p>
      <w:pPr>
        <w:pStyle w:val="20"/>
        <w:spacing w:line="360" w:lineRule="auto"/>
        <w:ind w:firstLine="420"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改进流程详见《运维服务质量管理制度》；</w:t>
      </w:r>
    </w:p>
    <w:p>
      <w:pPr>
        <w:pStyle w:val="Title"/>
        <w:numPr>
          <w:ilvl w:val="0"/>
          <w:numId w:val="1"/>
        </w:numPr>
        <w:rPr>
          <w:rFonts w:asciiTheme="minorEastAsia" w:eastAsiaTheme="minorEastAsia" w:hAnsiTheme="minorEastAsia"/>
        </w:rPr>
      </w:pPr>
      <w:bookmarkStart w:id="55" w:name="_Toc493496586"/>
      <w:bookmarkStart w:id="56" w:name="_Toc487477454"/>
      <w:bookmarkStart w:id="57" w:name="_Toc4856"/>
      <w:r>
        <w:rPr>
          <w:rFonts w:asciiTheme="minorEastAsia" w:eastAsiaTheme="minorEastAsia" w:hAnsiTheme="minorEastAsia" w:hint="eastAsia"/>
        </w:rPr>
        <w:t>运维服务能力四要素</w:t>
      </w:r>
      <w:bookmarkEnd w:id="55"/>
      <w:bookmarkEnd w:id="56"/>
      <w:bookmarkEnd w:id="57"/>
    </w:p>
    <w:p>
      <w:pPr>
        <w:pStyle w:val="20"/>
        <w:spacing w:line="360" w:lineRule="auto"/>
        <w:ind w:firstLine="420"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运维服务服务能力管理四要素：人员、资源、技术、过程，是保障运维交付质量的核心要素。</w:t>
      </w:r>
    </w:p>
    <w:p>
      <w:pPr>
        <w:pStyle w:val="Heading2"/>
        <w:numPr>
          <w:ilvl w:val="1"/>
          <w:numId w:val="1"/>
        </w:numPr>
        <w:rPr>
          <w:rFonts w:asciiTheme="minorEastAsia" w:eastAsiaTheme="minorEastAsia" w:hAnsiTheme="minorEastAsia"/>
        </w:rPr>
      </w:pPr>
      <w:bookmarkStart w:id="58" w:name="_Toc487477455"/>
      <w:bookmarkStart w:id="59" w:name="_Toc10040"/>
      <w:bookmarkStart w:id="60" w:name="_Toc493496587"/>
      <w:r>
        <w:rPr>
          <w:rFonts w:asciiTheme="minorEastAsia" w:eastAsiaTheme="minorEastAsia" w:hAnsiTheme="minorEastAsia" w:hint="eastAsia"/>
        </w:rPr>
        <w:t>人员</w:t>
      </w:r>
      <w:bookmarkEnd w:id="58"/>
      <w:bookmarkEnd w:id="59"/>
      <w:bookmarkEnd w:id="60"/>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组织应确保提供运行维护服务的人员具备应有的能力。为保证故障响应、解决问题和交付结果可控，供方应在人员管理、岗位结构和人员的知识、技能、经验、安全意识等方面达到应有的水平。运维人员管理由公司人力资源部负责。</w:t>
      </w:r>
    </w:p>
    <w:p>
      <w:pPr>
        <w:pStyle w:val="Heading3"/>
        <w:numPr>
          <w:ilvl w:val="2"/>
          <w:numId w:val="1"/>
        </w:numPr>
        <w:rPr>
          <w:rFonts w:asciiTheme="minorEastAsia" w:eastAsiaTheme="minorEastAsia" w:hAnsiTheme="minorEastAsia"/>
        </w:rPr>
      </w:pPr>
      <w:bookmarkStart w:id="61" w:name="_Toc11566"/>
      <w:bookmarkStart w:id="62" w:name="_Toc493496588"/>
      <w:r>
        <w:rPr>
          <w:rFonts w:asciiTheme="minorEastAsia" w:eastAsiaTheme="minorEastAsia" w:hAnsiTheme="minorEastAsia" w:hint="eastAsia"/>
        </w:rPr>
        <w:t>人员管理</w:t>
      </w:r>
      <w:bookmarkEnd w:id="61"/>
      <w:bookmarkEnd w:id="62"/>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a) 人员储备</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组织应建立与运行维护服务相关的人员储备计划和机制，确保有足够的人员，以满足与需方约定的当前和未来的运行维护服务需求。具体详见《人才储备管理制度》。</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b) 人员培训</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组织应建立与运行维护服务相关的培训体系或机制，在制定培训计划时应识别培训要求，并提供及时和有效的培训。具体详见《培训管理制度》</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c) 绩效考核</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组织应建立与运行维护服务相关的绩效考核体系或机制，并能够有效组织实施。具体详见《绩效考核管理制度》</w:t>
      </w:r>
    </w:p>
    <w:p>
      <w:pPr>
        <w:pStyle w:val="Heading3"/>
        <w:numPr>
          <w:ilvl w:val="2"/>
          <w:numId w:val="1"/>
        </w:numPr>
        <w:rPr>
          <w:rFonts w:asciiTheme="minorEastAsia" w:eastAsiaTheme="minorEastAsia" w:hAnsiTheme="minorEastAsia"/>
          <w:sz w:val="24"/>
          <w:szCs w:val="24"/>
        </w:rPr>
      </w:pPr>
      <w:bookmarkStart w:id="63" w:name="_Toc27799"/>
      <w:bookmarkStart w:id="64" w:name="_Toc493496589"/>
      <w:r>
        <w:rPr>
          <w:rFonts w:asciiTheme="minorEastAsia" w:eastAsiaTheme="minorEastAsia" w:hAnsiTheme="minorEastAsia" w:hint="eastAsia"/>
          <w:sz w:val="24"/>
          <w:szCs w:val="24"/>
        </w:rPr>
        <w:t>岗位结构</w:t>
      </w:r>
      <w:bookmarkEnd w:id="63"/>
      <w:bookmarkEnd w:id="64"/>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组织应对运行维护服务中的不同角色有明确分工和职责定义，为了保障运行维护服务交付的顺利实施。</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一个完整的运行维护服务团队应包括管理、技术支持、操作等主要岗位：</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a) 管理岗职责为：</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1) 在运行维护服务中负责管理运行维护服务；</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2) 与需方建立顺畅的沟通渠道，准确地将需方的需求传递到运行维护服务团队；</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3) 规划、检查运行维护服务的各个过程，对运行维护服务能力的策划、实施、检查、改进的</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范围、过程、信息安全和成果负责。</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b) 技术支持岗职责为：</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1) 在运行维护服务中负责技术支持，包括网络、操作系统、数据库、中间件、应用开发等；</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2) 对运行维护服务过程中的请求、事件和问题做出响应，保障信息安全并对处理结果负责。</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c) 操作岗职责为：</w:t>
      </w:r>
    </w:p>
    <w:p>
      <w:pPr>
        <w:pStyle w:val="20"/>
        <w:spacing w:line="360" w:lineRule="auto"/>
        <w:ind w:firstLine="420"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1) 在运行维护服务中负责日常操作的实施；</w:t>
      </w:r>
    </w:p>
    <w:p>
      <w:pPr>
        <w:pStyle w:val="20"/>
        <w:spacing w:line="360" w:lineRule="auto"/>
        <w:ind w:firstLine="420" w:firstLineChars="0"/>
        <w:jc w:val="left"/>
        <w:rPr>
          <w:rFonts w:asciiTheme="minorEastAsia" w:eastAsiaTheme="minorEastAsia" w:hAnsiTheme="minorEastAsia" w:cs="宋体"/>
          <w:kern w:val="0"/>
          <w:sz w:val="24"/>
        </w:rPr>
      </w:pPr>
      <w:r>
        <w:rPr>
          <w:rFonts w:asciiTheme="minorEastAsia" w:eastAsiaTheme="minorEastAsia" w:hAnsiTheme="minorEastAsia"/>
          <w:kern w:val="0"/>
          <w:sz w:val="24"/>
        </w:rPr>
        <w:t xml:space="preserve">2) </w:t>
      </w:r>
      <w:r>
        <w:rPr>
          <w:rFonts w:asciiTheme="minorEastAsia" w:eastAsiaTheme="minorEastAsia" w:hAnsiTheme="minorEastAsia" w:cs="宋体" w:hint="eastAsia"/>
          <w:kern w:val="0"/>
          <w:sz w:val="24"/>
        </w:rPr>
        <w:t>根据规范和手册，执行运行维护服务各过程，并对其执行结果负责。</w:t>
      </w:r>
    </w:p>
    <w:p>
      <w:pPr>
        <w:pStyle w:val="20"/>
        <w:spacing w:line="360" w:lineRule="auto"/>
        <w:ind w:firstLine="420"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宋体" w:hint="eastAsia"/>
          <w:kern w:val="0"/>
          <w:sz w:val="24"/>
        </w:rPr>
        <w:t>具体岗位管理详见《岗位设置方案》、《岗位职责说明书》。</w:t>
      </w:r>
    </w:p>
    <w:p>
      <w:pPr>
        <w:pStyle w:val="Heading3"/>
        <w:numPr>
          <w:ilvl w:val="2"/>
          <w:numId w:val="1"/>
        </w:numPr>
        <w:rPr>
          <w:rFonts w:asciiTheme="minorEastAsia" w:eastAsiaTheme="minorEastAsia" w:hAnsiTheme="minorEastAsia"/>
          <w:sz w:val="24"/>
          <w:szCs w:val="24"/>
        </w:rPr>
      </w:pPr>
      <w:bookmarkStart w:id="65" w:name="_Toc493496590"/>
      <w:bookmarkStart w:id="66" w:name="_Toc11825"/>
      <w:r>
        <w:rPr>
          <w:rFonts w:asciiTheme="minorEastAsia" w:eastAsiaTheme="minorEastAsia" w:hAnsiTheme="minorEastAsia" w:hint="eastAsia"/>
          <w:sz w:val="24"/>
          <w:szCs w:val="24"/>
        </w:rPr>
        <w:t>知识、技能、经验</w:t>
      </w:r>
      <w:bookmarkEnd w:id="65"/>
      <w:bookmarkEnd w:id="66"/>
    </w:p>
    <w:p>
      <w:pPr>
        <w:pStyle w:val="20"/>
        <w:spacing w:line="360" w:lineRule="auto"/>
        <w:ind w:firstLine="482"/>
        <w:jc w:val="left"/>
        <w:rPr>
          <w:rFonts w:asciiTheme="minorEastAsia" w:eastAsiaTheme="minorEastAsia" w:hAnsiTheme="minorEastAsia" w:cs="Arial"/>
          <w:b/>
          <w:color w:val="000000"/>
          <w:kern w:val="36"/>
          <w:sz w:val="24"/>
        </w:rPr>
      </w:pPr>
      <w:r>
        <w:rPr>
          <w:rFonts w:asciiTheme="minorEastAsia" w:eastAsiaTheme="minorEastAsia" w:hAnsiTheme="minorEastAsia" w:cs="Arial" w:hint="eastAsia"/>
          <w:b/>
          <w:color w:val="000000"/>
          <w:kern w:val="36"/>
          <w:sz w:val="24"/>
        </w:rPr>
        <w:t>组织应保证服务人员在学历教育基础上具备运行维护服务相关知识，包括：</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a) 基础知识</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与信息技术相关的基本知识。</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b) 专业知识</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从事运行维护服务所必备的知识，应具有较为系统的内容体系和知识范围。如网络技术人员应具备网络专业整体的内容体系和知识。</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c) 综合知识</w:t>
      </w:r>
    </w:p>
    <w:p>
      <w:pPr>
        <w:pStyle w:val="20"/>
        <w:spacing w:line="360" w:lineRule="auto"/>
        <w:ind w:firstLine="420"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与运行维护服务相关的组织和行业知识。</w:t>
      </w:r>
    </w:p>
    <w:p>
      <w:pPr>
        <w:pStyle w:val="20"/>
        <w:spacing w:line="360" w:lineRule="auto"/>
        <w:ind w:firstLine="482"/>
        <w:jc w:val="left"/>
        <w:rPr>
          <w:rFonts w:asciiTheme="minorEastAsia" w:eastAsiaTheme="minorEastAsia" w:hAnsiTheme="minorEastAsia" w:cs="Arial"/>
          <w:b/>
          <w:color w:val="000000"/>
          <w:kern w:val="36"/>
          <w:sz w:val="24"/>
        </w:rPr>
      </w:pPr>
      <w:r>
        <w:rPr>
          <w:rFonts w:asciiTheme="minorEastAsia" w:eastAsiaTheme="minorEastAsia" w:hAnsiTheme="minorEastAsia" w:cs="Arial" w:hint="eastAsia"/>
          <w:b/>
          <w:color w:val="000000"/>
          <w:kern w:val="36"/>
          <w:sz w:val="24"/>
        </w:rPr>
        <w:t>在运行维护服务过程中应关注运行维护服务人员的技能，包括：</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a) 确定运行维护服务人员在运行维护服务中所必备的能力；</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b) 要求运行维护服务人员具备从事相关运行维护服务的资格；</w:t>
      </w:r>
    </w:p>
    <w:p>
      <w:pPr>
        <w:pStyle w:val="20"/>
        <w:spacing w:line="360" w:lineRule="auto"/>
        <w:ind w:firstLine="420"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c) 特殊环境运行维护服务人员应具备相关资格。</w:t>
      </w:r>
    </w:p>
    <w:p>
      <w:pPr>
        <w:pStyle w:val="20"/>
        <w:spacing w:line="360" w:lineRule="auto"/>
        <w:ind w:firstLine="482"/>
        <w:jc w:val="left"/>
        <w:rPr>
          <w:rFonts w:asciiTheme="minorEastAsia" w:eastAsiaTheme="minorEastAsia" w:hAnsiTheme="minorEastAsia" w:cs="Arial"/>
          <w:b/>
          <w:color w:val="000000"/>
          <w:kern w:val="36"/>
          <w:sz w:val="24"/>
        </w:rPr>
      </w:pPr>
      <w:r>
        <w:rPr>
          <w:rFonts w:asciiTheme="minorEastAsia" w:eastAsiaTheme="minorEastAsia" w:hAnsiTheme="minorEastAsia" w:cs="Arial" w:hint="eastAsia"/>
          <w:b/>
          <w:color w:val="000000"/>
          <w:kern w:val="36"/>
          <w:sz w:val="24"/>
        </w:rPr>
        <w:t>在运行维护服务过程中应关注运行维护服务人员的经验，包括：</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a) 运行维护服务人员应具备所从事运行维护服务活动的经验；</w:t>
      </w:r>
    </w:p>
    <w:p>
      <w:pPr>
        <w:pStyle w:val="20"/>
        <w:spacing w:line="360" w:lineRule="auto"/>
        <w:ind w:firstLine="420"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b)具备一定的从事运行维护服务活动的经验。</w:t>
      </w:r>
    </w:p>
    <w:p>
      <w:pPr>
        <w:pStyle w:val="20"/>
        <w:spacing w:line="360" w:lineRule="auto"/>
        <w:ind w:firstLine="420"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具体详见《技能级别规范》、《岗位职责说明书》。</w:t>
      </w:r>
    </w:p>
    <w:p>
      <w:pPr>
        <w:pStyle w:val="Heading2"/>
        <w:numPr>
          <w:ilvl w:val="1"/>
          <w:numId w:val="1"/>
        </w:numPr>
        <w:rPr>
          <w:rFonts w:asciiTheme="minorEastAsia" w:eastAsiaTheme="minorEastAsia" w:hAnsiTheme="minorEastAsia"/>
        </w:rPr>
      </w:pPr>
      <w:bookmarkStart w:id="67" w:name="_Toc20180"/>
      <w:bookmarkStart w:id="68" w:name="_Toc487477456"/>
      <w:bookmarkStart w:id="69" w:name="_Toc493496591"/>
      <w:r>
        <w:rPr>
          <w:rFonts w:asciiTheme="minorEastAsia" w:eastAsiaTheme="minorEastAsia" w:hAnsiTheme="minorEastAsia" w:hint="eastAsia"/>
        </w:rPr>
        <w:t>资源</w:t>
      </w:r>
      <w:bookmarkEnd w:id="67"/>
      <w:bookmarkEnd w:id="68"/>
      <w:bookmarkEnd w:id="69"/>
    </w:p>
    <w:p>
      <w:pPr>
        <w:pStyle w:val="Heading3"/>
        <w:numPr>
          <w:ilvl w:val="2"/>
          <w:numId w:val="1"/>
        </w:numPr>
        <w:rPr>
          <w:rFonts w:asciiTheme="minorEastAsia" w:eastAsiaTheme="minorEastAsia" w:hAnsiTheme="minorEastAsia"/>
          <w:sz w:val="24"/>
          <w:szCs w:val="24"/>
        </w:rPr>
      </w:pPr>
      <w:bookmarkStart w:id="70" w:name="_Toc19909"/>
      <w:bookmarkStart w:id="71" w:name="_Toc493496592"/>
      <w:r>
        <w:rPr>
          <w:rFonts w:asciiTheme="minorEastAsia" w:eastAsiaTheme="minorEastAsia" w:hAnsiTheme="minorEastAsia" w:hint="eastAsia"/>
          <w:sz w:val="24"/>
          <w:szCs w:val="24"/>
        </w:rPr>
        <w:t>运维工具</w:t>
      </w:r>
      <w:bookmarkEnd w:id="70"/>
      <w:bookmarkEnd w:id="71"/>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运维服务团队应使用有效工具实施和管理运行维护服务，包括：监控工具和运维过程工具。运维工具的使用及管理制度应参照《运维工具应用管理制度》及工具使用手册执行。</w:t>
      </w:r>
    </w:p>
    <w:p>
      <w:pPr>
        <w:pStyle w:val="Heading3"/>
        <w:numPr>
          <w:ilvl w:val="2"/>
          <w:numId w:val="1"/>
        </w:numPr>
        <w:rPr>
          <w:rFonts w:asciiTheme="minorEastAsia" w:eastAsiaTheme="minorEastAsia" w:hAnsiTheme="minorEastAsia" w:cs="Arial"/>
          <w:color w:val="000000"/>
          <w:kern w:val="36"/>
          <w:sz w:val="24"/>
          <w:szCs w:val="24"/>
        </w:rPr>
      </w:pPr>
      <w:bookmarkStart w:id="72" w:name="_Toc493496593"/>
      <w:bookmarkStart w:id="73" w:name="_Toc15063"/>
      <w:r>
        <w:rPr>
          <w:rFonts w:asciiTheme="minorEastAsia" w:eastAsiaTheme="minorEastAsia" w:hAnsiTheme="minorEastAsia" w:hint="eastAsia"/>
          <w:sz w:val="24"/>
          <w:szCs w:val="24"/>
        </w:rPr>
        <w:t>服务台</w:t>
      </w:r>
      <w:bookmarkEnd w:id="72"/>
      <w:bookmarkEnd w:id="73"/>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运维服务团队应使用有效手段和方法受理需方的运行维护服务请求，及时跟踪服务请求的处理进展，确保实现SLA 要求，包括：</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a)</w:t>
      </w:r>
      <w:r>
        <w:rPr>
          <w:rFonts w:asciiTheme="minorEastAsia" w:eastAsiaTheme="minorEastAsia" w:hAnsiTheme="minorEastAsia" w:cs="Arial"/>
          <w:color w:val="000000"/>
          <w:kern w:val="36"/>
          <w:sz w:val="24"/>
        </w:rPr>
        <w:t xml:space="preserve"> </w:t>
      </w:r>
      <w:r>
        <w:rPr>
          <w:rFonts w:asciiTheme="minorEastAsia" w:eastAsiaTheme="minorEastAsia" w:hAnsiTheme="minorEastAsia" w:cs="Arial" w:hint="eastAsia"/>
          <w:color w:val="000000"/>
          <w:kern w:val="36"/>
          <w:sz w:val="24"/>
        </w:rPr>
        <w:t>运维总服务台作为专门的沟通渠道作为与需方的联络点；</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b) 运维管理部运维项目人员负责事件及服务请求的处理；</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c) 服务台工作内容包括事件及服务请求的接收、记录、跟踪和反馈等机制，以及日常工作的监督和考核。</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具体详见《服务台管理制度》。</w:t>
      </w:r>
    </w:p>
    <w:p>
      <w:pPr>
        <w:pStyle w:val="Heading3"/>
        <w:numPr>
          <w:ilvl w:val="2"/>
          <w:numId w:val="1"/>
        </w:numPr>
        <w:rPr>
          <w:rFonts w:asciiTheme="minorEastAsia" w:eastAsiaTheme="minorEastAsia" w:hAnsiTheme="minorEastAsia" w:cs="Arial"/>
          <w:color w:val="000000"/>
          <w:kern w:val="36"/>
          <w:sz w:val="24"/>
          <w:szCs w:val="24"/>
        </w:rPr>
      </w:pPr>
      <w:bookmarkStart w:id="74" w:name="_Toc20636"/>
      <w:bookmarkStart w:id="75" w:name="_Toc493496594"/>
      <w:r>
        <w:rPr>
          <w:rFonts w:asciiTheme="minorEastAsia" w:eastAsiaTheme="minorEastAsia" w:hAnsiTheme="minorEastAsia" w:hint="eastAsia"/>
          <w:sz w:val="24"/>
          <w:szCs w:val="24"/>
        </w:rPr>
        <w:t>备件库</w:t>
      </w:r>
      <w:bookmarkEnd w:id="74"/>
      <w:bookmarkEnd w:id="75"/>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根据目前甲方对公司运维项目的要求，公司负责发现问题，及时报告甲方，由甲方与硬件设备提供方联系，硬件设备提供方负责备件准备并进行更换。</w:t>
      </w:r>
    </w:p>
    <w:p>
      <w:pPr>
        <w:pStyle w:val="Heading3"/>
        <w:numPr>
          <w:ilvl w:val="2"/>
          <w:numId w:val="1"/>
        </w:numPr>
        <w:rPr>
          <w:rFonts w:asciiTheme="minorEastAsia" w:eastAsiaTheme="minorEastAsia" w:hAnsiTheme="minorEastAsia" w:cs="Arial"/>
          <w:color w:val="000000"/>
          <w:kern w:val="36"/>
          <w:sz w:val="24"/>
          <w:szCs w:val="24"/>
        </w:rPr>
      </w:pPr>
      <w:bookmarkStart w:id="76" w:name="_Toc26700"/>
      <w:bookmarkStart w:id="77" w:name="_Toc493496595"/>
      <w:r>
        <w:rPr>
          <w:rFonts w:asciiTheme="minorEastAsia" w:eastAsiaTheme="minorEastAsia" w:hAnsiTheme="minorEastAsia" w:hint="eastAsia"/>
          <w:sz w:val="24"/>
          <w:szCs w:val="24"/>
        </w:rPr>
        <w:t>知识库</w:t>
      </w:r>
      <w:bookmarkEnd w:id="76"/>
      <w:bookmarkEnd w:id="77"/>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组织应具备运行维护服务活动相关的知识积累，以保证在整个组织内收集、共享、重复使用所积累的知识和信息。知识库由公司系统支持部管理，知识库管理要求包括：</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a) 针对常见问题的描述、分析和解决方法建立知识库；</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b) 确保整个组织内的知识是可用的、可共享的；</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c) 选择一种合适的知识管理策略；</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d) 知识库具备知识的添加、更新和查询功能；</w:t>
      </w:r>
    </w:p>
    <w:p>
      <w:pPr>
        <w:pStyle w:val="20"/>
        <w:spacing w:line="360" w:lineRule="auto"/>
        <w:ind w:firstLine="420"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e) 针对知识管理要求制定相关管理制度，并进行知识生命周期管理。</w:t>
      </w:r>
    </w:p>
    <w:p>
      <w:pPr>
        <w:pStyle w:val="20"/>
        <w:spacing w:line="360" w:lineRule="auto"/>
        <w:ind w:firstLine="420"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具体详见《知识库管理制度》。</w:t>
      </w:r>
    </w:p>
    <w:p>
      <w:pPr>
        <w:pStyle w:val="Heading2"/>
        <w:numPr>
          <w:ilvl w:val="1"/>
          <w:numId w:val="1"/>
        </w:numPr>
        <w:rPr>
          <w:rFonts w:asciiTheme="minorEastAsia" w:eastAsiaTheme="minorEastAsia" w:hAnsiTheme="minorEastAsia" w:cs="Arial"/>
          <w:color w:val="000000"/>
          <w:kern w:val="36"/>
          <w:szCs w:val="24"/>
        </w:rPr>
      </w:pPr>
      <w:bookmarkStart w:id="78" w:name="_Toc493496596"/>
      <w:bookmarkStart w:id="79" w:name="_Toc487477457"/>
      <w:bookmarkStart w:id="80" w:name="_Toc1649"/>
      <w:r>
        <w:rPr>
          <w:rFonts w:asciiTheme="minorEastAsia" w:eastAsiaTheme="minorEastAsia" w:hAnsiTheme="minorEastAsia" w:hint="eastAsia"/>
          <w:szCs w:val="24"/>
        </w:rPr>
        <w:t>技术</w:t>
      </w:r>
      <w:bookmarkEnd w:id="78"/>
      <w:bookmarkEnd w:id="79"/>
      <w:bookmarkEnd w:id="80"/>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组织应确保具备与运行维护服务策划相适应的技术和手段。</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在运行维护服务实施过程中，可能面临各种问题（如硬件故障）、风险（如安全漏洞）以及新技术和前沿技术应用所提出的新要求，组织应根据需方要求或技术发展趋势，具备发现和解决问题、风险控制、技术储备以及研发、应用新技术和前沿技术的能力。</w:t>
      </w:r>
    </w:p>
    <w:p>
      <w:pPr>
        <w:pStyle w:val="Heading3"/>
        <w:numPr>
          <w:ilvl w:val="2"/>
          <w:numId w:val="1"/>
        </w:numPr>
        <w:rPr>
          <w:rFonts w:asciiTheme="minorEastAsia" w:eastAsiaTheme="minorEastAsia" w:hAnsiTheme="minorEastAsia" w:cs="Arial"/>
          <w:color w:val="000000"/>
          <w:kern w:val="36"/>
          <w:sz w:val="24"/>
          <w:szCs w:val="24"/>
        </w:rPr>
      </w:pPr>
      <w:bookmarkStart w:id="81" w:name="_Toc27604"/>
      <w:bookmarkStart w:id="82" w:name="_Toc493496597"/>
      <w:r>
        <w:rPr>
          <w:rFonts w:asciiTheme="minorEastAsia" w:eastAsiaTheme="minorEastAsia" w:hAnsiTheme="minorEastAsia" w:hint="eastAsia"/>
          <w:sz w:val="24"/>
          <w:szCs w:val="24"/>
        </w:rPr>
        <w:t>技术研发</w:t>
      </w:r>
      <w:bookmarkEnd w:id="81"/>
      <w:bookmarkEnd w:id="82"/>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组织应根据业务和市场分析，制定研发规划，包括新技术和前沿技术的应用、技术储备等，配备与规划相适应的研发环境及研发队伍。具体详见《技术研发管理规范》。</w:t>
      </w:r>
    </w:p>
    <w:p>
      <w:pPr>
        <w:pStyle w:val="Heading3"/>
        <w:numPr>
          <w:ilvl w:val="2"/>
          <w:numId w:val="1"/>
        </w:numPr>
        <w:rPr>
          <w:rFonts w:asciiTheme="minorEastAsia" w:eastAsiaTheme="minorEastAsia" w:hAnsiTheme="minorEastAsia" w:cs="Arial"/>
          <w:color w:val="000000"/>
          <w:kern w:val="36"/>
          <w:sz w:val="24"/>
          <w:szCs w:val="24"/>
        </w:rPr>
      </w:pPr>
      <w:bookmarkStart w:id="83" w:name="_Toc28137"/>
      <w:bookmarkStart w:id="84" w:name="_Toc493496598"/>
      <w:r>
        <w:rPr>
          <w:rFonts w:asciiTheme="minorEastAsia" w:eastAsiaTheme="minorEastAsia" w:hAnsiTheme="minorEastAsia" w:hint="eastAsia"/>
          <w:sz w:val="24"/>
          <w:szCs w:val="24"/>
        </w:rPr>
        <w:t>与发现问题相关的技术</w:t>
      </w:r>
      <w:bookmarkEnd w:id="83"/>
      <w:bookmarkEnd w:id="84"/>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与发现问题相关的技术是指供方经过采集、诊断、分析，最终定位问题和潜在风险的技术或手段。运维服务团队应具有信息采集和监控的手段，具有诊断和分析问题的方法。具体详见《发现问题与解决问题技术管理规范》。</w:t>
      </w:r>
    </w:p>
    <w:p>
      <w:pPr>
        <w:pStyle w:val="Heading3"/>
        <w:numPr>
          <w:ilvl w:val="2"/>
          <w:numId w:val="1"/>
        </w:numPr>
        <w:rPr>
          <w:rFonts w:asciiTheme="minorEastAsia" w:eastAsiaTheme="minorEastAsia" w:hAnsiTheme="minorEastAsia" w:cs="Arial"/>
          <w:color w:val="000000"/>
          <w:kern w:val="36"/>
          <w:sz w:val="24"/>
          <w:szCs w:val="24"/>
        </w:rPr>
      </w:pPr>
      <w:bookmarkStart w:id="85" w:name="_Toc493496599"/>
      <w:bookmarkStart w:id="86" w:name="_Toc15329"/>
      <w:r>
        <w:rPr>
          <w:rFonts w:asciiTheme="minorEastAsia" w:eastAsiaTheme="minorEastAsia" w:hAnsiTheme="minorEastAsia" w:hint="eastAsia"/>
          <w:sz w:val="24"/>
          <w:szCs w:val="24"/>
        </w:rPr>
        <w:t>与解决问题相关的技术</w:t>
      </w:r>
      <w:bookmarkEnd w:id="85"/>
      <w:bookmarkEnd w:id="86"/>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与解决问题相关的技术是指运维服务团队使运行维护服务对象恢复到设定要求的技术或手段。运维服务团队应在工作中收集整理解决问题的技术指标或标准、解决问题的方案或手册、测试环境、测试标准和方法。具体详见《发现问题与解决问题技术管理规范》。</w:t>
      </w:r>
    </w:p>
    <w:p>
      <w:pPr>
        <w:pStyle w:val="Heading2"/>
        <w:numPr>
          <w:ilvl w:val="1"/>
          <w:numId w:val="1"/>
        </w:numPr>
        <w:rPr>
          <w:rFonts w:asciiTheme="minorEastAsia" w:eastAsiaTheme="minorEastAsia" w:hAnsiTheme="minorEastAsia"/>
          <w:szCs w:val="24"/>
        </w:rPr>
      </w:pPr>
      <w:bookmarkStart w:id="87" w:name="_Toc21638"/>
      <w:bookmarkStart w:id="88" w:name="_Toc493496600"/>
      <w:bookmarkStart w:id="89" w:name="_Toc487477458"/>
      <w:r>
        <w:rPr>
          <w:rFonts w:asciiTheme="minorEastAsia" w:eastAsiaTheme="minorEastAsia" w:hAnsiTheme="minorEastAsia" w:hint="eastAsia"/>
          <w:szCs w:val="24"/>
        </w:rPr>
        <w:t>过程</w:t>
      </w:r>
      <w:bookmarkEnd w:id="87"/>
      <w:bookmarkEnd w:id="88"/>
      <w:bookmarkEnd w:id="89"/>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组织基于ITSS成熟度</w:t>
      </w:r>
      <w:r>
        <w:rPr>
          <w:rFonts w:asciiTheme="minorEastAsia" w:eastAsiaTheme="minorEastAsia" w:hAnsiTheme="minorEastAsia" w:cs="Arial" w:hint="eastAsia"/>
          <w:color w:val="000000"/>
          <w:kern w:val="36"/>
          <w:sz w:val="24"/>
          <w:lang w:val="en-US" w:eastAsia="zh-CN"/>
        </w:rPr>
        <w:t>四级</w:t>
      </w:r>
      <w:bookmarkStart w:id="90" w:name="_GoBack"/>
      <w:bookmarkEnd w:id="90"/>
      <w:r>
        <w:rPr>
          <w:rFonts w:asciiTheme="minorEastAsia" w:eastAsiaTheme="minorEastAsia" w:hAnsiTheme="minorEastAsia" w:cs="Arial" w:hint="eastAsia"/>
          <w:color w:val="000000"/>
          <w:kern w:val="36"/>
          <w:sz w:val="24"/>
        </w:rPr>
        <w:t>级要求建立运维过程管理体系，包括：</w:t>
      </w:r>
    </w:p>
    <w:p>
      <w:pPr>
        <w:pStyle w:val="20"/>
        <w:numPr>
          <w:ilvl w:val="0"/>
          <w:numId w:val="3"/>
        </w:numPr>
        <w:spacing w:line="360" w:lineRule="auto"/>
        <w:ind w:firstLineChars="0"/>
        <w:jc w:val="left"/>
        <w:rPr>
          <w:rFonts w:asciiTheme="minorEastAsia" w:eastAsiaTheme="minorEastAsia" w:hAnsiTheme="minorEastAsia" w:cs="Arial"/>
          <w:b/>
          <w:color w:val="000000"/>
          <w:kern w:val="36"/>
          <w:sz w:val="24"/>
        </w:rPr>
      </w:pPr>
      <w:r>
        <w:rPr>
          <w:rFonts w:asciiTheme="minorEastAsia" w:eastAsiaTheme="minorEastAsia" w:hAnsiTheme="minorEastAsia" w:cs="Arial" w:hint="eastAsia"/>
          <w:b/>
          <w:color w:val="000000"/>
          <w:kern w:val="36"/>
          <w:sz w:val="24"/>
        </w:rPr>
        <w:t>服务级别管理</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确保组织通过定义、签订和管理SLA，满足需方对服务质量的要求。组织应：</w:t>
      </w:r>
    </w:p>
    <w:p>
      <w:pPr>
        <w:pStyle w:val="20"/>
        <w:spacing w:line="360" w:lineRule="auto"/>
        <w:ind w:left="420" w:firstLine="480" w:leftChars="20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a) 建立服务目录；</w:t>
      </w:r>
    </w:p>
    <w:p>
      <w:pPr>
        <w:pStyle w:val="20"/>
        <w:spacing w:line="360" w:lineRule="auto"/>
        <w:ind w:left="420" w:firstLine="480" w:leftChars="20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b) 与需方签订SLA；</w:t>
      </w:r>
    </w:p>
    <w:p>
      <w:pPr>
        <w:pStyle w:val="20"/>
        <w:spacing w:line="360" w:lineRule="auto"/>
        <w:ind w:left="420" w:firstLine="480" w:leftChars="20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c) 根据需方的考核评估要求，建立SLA考核自评估机制，包括SLA完成情况、达成率等；</w:t>
      </w:r>
    </w:p>
    <w:p>
      <w:pPr>
        <w:pStyle w:val="20"/>
        <w:spacing w:line="360" w:lineRule="auto"/>
        <w:ind w:left="420" w:firstLine="480" w:leftChars="20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d) 在SLA评估后制定改进内容及改进措施。</w:t>
      </w:r>
    </w:p>
    <w:p>
      <w:pPr>
        <w:pStyle w:val="20"/>
        <w:spacing w:line="360" w:lineRule="auto"/>
        <w:ind w:firstLine="405" w:firstLineChars="193"/>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具体详见《服务级别管理过程》。</w:t>
      </w:r>
    </w:p>
    <w:p>
      <w:pPr>
        <w:pStyle w:val="20"/>
        <w:numPr>
          <w:ilvl w:val="0"/>
          <w:numId w:val="3"/>
        </w:numPr>
        <w:spacing w:line="360" w:lineRule="auto"/>
        <w:ind w:firstLineChars="0"/>
        <w:jc w:val="left"/>
        <w:rPr>
          <w:rFonts w:asciiTheme="minorEastAsia" w:eastAsiaTheme="minorEastAsia" w:hAnsiTheme="minorEastAsia" w:cs="Arial"/>
          <w:b/>
          <w:color w:val="000000"/>
          <w:kern w:val="36"/>
          <w:sz w:val="24"/>
        </w:rPr>
      </w:pPr>
      <w:r>
        <w:rPr>
          <w:rFonts w:asciiTheme="minorEastAsia" w:eastAsiaTheme="minorEastAsia" w:hAnsiTheme="minorEastAsia" w:cs="Arial" w:hint="eastAsia"/>
          <w:b/>
          <w:color w:val="000000"/>
          <w:kern w:val="36"/>
          <w:sz w:val="24"/>
        </w:rPr>
        <w:t>服务报告管理</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组织应通过及时、准确、可靠的报告与需方建立有效的信息沟通，为双方管理层提供决策支持。组织应建立：</w:t>
      </w:r>
    </w:p>
    <w:p>
      <w:pPr>
        <w:pStyle w:val="20"/>
        <w:spacing w:line="360" w:lineRule="auto"/>
        <w:ind w:left="420" w:firstLine="480" w:leftChars="200"/>
        <w:jc w:val="left"/>
        <w:rPr>
          <w:rFonts w:asciiTheme="minorEastAsia" w:eastAsiaTheme="minorEastAsia" w:hAnsiTheme="minorEastAsia" w:cs="Arial"/>
          <w:color w:val="000000"/>
          <w:kern w:val="36"/>
          <w:sz w:val="24"/>
        </w:rPr>
      </w:pPr>
      <w:r>
        <w:rPr>
          <w:rFonts w:asciiTheme="minorEastAsia" w:eastAsiaTheme="minorEastAsia" w:hAnsiTheme="minorEastAsia"/>
          <w:kern w:val="0"/>
          <w:sz w:val="24"/>
        </w:rPr>
        <w:t xml:space="preserve">a) </w:t>
      </w:r>
      <w:r>
        <w:rPr>
          <w:rFonts w:asciiTheme="minorEastAsia" w:eastAsiaTheme="minorEastAsia" w:hAnsiTheme="minorEastAsia" w:cs="Arial" w:hint="eastAsia"/>
          <w:color w:val="000000"/>
          <w:kern w:val="36"/>
          <w:sz w:val="24"/>
        </w:rPr>
        <w:t>与服务报告过程一致的活动，包括建立、审批、分发、归档等；</w:t>
      </w:r>
    </w:p>
    <w:p>
      <w:pPr>
        <w:pStyle w:val="20"/>
        <w:spacing w:line="360" w:lineRule="auto"/>
        <w:ind w:left="420" w:firstLine="480" w:leftChars="200"/>
        <w:jc w:val="left"/>
        <w:rPr>
          <w:rFonts w:asciiTheme="minorEastAsia" w:eastAsiaTheme="minorEastAsia" w:hAnsiTheme="minorEastAsia" w:cs="Arial"/>
          <w:color w:val="000000"/>
          <w:kern w:val="36"/>
          <w:sz w:val="24"/>
        </w:rPr>
      </w:pPr>
      <w:r>
        <w:rPr>
          <w:rFonts w:asciiTheme="minorEastAsia" w:eastAsiaTheme="minorEastAsia" w:hAnsiTheme="minorEastAsia" w:cs="Arial"/>
          <w:color w:val="000000"/>
          <w:kern w:val="36"/>
          <w:sz w:val="24"/>
        </w:rPr>
        <w:t xml:space="preserve">b) </w:t>
      </w:r>
      <w:r>
        <w:rPr>
          <w:rFonts w:asciiTheme="minorEastAsia" w:eastAsiaTheme="minorEastAsia" w:hAnsiTheme="minorEastAsia" w:cs="Arial" w:hint="eastAsia"/>
          <w:color w:val="000000"/>
          <w:kern w:val="36"/>
          <w:sz w:val="24"/>
        </w:rPr>
        <w:t>服务报告计划，包括提交方式、时间、需方接收对象等；</w:t>
      </w:r>
      <w:r>
        <w:rPr>
          <w:rFonts w:asciiTheme="minorEastAsia" w:eastAsiaTheme="minorEastAsia" w:hAnsiTheme="minorEastAsia" w:cs="Arial" w:hint="eastAsia"/>
          <w:color w:val="000000"/>
          <w:kern w:val="36"/>
          <w:sz w:val="24"/>
        </w:rPr>
        <w:tab/>
      </w:r>
    </w:p>
    <w:p>
      <w:pPr>
        <w:pStyle w:val="20"/>
        <w:spacing w:line="360" w:lineRule="auto"/>
        <w:ind w:left="420" w:firstLine="480" w:leftChars="200"/>
        <w:jc w:val="left"/>
        <w:rPr>
          <w:rFonts w:asciiTheme="minorEastAsia" w:eastAsiaTheme="minorEastAsia" w:hAnsiTheme="minorEastAsia" w:cs="Arial"/>
          <w:color w:val="000000"/>
          <w:kern w:val="36"/>
          <w:sz w:val="24"/>
        </w:rPr>
      </w:pPr>
      <w:r>
        <w:rPr>
          <w:rFonts w:asciiTheme="minorEastAsia" w:eastAsiaTheme="minorEastAsia" w:hAnsiTheme="minorEastAsia" w:cs="Arial"/>
          <w:color w:val="000000"/>
          <w:kern w:val="36"/>
          <w:sz w:val="24"/>
        </w:rPr>
        <w:t xml:space="preserve">c) </w:t>
      </w:r>
      <w:r>
        <w:rPr>
          <w:rFonts w:asciiTheme="minorEastAsia" w:eastAsiaTheme="minorEastAsia" w:hAnsiTheme="minorEastAsia" w:cs="Arial" w:hint="eastAsia"/>
          <w:color w:val="000000"/>
          <w:kern w:val="36"/>
          <w:sz w:val="24"/>
        </w:rPr>
        <w:t>服务报告模板，包括格式、提纲等。</w:t>
      </w:r>
    </w:p>
    <w:p>
      <w:pPr>
        <w:pStyle w:val="20"/>
        <w:spacing w:line="360" w:lineRule="auto"/>
        <w:ind w:firstLine="405" w:firstLineChars="193"/>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具体详见《服务报告管理过程》。</w:t>
      </w:r>
    </w:p>
    <w:p>
      <w:pPr>
        <w:pStyle w:val="20"/>
        <w:numPr>
          <w:ilvl w:val="0"/>
          <w:numId w:val="3"/>
        </w:numPr>
        <w:spacing w:line="360" w:lineRule="auto"/>
        <w:ind w:firstLineChars="0"/>
        <w:jc w:val="left"/>
        <w:rPr>
          <w:rFonts w:asciiTheme="minorEastAsia" w:eastAsiaTheme="minorEastAsia" w:hAnsiTheme="minorEastAsia" w:cs="Arial"/>
          <w:b/>
          <w:color w:val="000000"/>
          <w:kern w:val="36"/>
          <w:sz w:val="24"/>
        </w:rPr>
      </w:pPr>
      <w:r>
        <w:rPr>
          <w:rFonts w:asciiTheme="minorEastAsia" w:eastAsiaTheme="minorEastAsia" w:hAnsiTheme="minorEastAsia" w:cs="Arial" w:hint="eastAsia"/>
          <w:b/>
          <w:color w:val="000000"/>
          <w:kern w:val="36"/>
          <w:sz w:val="24"/>
        </w:rPr>
        <w:t>事件管理</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确保组织具有检测事件和服务请求、尽快解决事件和服务请求的能力。组织应根据事件和服务请求管理的过程要求建立：</w:t>
      </w:r>
    </w:p>
    <w:p>
      <w:pPr>
        <w:pStyle w:val="20"/>
        <w:spacing w:line="360" w:lineRule="auto"/>
        <w:ind w:left="420" w:firstLine="480" w:leftChars="20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a) 与事件和服务请求管理过程一致的活动，包括事件和服务请求受理、分类和初步支持、调查和诊断、解决、进展监控与跟踪、关闭等；</w:t>
      </w:r>
    </w:p>
    <w:p>
      <w:pPr>
        <w:pStyle w:val="20"/>
        <w:spacing w:line="360" w:lineRule="auto"/>
        <w:ind w:left="420" w:firstLine="480" w:leftChars="20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b) 事件和服务请求分类、分级机制；</w:t>
      </w:r>
    </w:p>
    <w:p>
      <w:pPr>
        <w:pStyle w:val="20"/>
        <w:spacing w:line="360" w:lineRule="auto"/>
        <w:ind w:left="420" w:firstLine="480" w:leftChars="20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c) 事件和服务请求升级机制；</w:t>
      </w:r>
    </w:p>
    <w:p>
      <w:pPr>
        <w:pStyle w:val="20"/>
        <w:spacing w:line="360" w:lineRule="auto"/>
        <w:ind w:left="420" w:firstLine="480" w:leftChars="20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d) 满意度调查机制；</w:t>
      </w:r>
    </w:p>
    <w:p>
      <w:pPr>
        <w:pStyle w:val="20"/>
        <w:spacing w:line="360" w:lineRule="auto"/>
        <w:ind w:left="420" w:firstLine="407" w:leftChars="200" w:firstLineChars="194"/>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e) 事件和服务请求解决评估机制。</w:t>
      </w:r>
    </w:p>
    <w:p>
      <w:pPr>
        <w:pStyle w:val="20"/>
        <w:spacing w:line="360" w:lineRule="auto"/>
        <w:ind w:firstLine="405" w:firstLineChars="193"/>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具体详见《事件管理过程》。</w:t>
      </w:r>
    </w:p>
    <w:p>
      <w:pPr>
        <w:pStyle w:val="20"/>
        <w:numPr>
          <w:ilvl w:val="0"/>
          <w:numId w:val="3"/>
        </w:numPr>
        <w:spacing w:line="360" w:lineRule="auto"/>
        <w:ind w:firstLineChars="0"/>
        <w:jc w:val="left"/>
        <w:rPr>
          <w:rFonts w:asciiTheme="minorEastAsia" w:eastAsiaTheme="minorEastAsia" w:hAnsiTheme="minorEastAsia" w:cs="Arial"/>
          <w:b/>
          <w:color w:val="000000"/>
          <w:kern w:val="36"/>
          <w:sz w:val="24"/>
        </w:rPr>
      </w:pPr>
      <w:r>
        <w:rPr>
          <w:rFonts w:asciiTheme="minorEastAsia" w:eastAsiaTheme="minorEastAsia" w:hAnsiTheme="minorEastAsia" w:cs="Arial" w:hint="eastAsia"/>
          <w:b/>
          <w:color w:val="000000"/>
          <w:kern w:val="36"/>
          <w:sz w:val="24"/>
        </w:rPr>
        <w:t>问题管理</w:t>
      </w:r>
    </w:p>
    <w:p>
      <w:pPr>
        <w:pStyle w:val="20"/>
        <w:spacing w:line="360" w:lineRule="auto"/>
        <w:ind w:left="220"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组织通过识别引起事件的原因并解决问题，预防同类事件重复发生。组织应根据问题管理的过程要求建立：</w:t>
      </w:r>
    </w:p>
    <w:p>
      <w:pPr>
        <w:pStyle w:val="20"/>
        <w:spacing w:line="360" w:lineRule="auto"/>
        <w:ind w:left="430" w:firstLine="480" w:leftChars="205"/>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a) 与问题管理过程一致的活动，包括问题建立、分类、调查和诊断、解决、关闭等；</w:t>
      </w:r>
    </w:p>
    <w:p>
      <w:pPr>
        <w:pStyle w:val="20"/>
        <w:spacing w:line="360" w:lineRule="auto"/>
        <w:ind w:left="430" w:firstLine="480" w:leftChars="205"/>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b) 问题分类管理机制，包括问题的影响范围、重要程度、紧急程度并确定优先级；</w:t>
      </w:r>
    </w:p>
    <w:p>
      <w:pPr>
        <w:pStyle w:val="20"/>
        <w:spacing w:line="360" w:lineRule="auto"/>
        <w:ind w:left="430" w:firstLine="480" w:leftChars="205"/>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c) 问题导入知识库机制；</w:t>
      </w:r>
    </w:p>
    <w:p>
      <w:pPr>
        <w:pStyle w:val="20"/>
        <w:spacing w:line="360" w:lineRule="auto"/>
        <w:ind w:left="430" w:firstLine="407" w:leftChars="205" w:firstLineChars="194"/>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d) 问题解决评估机制。</w:t>
      </w:r>
    </w:p>
    <w:p>
      <w:pPr>
        <w:pStyle w:val="20"/>
        <w:spacing w:line="360" w:lineRule="auto"/>
        <w:ind w:firstLine="405" w:firstLineChars="193"/>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具体详见《问题管理过程》。</w:t>
      </w:r>
    </w:p>
    <w:p>
      <w:pPr>
        <w:pStyle w:val="20"/>
        <w:numPr>
          <w:ilvl w:val="0"/>
          <w:numId w:val="3"/>
        </w:numPr>
        <w:spacing w:line="360" w:lineRule="auto"/>
        <w:ind w:firstLineChars="0"/>
        <w:jc w:val="left"/>
        <w:rPr>
          <w:rFonts w:asciiTheme="minorEastAsia" w:eastAsiaTheme="minorEastAsia" w:hAnsiTheme="minorEastAsia" w:cs="Arial"/>
          <w:b/>
          <w:color w:val="000000"/>
          <w:kern w:val="36"/>
          <w:sz w:val="24"/>
        </w:rPr>
      </w:pPr>
      <w:r>
        <w:rPr>
          <w:rFonts w:asciiTheme="minorEastAsia" w:eastAsiaTheme="minorEastAsia" w:hAnsiTheme="minorEastAsia" w:cs="Arial" w:hint="eastAsia"/>
          <w:b/>
          <w:color w:val="000000"/>
          <w:kern w:val="36"/>
          <w:sz w:val="24"/>
        </w:rPr>
        <w:t>配置管理</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组织维护运行维护服务对象的必要记录，并保证配置数据的可靠性和时效性，关联支持其他服务过程。组织应根据配置管理的过程要求建立：</w:t>
      </w:r>
    </w:p>
    <w:p>
      <w:pPr>
        <w:pStyle w:val="20"/>
        <w:spacing w:line="360" w:lineRule="auto"/>
        <w:ind w:left="420" w:firstLine="480" w:leftChars="20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a) 与配置管理过程一致的活动，包括识别、记录、更新和审核等；</w:t>
      </w:r>
    </w:p>
    <w:p>
      <w:pPr>
        <w:pStyle w:val="20"/>
        <w:spacing w:line="360" w:lineRule="auto"/>
        <w:ind w:left="420" w:firstLine="480" w:leftChars="20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b) 配置数据库管理机制；</w:t>
      </w:r>
    </w:p>
    <w:p>
      <w:pPr>
        <w:pStyle w:val="20"/>
        <w:spacing w:line="360" w:lineRule="auto"/>
        <w:ind w:left="420" w:firstLine="407" w:leftChars="200" w:firstLineChars="194"/>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c) 配置项审核机制。</w:t>
      </w:r>
    </w:p>
    <w:p>
      <w:pPr>
        <w:pStyle w:val="20"/>
        <w:spacing w:line="360" w:lineRule="auto"/>
        <w:ind w:firstLine="508" w:firstLineChars="242"/>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具体详见《配置管理过程》。</w:t>
      </w:r>
    </w:p>
    <w:p>
      <w:pPr>
        <w:pStyle w:val="20"/>
        <w:numPr>
          <w:ilvl w:val="0"/>
          <w:numId w:val="3"/>
        </w:numPr>
        <w:spacing w:line="360" w:lineRule="auto"/>
        <w:ind w:firstLineChars="0"/>
        <w:jc w:val="left"/>
        <w:rPr>
          <w:rFonts w:asciiTheme="minorEastAsia" w:eastAsiaTheme="minorEastAsia" w:hAnsiTheme="minorEastAsia" w:cs="Arial"/>
          <w:b/>
          <w:color w:val="000000"/>
          <w:kern w:val="36"/>
          <w:sz w:val="24"/>
        </w:rPr>
      </w:pPr>
      <w:r>
        <w:rPr>
          <w:rFonts w:asciiTheme="minorEastAsia" w:eastAsiaTheme="minorEastAsia" w:hAnsiTheme="minorEastAsia" w:cs="Arial" w:hint="eastAsia"/>
          <w:b/>
          <w:color w:val="000000"/>
          <w:kern w:val="36"/>
          <w:sz w:val="24"/>
        </w:rPr>
        <w:t>变更管理</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组织通过管理、控制变更的过程，确保变更有序实施。供方应根据变更与发布管理的过程，要求：</w:t>
      </w:r>
    </w:p>
    <w:p>
      <w:pPr>
        <w:pStyle w:val="20"/>
        <w:spacing w:line="360" w:lineRule="auto"/>
        <w:ind w:left="420" w:firstLine="480" w:leftChars="20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a) 建立与变更管理过程一致的活动，包括请求、评估、审核、规划、实施、确认和回顾等；</w:t>
      </w:r>
    </w:p>
    <w:p>
      <w:pPr>
        <w:pStyle w:val="20"/>
        <w:spacing w:line="360" w:lineRule="auto"/>
        <w:ind w:left="420" w:firstLine="480" w:leftChars="20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b) 建立变更类型和范围的管理机制；</w:t>
      </w:r>
    </w:p>
    <w:p>
      <w:pPr>
        <w:pStyle w:val="20"/>
        <w:spacing w:line="360" w:lineRule="auto"/>
        <w:ind w:left="420" w:firstLine="480" w:leftChars="20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c) 制定完整的方案；</w:t>
      </w:r>
    </w:p>
    <w:p>
      <w:pPr>
        <w:pStyle w:val="20"/>
        <w:spacing w:line="360" w:lineRule="auto"/>
        <w:ind w:left="420" w:firstLine="480" w:leftChars="20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d) 对变更完成情况进行统计分析；</w:t>
      </w:r>
    </w:p>
    <w:p>
      <w:pPr>
        <w:pStyle w:val="20"/>
        <w:spacing w:line="360" w:lineRule="auto"/>
        <w:ind w:firstLine="405" w:firstLineChars="193"/>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具体详见《变更管理过程》。</w:t>
      </w:r>
    </w:p>
    <w:p>
      <w:pPr>
        <w:pStyle w:val="20"/>
        <w:numPr>
          <w:ilvl w:val="0"/>
          <w:numId w:val="3"/>
        </w:numPr>
        <w:spacing w:line="360" w:lineRule="auto"/>
        <w:ind w:firstLineChars="0"/>
        <w:jc w:val="left"/>
        <w:rPr>
          <w:rFonts w:asciiTheme="minorEastAsia" w:eastAsiaTheme="minorEastAsia" w:hAnsiTheme="minorEastAsia" w:cs="Arial"/>
          <w:b/>
          <w:color w:val="000000"/>
          <w:kern w:val="36"/>
          <w:sz w:val="24"/>
        </w:rPr>
      </w:pPr>
      <w:r>
        <w:rPr>
          <w:rFonts w:asciiTheme="minorEastAsia" w:eastAsiaTheme="minorEastAsia" w:hAnsiTheme="minorEastAsia" w:cs="Arial" w:hint="eastAsia"/>
          <w:b/>
          <w:color w:val="000000"/>
          <w:kern w:val="36"/>
          <w:sz w:val="24"/>
        </w:rPr>
        <w:t>发布管理</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组织通过管理、控制发布的过程，确保发布有序实施。供方应根据发布管理的过程，要求：</w:t>
      </w:r>
    </w:p>
    <w:p>
      <w:pPr>
        <w:pStyle w:val="20"/>
        <w:spacing w:line="360" w:lineRule="auto"/>
        <w:ind w:left="420" w:firstLine="480" w:leftChars="20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a) 建立与发布管理过程一致的活动，包括请求、评估、审核、规划、实施、确认和回顾等；</w:t>
      </w:r>
    </w:p>
    <w:p>
      <w:pPr>
        <w:pStyle w:val="20"/>
        <w:spacing w:line="360" w:lineRule="auto"/>
        <w:ind w:left="420" w:firstLine="480" w:leftChars="20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b) 建立发布类型和范围的管理机制；</w:t>
      </w:r>
    </w:p>
    <w:p>
      <w:pPr>
        <w:pStyle w:val="20"/>
        <w:spacing w:line="360" w:lineRule="auto"/>
        <w:ind w:left="420" w:firstLine="480" w:leftChars="20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c) 制定完整的方案，包括发布计划、回退方案、发布记录等；</w:t>
      </w:r>
    </w:p>
    <w:p>
      <w:pPr>
        <w:pStyle w:val="20"/>
        <w:spacing w:line="360" w:lineRule="auto"/>
        <w:ind w:left="420" w:firstLine="480" w:leftChars="20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d) 对发布完成情况进行统计分析；</w:t>
      </w:r>
    </w:p>
    <w:p>
      <w:pPr>
        <w:pStyle w:val="20"/>
        <w:spacing w:line="360" w:lineRule="auto"/>
        <w:ind w:firstLine="405" w:firstLineChars="193"/>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具体详见《发布管理过程》。</w:t>
      </w:r>
    </w:p>
    <w:p>
      <w:pPr>
        <w:pStyle w:val="20"/>
        <w:numPr>
          <w:ilvl w:val="0"/>
          <w:numId w:val="3"/>
        </w:numPr>
        <w:spacing w:line="360" w:lineRule="auto"/>
        <w:ind w:firstLineChars="0"/>
        <w:jc w:val="left"/>
        <w:rPr>
          <w:rFonts w:asciiTheme="minorEastAsia" w:eastAsiaTheme="minorEastAsia" w:hAnsiTheme="minorEastAsia" w:cs="Arial"/>
          <w:b/>
          <w:color w:val="000000"/>
          <w:kern w:val="36"/>
          <w:sz w:val="24"/>
        </w:rPr>
      </w:pPr>
      <w:r>
        <w:rPr>
          <w:rFonts w:asciiTheme="minorEastAsia" w:eastAsiaTheme="minorEastAsia" w:hAnsiTheme="minorEastAsia" w:cs="Arial" w:hint="eastAsia"/>
          <w:b/>
          <w:color w:val="000000"/>
          <w:kern w:val="36"/>
          <w:sz w:val="24"/>
        </w:rPr>
        <w:t>信息安全管理。</w:t>
      </w:r>
    </w:p>
    <w:p>
      <w:pPr>
        <w:pStyle w:val="20"/>
        <w:spacing w:line="360" w:lineRule="auto"/>
        <w:ind w:firstLine="48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组织应建立运行维护服务过程中的信息安全管理过程，要求：</w:t>
      </w:r>
    </w:p>
    <w:p>
      <w:pPr>
        <w:pStyle w:val="20"/>
        <w:spacing w:line="360" w:lineRule="auto"/>
        <w:ind w:left="420" w:firstLine="480" w:leftChars="20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a) 符合相关法律法规的规定，满足需方对运行维护服务过程的信息安全需求和供方本身信息安全需求；</w:t>
      </w:r>
    </w:p>
    <w:p>
      <w:pPr>
        <w:pStyle w:val="20"/>
        <w:spacing w:line="360" w:lineRule="auto"/>
        <w:ind w:left="420" w:firstLine="420" w:leftChars="200"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b) 建立与信息安全管理过程一致的活动，包括识别、评估、处置和改进等。</w:t>
      </w:r>
    </w:p>
    <w:p>
      <w:pPr>
        <w:pStyle w:val="20"/>
        <w:spacing w:line="360" w:lineRule="auto"/>
        <w:ind w:firstLine="420" w:firstLineChars="0"/>
        <w:jc w:val="left"/>
        <w:rPr>
          <w:rFonts w:asciiTheme="minorEastAsia" w:eastAsiaTheme="minorEastAsia" w:hAnsiTheme="minorEastAsia" w:cs="Arial"/>
          <w:color w:val="000000"/>
          <w:kern w:val="36"/>
          <w:sz w:val="24"/>
        </w:rPr>
      </w:pPr>
      <w:r>
        <w:rPr>
          <w:rFonts w:asciiTheme="minorEastAsia" w:eastAsiaTheme="minorEastAsia" w:hAnsiTheme="minorEastAsia" w:cs="Arial" w:hint="eastAsia"/>
          <w:color w:val="000000"/>
          <w:kern w:val="36"/>
          <w:sz w:val="24"/>
        </w:rPr>
        <w:t>具体详见《信息安全管理过程》。</w:t>
      </w:r>
    </w:p>
    <w:sectPr>
      <w:footerReference w:type="default" r:id="rId9"/>
      <w:pgSz w:w="11906" w:h="16838"/>
      <w:pgMar w:top="1440" w:right="1800" w:bottom="1440" w:left="1800" w:header="851" w:footer="992" w:gutter="0"/>
      <w:pgNumType w:fmt="decimal"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宋体-PUA">
    <w:altName w:val="宋体"/>
    <w:panose1 w:val="00000000000000000000"/>
    <w:charset w:val="86"/>
    <w:family w:val="auto"/>
    <w:pitch w:val="default"/>
    <w:sig w:usb0="00000000" w:usb1="00000000" w:usb2="0000001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ind w:right="2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ind w:right="28"/>
    </w:pPr>
    <w:r>
      <w:rPr>
        <w:sz w:val="18"/>
      </w:rPr>
      <w:pict>
        <v:shapetype id="_x0000_t202" coordsize="21600,21600" o:spt="202" path="m,l,21600r21600,l21600,xe">
          <v:stroke joinstyle="miter"/>
          <v:path gradientshapeok="t" o:connecttype="rect"/>
        </v:shapetype>
        <v:shape id="_x0000_s4097" o:spid="_x0000_s2049" type="#_x0000_t202" style="height:2in;margin-left:0;margin-top:0;mso-height-relative:page;mso-position-horizontal:center;mso-position-horizontal-relative:margin;mso-width-relative:page;mso-wrap-style:none;position:absolute;width:2in;z-index:251658240" coordsize="21600,21600" filled="f" stroked="f">
          <v:stroke joinstyle="miter"/>
          <o:lock v:ext="edit" aspectratio="f"/>
          <v:textbox style="mso-fit-shape-to-text:t" inset="0,0,0,0">
            <w:txbxContent>
              <w:p>
                <w:pPr>
                  <w:pStyle w:val="Footer"/>
                  <w:rPr>
                    <w:rFonts w:eastAsia="宋体" w:hint="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w:t>
                </w:r>
                <w:r>
                  <w:rPr>
                    <w:rFonts w:hint="eastAsia"/>
                    <w:lang w:eastAsia="zh-CN"/>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jc w:val="center"/>
      <w:rPr>
        <w:sz w:val="21"/>
        <w:szCs w:val="21"/>
      </w:rPr>
    </w:pPr>
    <w:r>
      <w:rPr>
        <w:rFonts w:hint="eastAsia"/>
        <w:sz w:val="21"/>
        <w:szCs w:val="21"/>
      </w:rPr>
      <w:t>南京航之舟数字科技有限公司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il"/>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A47162"/>
    <w:multiLevelType w:val="multilevel"/>
    <w:tmpl w:val="02A4716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nsid w:val="04B54BF1"/>
    <w:multiLevelType w:val="multilevel"/>
    <w:tmpl w:val="04B54BF1"/>
    <w:lvl w:ilvl="0">
      <w:start w:val="1"/>
      <w:numFmt w:val="decimal"/>
      <w:lvlText w:val="%1）"/>
      <w:lvlJc w:val="left"/>
      <w:pPr>
        <w:ind w:left="782" w:hanging="360"/>
      </w:pPr>
      <w:rPr>
        <w:rFonts w:hint="default"/>
      </w:rPr>
    </w:lvl>
    <w:lvl w:ilvl="1">
      <w:start w:val="1"/>
      <w:numFmt w:val="lowerLetter"/>
      <w:lvlText w:val="%2)"/>
      <w:lvlJc w:val="left"/>
      <w:pPr>
        <w:ind w:left="1262" w:hanging="420"/>
      </w:pPr>
    </w:lvl>
    <w:lvl w:ilvl="2">
      <w:start w:val="1"/>
      <w:numFmt w:val="lowerRoman"/>
      <w:lvlText w:val="%3."/>
      <w:lvlJc w:val="right"/>
      <w:pPr>
        <w:ind w:left="1682" w:hanging="420"/>
      </w:pPr>
    </w:lvl>
    <w:lvl w:ilvl="3">
      <w:start w:val="1"/>
      <w:numFmt w:val="decimal"/>
      <w:lvlText w:val="%4."/>
      <w:lvlJc w:val="left"/>
      <w:pPr>
        <w:ind w:left="2102" w:hanging="420"/>
      </w:pPr>
    </w:lvl>
    <w:lvl w:ilvl="4">
      <w:start w:val="1"/>
      <w:numFmt w:val="lowerLetter"/>
      <w:lvlText w:val="%5)"/>
      <w:lvlJc w:val="left"/>
      <w:pPr>
        <w:ind w:left="2522" w:hanging="420"/>
      </w:pPr>
    </w:lvl>
    <w:lvl w:ilvl="5">
      <w:start w:val="1"/>
      <w:numFmt w:val="lowerRoman"/>
      <w:lvlText w:val="%6."/>
      <w:lvlJc w:val="right"/>
      <w:pPr>
        <w:ind w:left="2942" w:hanging="420"/>
      </w:pPr>
    </w:lvl>
    <w:lvl w:ilvl="6">
      <w:start w:val="1"/>
      <w:numFmt w:val="decimal"/>
      <w:lvlText w:val="%7."/>
      <w:lvlJc w:val="left"/>
      <w:pPr>
        <w:ind w:left="3362" w:hanging="420"/>
      </w:pPr>
    </w:lvl>
    <w:lvl w:ilvl="7">
      <w:start w:val="1"/>
      <w:numFmt w:val="lowerLetter"/>
      <w:lvlText w:val="%8)"/>
      <w:lvlJc w:val="left"/>
      <w:pPr>
        <w:ind w:left="3782" w:hanging="420"/>
      </w:pPr>
    </w:lvl>
    <w:lvl w:ilvl="8">
      <w:start w:val="1"/>
      <w:numFmt w:val="lowerRoman"/>
      <w:lvlText w:val="%9."/>
      <w:lvlJc w:val="right"/>
      <w:pPr>
        <w:ind w:left="4202" w:hanging="420"/>
      </w:pPr>
    </w:lvl>
  </w:abstractNum>
  <w:abstractNum w:abstractNumId="2">
    <w:nsid w:val="5A024F38"/>
    <w:multiLevelType w:val="multilevel"/>
    <w:tmpl w:val="5A024F38"/>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3"/>
  <w:bordersDoNotSurroundHeader/>
  <w:bordersDoNotSurroundFooter/>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semiHidden="0" w:uiPriority="0" w:qFormat="1"/>
    <w:lsdException w:name="heading 4" w:semiHidden="0" w:uiPriority="9" w:qFormat="1"/>
    <w:lsdException w:name="heading 5" w:semiHidden="0"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semiHidden="0"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uiPriority="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semiHidden="0"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semiHidden="0" w:qFormat="1"/>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semiHidden="0"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semiHidden="0" w:qFormat="1"/>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spacing w:after="200" w:line="276" w:lineRule="auto"/>
      <w:jc w:val="both"/>
    </w:pPr>
    <w:rPr>
      <w:rFonts w:ascii="Calibri" w:eastAsia="宋体" w:hAnsi="Calibri" w:cs="Times New Roman"/>
      <w:kern w:val="2"/>
      <w:sz w:val="21"/>
      <w:szCs w:val="22"/>
      <w:lang w:val="en-US" w:eastAsia="zh-CN" w:bidi="ar-SA"/>
    </w:rPr>
  </w:style>
  <w:style w:type="paragraph" w:styleId="Heading1">
    <w:name w:val="heading 1"/>
    <w:basedOn w:val="Normal"/>
    <w:next w:val="Normal"/>
    <w:link w:val="1"/>
    <w:qFormat/>
    <w:pPr>
      <w:keepNext/>
      <w:keepLines/>
      <w:spacing w:before="340" w:after="330" w:line="578" w:lineRule="auto"/>
      <w:outlineLvl w:val="0"/>
    </w:pPr>
    <w:rPr>
      <w:rFonts w:ascii="Times New Roman" w:hAnsi="Times New Roman"/>
      <w:b/>
      <w:bCs/>
      <w:kern w:val="44"/>
      <w:sz w:val="32"/>
      <w:szCs w:val="44"/>
    </w:rPr>
  </w:style>
  <w:style w:type="paragraph" w:styleId="Heading2">
    <w:name w:val="heading 2"/>
    <w:basedOn w:val="Normal"/>
    <w:next w:val="TOC2"/>
    <w:link w:val="2"/>
    <w:unhideWhenUsed/>
    <w:qFormat/>
    <w:pPr>
      <w:keepNext/>
      <w:keepLines/>
      <w:spacing w:before="120" w:after="120" w:line="416" w:lineRule="auto"/>
      <w:outlineLvl w:val="1"/>
    </w:pPr>
    <w:rPr>
      <w:rFonts w:asciiTheme="majorHAnsi" w:eastAsiaTheme="majorEastAsia" w:hAnsiTheme="majorHAnsi" w:cstheme="majorBidi"/>
      <w:b/>
      <w:bCs/>
      <w:sz w:val="24"/>
      <w:szCs w:val="32"/>
    </w:rPr>
  </w:style>
  <w:style w:type="paragraph" w:styleId="Heading3">
    <w:name w:val="heading 3"/>
    <w:basedOn w:val="Normal"/>
    <w:next w:val="Normal"/>
    <w:link w:val="3"/>
    <w:unhideWhenUsed/>
    <w:qFormat/>
    <w:pPr>
      <w:keepNext/>
      <w:keepLines/>
      <w:spacing w:before="260" w:after="260" w:line="415" w:lineRule="auto"/>
      <w:outlineLvl w:val="2"/>
    </w:pPr>
    <w:rPr>
      <w:rFonts w:ascii="Times New Roman" w:hAnsi="Times New Roman"/>
      <w:b/>
      <w:bCs/>
      <w:szCs w:val="32"/>
    </w:rPr>
  </w:style>
  <w:style w:type="paragraph" w:styleId="Heading4">
    <w:name w:val="heading 4"/>
    <w:basedOn w:val="Normal"/>
    <w:next w:val="Normal"/>
    <w:link w:val="4"/>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5"/>
    <w:uiPriority w:val="9"/>
    <w:unhideWhenUsed/>
    <w:qFormat/>
    <w:pPr>
      <w:keepNext/>
      <w:keepLines/>
      <w:spacing w:before="280" w:after="290" w:line="376" w:lineRule="auto"/>
      <w:outlineLvl w:val="4"/>
    </w:pPr>
    <w:rPr>
      <w:b/>
      <w:bCs/>
      <w:sz w:val="28"/>
      <w:szCs w:val="28"/>
    </w:rPr>
  </w:style>
  <w:style w:type="character" w:default="1" w:styleId="DefaultParagraphFont">
    <w:name w:val="Default Paragraph Font"/>
    <w:uiPriority w:val="1"/>
    <w:unhideWhenUsed/>
    <w:qFormat/>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TOC2">
    <w:name w:val="toc 2"/>
    <w:basedOn w:val="Normal"/>
    <w:next w:val="Normal"/>
    <w:uiPriority w:val="39"/>
    <w:unhideWhenUsed/>
    <w:qFormat/>
    <w:pPr>
      <w:ind w:firstLine="480" w:firstLineChars="200"/>
    </w:pPr>
    <w:rPr>
      <w:sz w:val="24"/>
      <w:szCs w:val="24"/>
    </w:rPr>
  </w:style>
  <w:style w:type="paragraph" w:styleId="DocumentMap">
    <w:name w:val="Document Map"/>
    <w:basedOn w:val="Normal"/>
    <w:link w:val="a3"/>
    <w:uiPriority w:val="99"/>
    <w:unhideWhenUsed/>
    <w:qFormat/>
    <w:rPr>
      <w:rFonts w:ascii="宋体"/>
      <w:sz w:val="18"/>
      <w:szCs w:val="18"/>
    </w:rPr>
  </w:style>
  <w:style w:type="paragraph" w:styleId="TOC3">
    <w:name w:val="toc 3"/>
    <w:basedOn w:val="Normal"/>
    <w:next w:val="Normal"/>
    <w:uiPriority w:val="39"/>
    <w:unhideWhenUsed/>
    <w:qFormat/>
    <w:pPr>
      <w:ind w:left="840" w:leftChars="400"/>
    </w:pPr>
  </w:style>
  <w:style w:type="paragraph" w:styleId="BalloonText">
    <w:name w:val="Balloon Text"/>
    <w:basedOn w:val="Normal"/>
    <w:link w:val="a2"/>
    <w:uiPriority w:val="99"/>
    <w:unhideWhenUsed/>
    <w:qFormat/>
    <w:rPr>
      <w:sz w:val="18"/>
      <w:szCs w:val="18"/>
    </w:rPr>
  </w:style>
  <w:style w:type="paragraph" w:styleId="Footer">
    <w:name w:val="footer"/>
    <w:basedOn w:val="Normal"/>
    <w:link w:val="a0"/>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style>
  <w:style w:type="paragraph" w:styleId="Title">
    <w:name w:val="Title"/>
    <w:basedOn w:val="Normal"/>
    <w:next w:val="Normal"/>
    <w:link w:val="a1"/>
    <w:uiPriority w:val="10"/>
    <w:qFormat/>
    <w:pPr>
      <w:spacing w:before="240" w:after="60"/>
      <w:jc w:val="left"/>
      <w:outlineLvl w:val="0"/>
    </w:pPr>
    <w:rPr>
      <w:rFonts w:asciiTheme="majorHAnsi" w:hAnsiTheme="majorHAnsi" w:cstheme="majorBidi"/>
      <w:b/>
      <w:bCs/>
      <w:sz w:val="28"/>
      <w:szCs w:val="32"/>
    </w:rPr>
  </w:style>
  <w:style w:type="character" w:styleId="Hyperlink">
    <w:name w:val="Hyperlink"/>
    <w:basedOn w:val="DefaultParagraphFont"/>
    <w:uiPriority w:val="99"/>
    <w:unhideWhenUsed/>
    <w:qFormat/>
    <w:rPr>
      <w:color w:val="0000FF" w:themeColor="hyperlink"/>
      <w:u w:val="single"/>
    </w:rPr>
  </w:style>
  <w:style w:type="character" w:customStyle="1" w:styleId="1">
    <w:name w:val="标题 1 字符"/>
    <w:basedOn w:val="DefaultParagraphFont"/>
    <w:link w:val="Heading1"/>
    <w:qFormat/>
    <w:rPr>
      <w:rFonts w:ascii="Times New Roman" w:eastAsia="宋体" w:hAnsi="Times New Roman" w:cs="Times New Roman"/>
      <w:b/>
      <w:bCs/>
      <w:kern w:val="44"/>
      <w:sz w:val="32"/>
      <w:szCs w:val="44"/>
    </w:rPr>
  </w:style>
  <w:style w:type="character" w:customStyle="1" w:styleId="2">
    <w:name w:val="标题 2 字符"/>
    <w:basedOn w:val="DefaultParagraphFont"/>
    <w:link w:val="Heading2"/>
    <w:qFormat/>
    <w:rPr>
      <w:rFonts w:asciiTheme="majorHAnsi" w:eastAsiaTheme="majorEastAsia" w:hAnsiTheme="majorHAnsi" w:cstheme="majorBidi"/>
      <w:b/>
      <w:bCs/>
      <w:sz w:val="24"/>
      <w:szCs w:val="32"/>
    </w:rPr>
  </w:style>
  <w:style w:type="character" w:customStyle="1" w:styleId="3">
    <w:name w:val="标题 3 字符"/>
    <w:basedOn w:val="DefaultParagraphFont"/>
    <w:link w:val="Heading3"/>
    <w:qFormat/>
    <w:rPr>
      <w:rFonts w:ascii="Times New Roman" w:eastAsia="宋体" w:hAnsi="Times New Roman" w:cs="Times New Roman"/>
      <w:b/>
      <w:bCs/>
      <w:szCs w:val="32"/>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qFormat/>
    <w:rPr>
      <w:sz w:val="18"/>
      <w:szCs w:val="18"/>
    </w:rPr>
  </w:style>
  <w:style w:type="paragraph" w:customStyle="1" w:styleId="ListParagraph">
    <w:name w:val="List Paragraph"/>
    <w:basedOn w:val="Normal"/>
    <w:uiPriority w:val="34"/>
    <w:qFormat/>
    <w:pPr>
      <w:ind w:firstLine="420" w:firstLineChars="200"/>
    </w:pPr>
  </w:style>
  <w:style w:type="character" w:customStyle="1" w:styleId="4">
    <w:name w:val="标题 4 字符"/>
    <w:basedOn w:val="DefaultParagraphFont"/>
    <w:link w:val="Heading4"/>
    <w:uiPriority w:val="9"/>
    <w:qFormat/>
    <w:rPr>
      <w:rFonts w:asciiTheme="majorHAnsi" w:eastAsiaTheme="majorEastAsia" w:hAnsiTheme="majorHAnsi" w:cstheme="majorBidi"/>
      <w:b/>
      <w:bCs/>
      <w:sz w:val="28"/>
      <w:szCs w:val="28"/>
    </w:rPr>
  </w:style>
  <w:style w:type="paragraph" w:customStyle="1" w:styleId="20">
    <w:name w:val="正文缩进2字符"/>
    <w:qFormat/>
    <w:pPr>
      <w:spacing w:after="200" w:line="300" w:lineRule="auto"/>
      <w:ind w:firstLine="200" w:firstLineChars="200"/>
      <w:jc w:val="both"/>
    </w:pPr>
    <w:rPr>
      <w:rFonts w:ascii="Times New Roman" w:eastAsia="宋体" w:hAnsi="Times New Roman" w:cs="Times New Roman"/>
      <w:kern w:val="2"/>
      <w:sz w:val="21"/>
      <w:szCs w:val="24"/>
      <w:lang w:val="en-US" w:eastAsia="zh-CN" w:bidi="ar-SA"/>
    </w:rPr>
  </w:style>
  <w:style w:type="character" w:customStyle="1" w:styleId="a1">
    <w:name w:val="标题 字符"/>
    <w:basedOn w:val="DefaultParagraphFont"/>
    <w:link w:val="Title"/>
    <w:uiPriority w:val="10"/>
    <w:qFormat/>
    <w:rPr>
      <w:rFonts w:eastAsia="宋体" w:asciiTheme="majorHAnsi" w:hAnsiTheme="majorHAnsi" w:cstheme="majorBidi"/>
      <w:b/>
      <w:bCs/>
      <w:sz w:val="28"/>
      <w:szCs w:val="32"/>
    </w:rPr>
  </w:style>
  <w:style w:type="character" w:customStyle="1" w:styleId="5">
    <w:name w:val="标题 5 字符"/>
    <w:basedOn w:val="DefaultParagraphFont"/>
    <w:link w:val="Heading5"/>
    <w:uiPriority w:val="9"/>
    <w:qFormat/>
    <w:rPr>
      <w:rFonts w:ascii="Calibri" w:eastAsia="宋体" w:hAnsi="Calibri" w:cs="Times New Roman"/>
      <w:b/>
      <w:bCs/>
      <w:sz w:val="28"/>
      <w:szCs w:val="28"/>
    </w:rPr>
  </w:style>
  <w:style w:type="paragraph" w:customStyle="1" w:styleId="Default">
    <w:name w:val="Default"/>
    <w:qFormat/>
    <w:pPr>
      <w:widowControl w:val="0"/>
      <w:autoSpaceDE w:val="0"/>
      <w:autoSpaceDN w:val="0"/>
      <w:adjustRightInd w:val="0"/>
      <w:spacing w:after="200" w:line="276" w:lineRule="auto"/>
    </w:pPr>
    <w:rPr>
      <w:rFonts w:ascii="宋体" w:eastAsia="宋体" w:hAnsiTheme="minorHAnsi" w:cs="宋体"/>
      <w:color w:val="000000"/>
      <w:kern w:val="0"/>
      <w:sz w:val="24"/>
      <w:szCs w:val="24"/>
      <w:lang w:val="en-US" w:eastAsia="zh-CN" w:bidi="ar-SA"/>
    </w:rPr>
  </w:style>
  <w:style w:type="character" w:customStyle="1" w:styleId="a2">
    <w:name w:val="批注框文本 字符"/>
    <w:basedOn w:val="DefaultParagraphFont"/>
    <w:link w:val="BalloonText"/>
    <w:uiPriority w:val="99"/>
    <w:semiHidden/>
    <w:qFormat/>
    <w:rPr>
      <w:rFonts w:ascii="Calibri" w:eastAsia="宋体" w:hAnsi="Calibri" w:cs="Times New Roman"/>
      <w:sz w:val="18"/>
      <w:szCs w:val="18"/>
    </w:rPr>
  </w:style>
  <w:style w:type="character" w:customStyle="1" w:styleId="a3">
    <w:name w:val="文档结构图 字符"/>
    <w:basedOn w:val="DefaultParagraphFont"/>
    <w:link w:val="DocumentMap"/>
    <w:uiPriority w:val="99"/>
    <w:semiHidden/>
    <w:qFormat/>
    <w:rPr>
      <w:rFonts w:ascii="宋体" w:eastAsia="宋体" w:hAnsi="Calibri" w:cs="Times New Roman"/>
      <w:sz w:val="18"/>
      <w:szCs w:val="18"/>
    </w:rPr>
  </w:style>
  <w:style w:type="paragraph" w:customStyle="1" w:styleId="Normal0">
    <w:name w:val="Normal0"/>
    <w:qFormat/>
    <w:pPr>
      <w:spacing w:after="200" w:line="276" w:lineRule="auto"/>
    </w:pPr>
    <w:rPr>
      <w:rFonts w:ascii="Times New Roman" w:eastAsia="宋体" w:hAnsi="Times New Roman" w:cs="Times New Roman"/>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header" Target="header2.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1A0E16-A33E-435E-BAD4-8C8438D08019}">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2319</Words>
  <Characters>2467</Characters>
  <Application>Microsoft Office Word</Application>
  <DocSecurity>0</DocSecurity>
  <Lines>53</Lines>
  <Paragraphs>15</Paragraphs>
  <ScaleCrop>false</ScaleCrop>
  <Company/>
  <LinksUpToDate>false</LinksUpToDate>
  <CharactersWithSpaces>2597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lichiyuan</dc:creator>
  <cp:lastModifiedBy>郝宇</cp:lastModifiedBy>
  <cp:revision>31</cp:revision>
  <dcterms:created xsi:type="dcterms:W3CDTF">2017-01-03T07:46:00Z</dcterms:created>
  <dcterms:modified xsi:type="dcterms:W3CDTF">2025-10-15T15:47:23Z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7E5C8C3C0B404B56B414E6338DF4D3AA_12</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ies>
</file>