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rPr>
          <w:rFonts w:ascii="宋体" w:hAnsi="宋体"/>
          <w:b/>
          <w:sz w:val="52"/>
        </w:rPr>
      </w:pPr>
    </w:p>
    <w:p>
      <w:pPr>
        <w:jc w:val="center"/>
        <w:rPr>
          <w:rFonts w:ascii="宋体" w:hAnsi="宋体"/>
          <w:sz w:val="52"/>
          <w:szCs w:val="52"/>
        </w:rPr>
      </w:pPr>
      <w:bookmarkStart w:id="0" w:name="OLE_LINK9"/>
      <w:bookmarkStart w:id="1" w:name="OLE_LINK1"/>
      <w:bookmarkStart w:id="2" w:name="OLE_LINK2"/>
      <w:bookmarkStart w:id="3" w:name="OLE_LINK8"/>
      <w:r>
        <w:rPr>
          <w:rFonts w:ascii="宋体" w:hAnsi="宋体" w:hint="eastAsia"/>
          <w:b/>
          <w:sz w:val="52"/>
          <w:szCs w:val="52"/>
        </w:rPr>
        <w:t>南京航之舟数字科技有限公司</w:t>
      </w:r>
    </w:p>
    <w:p>
      <w:pPr>
        <w:jc w:val="center"/>
        <w:rPr>
          <w:rFonts w:ascii="宋体" w:hAnsi="宋体"/>
        </w:rPr>
      </w:pPr>
      <w:bookmarkEnd w:id="0"/>
      <w:bookmarkEnd w:id="1"/>
      <w:bookmarkEnd w:id="2"/>
      <w:bookmarkEnd w:id="3"/>
    </w:p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</w:rPr>
        <w:t>IT运维服务人员储备制度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ind w:firstLine="1239" w:firstLineChars="590"/>
      </w:pPr>
    </w:p>
    <w:p/>
    <w:p>
      <w:pPr>
        <w:rPr>
          <w:rFonts w:ascii="Arial"/>
        </w:rPr>
      </w:pPr>
    </w:p>
    <w:p>
      <w:pPr>
        <w:rPr>
          <w:rFonts w:ascii="Arial"/>
        </w:rPr>
      </w:pPr>
    </w:p>
    <w:p>
      <w:pPr>
        <w:rPr>
          <w:rFonts w:ascii="Arial"/>
        </w:rPr>
      </w:pPr>
    </w:p>
    <w:p/>
    <w:p/>
    <w:p/>
    <w:p/>
    <w:p/>
    <w:tbl>
      <w:tblPr>
        <w:tblStyle w:val="TableNormal"/>
        <w:tblW w:w="8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W w:w="852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</w:rPr>
              <w:t>徐宏兰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史志伟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陈潮华</w:t>
            </w:r>
          </w:p>
        </w:tc>
      </w:tr>
      <w:tr>
        <w:tblPrEx>
          <w:tblW w:w="852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2025年1月1日</w:t>
            </w:r>
          </w:p>
        </w:tc>
      </w:tr>
    </w:tbl>
    <w:p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发布、修订记录</w:t>
      </w:r>
    </w:p>
    <w:tbl>
      <w:tblPr>
        <w:tblStyle w:val="TableNormal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W w:w="9288" w:type="dxa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bookmarkStart w:id="4" w:name="_Hlk493519225"/>
            <w:r>
              <w:rPr>
                <w:rFonts w:ascii="宋体" w:hAnsi="宋体" w:hint="eastAsia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批准人/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修订原因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2025.1.1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徐宏兰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/2025.1.1</w:t>
            </w:r>
          </w:p>
        </w:tc>
        <w:tc>
          <w:tcPr>
            <w:tcW w:w="145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史志伟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/2025.1.1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陈潮华</w:t>
            </w:r>
          </w:p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eastAsia="宋体" w:hAnsi="宋体" w:cs="Times New Roman" w:hint="eastAsia"/>
                <w:sz w:val="21"/>
                <w:szCs w:val="21"/>
              </w:rPr>
            </w:pPr>
            <w:r>
              <w:rPr>
                <w:rFonts w:ascii="宋体" w:hAnsi="宋体" w:cs="Times New Roman" w:hint="eastAsia"/>
                <w:sz w:val="21"/>
                <w:szCs w:val="21"/>
                <w:lang w:val="en-US" w:eastAsia="zh-CN"/>
              </w:rPr>
              <w:t>/2025.1.1</w:t>
            </w:r>
          </w:p>
        </w:tc>
        <w:tc>
          <w:tcPr>
            <w:tcW w:w="2118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eastAsia="宋体" w:hAnsi="宋体" w:cs="Times New Roman" w:hint="eastAsia"/>
                <w:sz w:val="21"/>
                <w:szCs w:val="21"/>
              </w:rPr>
              <w:t>新建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  <w:bookmarkEnd w:id="4"/>
    </w:p>
    <w:p>
      <w:pPr>
        <w:spacing w:line="276" w:lineRule="auto"/>
        <w:jc w:val="left"/>
        <w:rPr>
          <w:rFonts w:ascii="宋体" w:hAnsi="宋体"/>
          <w:b/>
          <w:bCs/>
          <w:sz w:val="36"/>
          <w:szCs w:val="36"/>
        </w:rPr>
      </w:pPr>
    </w:p>
    <w:p>
      <w:pPr>
        <w:jc w:val="left"/>
        <w:rPr>
          <w:rFonts w:cs="Times New Roman"/>
        </w:rPr>
      </w:pPr>
    </w:p>
    <w:p>
      <w:pPr>
        <w:jc w:val="center"/>
        <w:rPr>
          <w:rFonts w:ascii="黑体" w:eastAsia="黑体" w:hAnsi="黑体" w:cs="Times New Roman"/>
          <w:sz w:val="36"/>
          <w:szCs w:val="36"/>
        </w:rPr>
        <w:sectPr>
          <w:headerReference w:type="default" r:id="rId5"/>
          <w:footerReference w:type="default" r:id="rId6"/>
          <w:headerReference w:type="first" r:id="rId7"/>
          <w:footerReference w:type="first" r:id="rId8"/>
          <w:pgSz w:w="11906" w:h="16838"/>
          <w:pgMar w:top="1440" w:right="1800" w:bottom="1440" w:left="1800" w:header="851" w:footer="992" w:gutter="0"/>
          <w:pgNumType w:start="1"/>
          <w:cols w:num="1" w:space="720"/>
          <w:titlePg/>
          <w:docGrid w:type="lines" w:linePitch="326" w:charSpace="0"/>
        </w:sectPr>
      </w:pPr>
    </w:p>
    <w:p>
      <w:pPr>
        <w:pStyle w:val="TOC1"/>
      </w:pPr>
      <w:r>
        <w:rPr>
          <w:rFonts w:hint="eastAsia"/>
        </w:rPr>
        <w:t>目  录</w:t>
      </w:r>
    </w:p>
    <w:p>
      <w:pPr>
        <w:pStyle w:val="TOC1"/>
        <w:tabs>
          <w:tab w:val="clear" w:pos="8296"/>
          <w:tab w:val="right" w:leader="dot" w:pos="8306"/>
        </w:tabs>
        <w:rPr>
          <w:rStyle w:val="1Char"/>
          <w:b/>
        </w:rPr>
      </w:pPr>
      <w:r>
        <w:rPr>
          <w:rFonts w:ascii="宋体" w:hAnsi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/>
          <w:b w:val="0"/>
          <w:bCs w:val="0"/>
          <w:sz w:val="24"/>
          <w:szCs w:val="24"/>
        </w:rPr>
        <w:instrText xml:space="preserve"> TOC \o "1-3" \h \z \u </w:instrText>
      </w:r>
      <w:r>
        <w:rPr>
          <w:rFonts w:ascii="宋体" w:hAnsi="宋体"/>
          <w:b w:val="0"/>
          <w:bCs w:val="0"/>
          <w:sz w:val="24"/>
          <w:szCs w:val="24"/>
        </w:rPr>
        <w:fldChar w:fldCharType="separate"/>
      </w:r>
      <w:r>
        <w:rPr>
          <w:rStyle w:val="1Char"/>
          <w:b/>
        </w:rPr>
        <w:fldChar w:fldCharType="begin"/>
      </w:r>
      <w:r>
        <w:rPr>
          <w:rStyle w:val="1Char"/>
          <w:b/>
        </w:rPr>
        <w:instrText xml:space="preserve"> HYPERLINK \l _Toc17740 </w:instrText>
      </w:r>
      <w:r>
        <w:rPr>
          <w:rStyle w:val="1Char"/>
          <w:b/>
        </w:rPr>
        <w:fldChar w:fldCharType="separate"/>
      </w:r>
      <w:r>
        <w:rPr>
          <w:rStyle w:val="1Char"/>
          <w:rFonts w:hint="eastAsia"/>
          <w:b/>
        </w:rPr>
        <w:t>第一条 前言</w:t>
      </w:r>
      <w:r>
        <w:rPr>
          <w:rStyle w:val="1Char"/>
          <w:b/>
        </w:rPr>
        <w:tab/>
      </w:r>
      <w:r>
        <w:rPr>
          <w:rStyle w:val="1Char"/>
          <w:b/>
        </w:rPr>
        <w:fldChar w:fldCharType="begin"/>
      </w:r>
      <w:r>
        <w:rPr>
          <w:rStyle w:val="1Char"/>
          <w:b/>
        </w:rPr>
        <w:instrText xml:space="preserve"> PAGEREF _Toc17740 \h </w:instrText>
      </w:r>
      <w:r>
        <w:rPr>
          <w:rStyle w:val="1Char"/>
          <w:b/>
        </w:rPr>
        <w:fldChar w:fldCharType="separate"/>
      </w:r>
      <w:r>
        <w:rPr>
          <w:rStyle w:val="1Char"/>
          <w:b/>
        </w:rPr>
        <w:t>1</w:t>
      </w:r>
      <w:r>
        <w:rPr>
          <w:rStyle w:val="1Char"/>
          <w:b/>
        </w:rPr>
        <w:fldChar w:fldCharType="end"/>
      </w:r>
      <w:r>
        <w:rPr>
          <w:rStyle w:val="1Char"/>
          <w:b/>
        </w:rPr>
        <w:fldChar w:fldCharType="end"/>
      </w:r>
    </w:p>
    <w:p>
      <w:pPr>
        <w:pStyle w:val="TOC1"/>
        <w:bidi w:val="0"/>
      </w:pPr>
      <w:r>
        <w:fldChar w:fldCharType="begin"/>
      </w:r>
      <w:r>
        <w:instrText xml:space="preserve"> HYPERLINK \l _Toc15005 </w:instrText>
      </w:r>
      <w:r>
        <w:fldChar w:fldCharType="separate"/>
      </w:r>
      <w:r>
        <w:rPr>
          <w:rFonts w:hint="eastAsia"/>
        </w:rPr>
        <w:t>第二条</w:t>
      </w:r>
      <w:r>
        <w:t xml:space="preserve"> </w:t>
      </w:r>
      <w:r>
        <w:rPr>
          <w:rFonts w:hint="eastAsia"/>
        </w:rPr>
        <w:t>目标</w:t>
      </w:r>
      <w:r>
        <w:tab/>
      </w:r>
      <w:r>
        <w:fldChar w:fldCharType="begin"/>
      </w:r>
      <w:r>
        <w:instrText xml:space="preserve"> PAGEREF _Toc15005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bidi w:val="0"/>
      </w:pPr>
      <w:r>
        <w:fldChar w:fldCharType="begin"/>
      </w:r>
      <w:r>
        <w:instrText xml:space="preserve"> HYPERLINK \l _Toc4269 </w:instrText>
      </w:r>
      <w:r>
        <w:fldChar w:fldCharType="separate"/>
      </w:r>
      <w:r>
        <w:rPr>
          <w:rFonts w:hint="eastAsia"/>
        </w:rPr>
        <w:t>第三条适用范围</w:t>
      </w:r>
      <w:r>
        <w:tab/>
      </w:r>
      <w:r>
        <w:fldChar w:fldCharType="begin"/>
      </w:r>
      <w:r>
        <w:instrText xml:space="preserve"> PAGEREF _Toc4269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bidi w:val="0"/>
      </w:pPr>
      <w:r>
        <w:fldChar w:fldCharType="begin"/>
      </w:r>
      <w:r>
        <w:instrText xml:space="preserve"> HYPERLINK \l _Toc21153 </w:instrText>
      </w:r>
      <w:r>
        <w:fldChar w:fldCharType="separate"/>
      </w:r>
      <w:r>
        <w:rPr>
          <w:rFonts w:hint="eastAsia"/>
        </w:rPr>
        <w:t>第四条</w:t>
      </w:r>
      <w:r>
        <w:t xml:space="preserve">  </w:t>
      </w:r>
      <w:r>
        <w:rPr>
          <w:rFonts w:hint="eastAsia"/>
        </w:rPr>
        <w:t>权责分工</w:t>
      </w:r>
      <w:r>
        <w:tab/>
      </w:r>
      <w:r>
        <w:fldChar w:fldCharType="begin"/>
      </w:r>
      <w:r>
        <w:instrText xml:space="preserve"> PAGEREF _Toc21153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_Toc19911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 w:hint="eastAsia"/>
          <w:bCs w:val="0"/>
          <w:szCs w:val="28"/>
        </w:rPr>
        <w:t>人力资源部</w:t>
      </w:r>
      <w:r>
        <w:tab/>
      </w:r>
      <w:r>
        <w:fldChar w:fldCharType="begin"/>
      </w:r>
      <w:r>
        <w:instrText xml:space="preserve"> PAGEREF _Toc19911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1"/>
        <w:bidi w:val="0"/>
      </w:pPr>
      <w:r>
        <w:fldChar w:fldCharType="begin"/>
      </w:r>
      <w:r>
        <w:instrText xml:space="preserve"> HYPERLINK \l _Toc12543 </w:instrText>
      </w:r>
      <w:r>
        <w:fldChar w:fldCharType="separate"/>
      </w:r>
      <w:r>
        <w:rPr>
          <w:rFonts w:hint="eastAsia"/>
        </w:rPr>
        <w:t>第五条</w:t>
      </w:r>
      <w:r>
        <w:t xml:space="preserve"> </w:t>
      </w:r>
      <w:r>
        <w:rPr>
          <w:rFonts w:hint="eastAsia"/>
        </w:rPr>
        <w:t>储备制度建立</w:t>
      </w:r>
      <w:r>
        <w:tab/>
      </w:r>
      <w:r>
        <w:fldChar w:fldCharType="begin"/>
      </w:r>
      <w:r>
        <w:instrText xml:space="preserve"> PAGEREF _Toc12543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_Toc586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5.1</w:t>
      </w:r>
      <w:r>
        <w:rPr>
          <w:rFonts w:ascii="宋体" w:hAnsi="宋体" w:cs="宋体" w:hint="eastAsia"/>
          <w:bCs w:val="0"/>
        </w:rPr>
        <w:t>分析需储备人员</w:t>
      </w:r>
      <w:r>
        <w:tab/>
      </w:r>
      <w:r>
        <w:fldChar w:fldCharType="begin"/>
      </w:r>
      <w:r>
        <w:instrText xml:space="preserve"> PAGEREF _Toc586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_Toc29375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5.2</w:t>
      </w:r>
      <w:r>
        <w:rPr>
          <w:rFonts w:ascii="宋体" w:hAnsi="宋体" w:cs="宋体" w:hint="eastAsia"/>
          <w:bCs w:val="0"/>
        </w:rPr>
        <w:t>建立人员需求库</w:t>
      </w:r>
      <w:r>
        <w:tab/>
      </w:r>
      <w:r>
        <w:fldChar w:fldCharType="begin"/>
      </w:r>
      <w:r>
        <w:instrText xml:space="preserve"> PAGEREF _Toc29375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_Toc13522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5.3</w:t>
      </w:r>
      <w:r>
        <w:rPr>
          <w:rFonts w:ascii="宋体" w:hAnsi="宋体" w:cs="宋体" w:hint="eastAsia"/>
          <w:bCs w:val="0"/>
        </w:rPr>
        <w:t>确定储备人员</w:t>
      </w:r>
      <w:r>
        <w:tab/>
      </w:r>
      <w:r>
        <w:fldChar w:fldCharType="begin"/>
      </w:r>
      <w:r>
        <w:instrText xml:space="preserve"> PAGEREF _Toc13522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_Toc13049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5.4</w:t>
      </w:r>
      <w:r>
        <w:rPr>
          <w:rFonts w:ascii="宋体" w:hAnsi="宋体" w:cs="宋体" w:hint="eastAsia"/>
          <w:bCs w:val="0"/>
        </w:rPr>
        <w:t>储备人员来源</w:t>
      </w:r>
      <w:bookmarkStart w:id="5" w:name="_GoBack"/>
      <w:bookmarkEnd w:id="5"/>
      <w:r>
        <w:tab/>
      </w:r>
      <w:r>
        <w:fldChar w:fldCharType="begin"/>
      </w:r>
      <w:r>
        <w:instrText xml:space="preserve"> PAGEREF _Toc13049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3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_Toc12113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szCs w:val="24"/>
        </w:rPr>
        <w:t>5.4.1</w:t>
      </w:r>
      <w:r>
        <w:rPr>
          <w:rFonts w:ascii="宋体" w:hAnsi="宋体" w:cs="宋体" w:hint="eastAsia"/>
          <w:szCs w:val="24"/>
        </w:rPr>
        <w:t>外部招聘</w:t>
      </w:r>
      <w:r>
        <w:tab/>
      </w:r>
      <w:r>
        <w:fldChar w:fldCharType="begin"/>
      </w:r>
      <w:r>
        <w:instrText xml:space="preserve"> PAGEREF _Toc12113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3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_Toc18957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szCs w:val="24"/>
        </w:rPr>
        <w:t>5.4.2</w:t>
      </w:r>
      <w:r>
        <w:rPr>
          <w:rFonts w:ascii="宋体" w:hAnsi="宋体" w:cs="宋体" w:hint="eastAsia"/>
          <w:szCs w:val="24"/>
        </w:rPr>
        <w:t>内部储备</w:t>
      </w:r>
      <w:r>
        <w:tab/>
      </w:r>
      <w:r>
        <w:fldChar w:fldCharType="begin"/>
      </w:r>
      <w:r>
        <w:instrText xml:space="preserve"> PAGEREF _Toc18957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1"/>
        <w:bidi w:val="0"/>
      </w:pPr>
      <w:r>
        <w:fldChar w:fldCharType="begin"/>
      </w:r>
      <w:r>
        <w:instrText xml:space="preserve"> HYPERLINK \l _Toc11779 </w:instrText>
      </w:r>
      <w:r>
        <w:fldChar w:fldCharType="separate"/>
      </w:r>
      <w:r>
        <w:rPr>
          <w:rFonts w:hint="eastAsia"/>
        </w:rPr>
        <w:t>第六条</w:t>
      </w:r>
      <w:r>
        <w:t xml:space="preserve"> </w:t>
      </w:r>
      <w:r>
        <w:rPr>
          <w:rFonts w:hint="eastAsia"/>
        </w:rPr>
        <w:t>建立人才培养、用人，留人制度</w:t>
      </w:r>
      <w:r>
        <w:tab/>
      </w:r>
      <w:r>
        <w:fldChar w:fldCharType="begin"/>
      </w:r>
      <w:r>
        <w:instrText xml:space="preserve"> PAGEREF _Toc11779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_Toc31571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6.1</w:t>
      </w:r>
      <w:r>
        <w:rPr>
          <w:rFonts w:ascii="宋体" w:hAnsi="宋体" w:cs="宋体" w:hint="eastAsia"/>
          <w:bCs w:val="0"/>
        </w:rPr>
        <w:t>在企业内部建立实习生实训基地</w:t>
      </w:r>
      <w:r>
        <w:tab/>
      </w:r>
      <w:r>
        <w:fldChar w:fldCharType="begin"/>
      </w:r>
      <w:r>
        <w:instrText xml:space="preserve"> PAGEREF _Toc31571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_Toc9914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6.2</w:t>
      </w:r>
      <w:r>
        <w:rPr>
          <w:rFonts w:ascii="宋体" w:hAnsi="宋体" w:cs="宋体" w:hint="eastAsia"/>
          <w:bCs w:val="0"/>
        </w:rPr>
        <w:t>内部晋升，疏通上升通道</w:t>
      </w:r>
      <w:r>
        <w:tab/>
      </w:r>
      <w:r>
        <w:fldChar w:fldCharType="begin"/>
      </w:r>
      <w:r>
        <w:instrText xml:space="preserve"> PAGEREF _Toc9914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_Toc11695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6.3</w:t>
      </w:r>
      <w:r>
        <w:rPr>
          <w:rFonts w:ascii="宋体" w:hAnsi="宋体" w:cs="宋体" w:hint="eastAsia"/>
          <w:bCs w:val="0"/>
        </w:rPr>
        <w:t>与各大院校建立长期的合作关系</w:t>
      </w:r>
      <w:r>
        <w:tab/>
      </w:r>
      <w:r>
        <w:fldChar w:fldCharType="begin"/>
      </w:r>
      <w:r>
        <w:instrText xml:space="preserve"> PAGEREF _Toc11695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宋体" w:hAnsi="宋体"/>
          <w:bCs w:val="0"/>
          <w:szCs w:val="24"/>
        </w:rPr>
        <w:fldChar w:fldCharType="begin"/>
      </w:r>
      <w:r>
        <w:rPr>
          <w:rFonts w:ascii="宋体" w:hAnsi="宋体"/>
          <w:bCs w:val="0"/>
          <w:szCs w:val="24"/>
        </w:rPr>
        <w:instrText xml:space="preserve"> HYPERLINK \l _Toc29631 </w:instrText>
      </w:r>
      <w:r>
        <w:rPr>
          <w:rFonts w:ascii="宋体" w:hAnsi="宋体"/>
          <w:bCs w:val="0"/>
          <w:szCs w:val="24"/>
        </w:rPr>
        <w:fldChar w:fldCharType="separate"/>
      </w:r>
      <w:r>
        <w:rPr>
          <w:rFonts w:ascii="宋体" w:hAnsi="宋体" w:cs="宋体"/>
          <w:bCs w:val="0"/>
        </w:rPr>
        <w:t>6.4</w:t>
      </w:r>
      <w:r>
        <w:rPr>
          <w:rFonts w:ascii="宋体" w:hAnsi="宋体" w:cs="宋体" w:hint="eastAsia"/>
          <w:bCs w:val="0"/>
        </w:rPr>
        <w:t>与培训机构建立长期的合作关系</w:t>
      </w:r>
      <w:r>
        <w:tab/>
      </w:r>
      <w:r>
        <w:fldChar w:fldCharType="begin"/>
      </w:r>
      <w:r>
        <w:instrText xml:space="preserve"> PAGEREF _Toc29631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bCs w:val="0"/>
          <w:szCs w:val="24"/>
        </w:rPr>
        <w:fldChar w:fldCharType="end"/>
      </w:r>
    </w:p>
    <w:p>
      <w:pPr>
        <w:spacing w:before="94" w:beforeLines="30" w:after="94" w:afterLines="30"/>
        <w:jc w:val="center"/>
        <w:rPr>
          <w:rFonts w:ascii="宋体" w:hAnsi="宋体" w:cs="Times New Roman"/>
          <w:sz w:val="24"/>
          <w:szCs w:val="24"/>
        </w:rPr>
      </w:pPr>
      <w:r>
        <w:rPr>
          <w:rFonts w:ascii="宋体" w:hAnsi="宋体"/>
          <w:bCs w:val="0"/>
          <w:szCs w:val="24"/>
        </w:rPr>
        <w:fldChar w:fldCharType="end"/>
      </w:r>
    </w:p>
    <w:p>
      <w:pPr>
        <w:pStyle w:val="Heading1"/>
        <w:autoSpaceDE w:val="0"/>
        <w:autoSpaceDN w:val="0"/>
        <w:adjustRightInd w:val="0"/>
        <w:spacing w:line="360" w:lineRule="auto"/>
        <w:rPr>
          <w:rFonts w:ascii="宋体" w:hAnsi="宋体" w:cs="宋体" w:hint="eastAsia"/>
          <w:sz w:val="32"/>
          <w:szCs w:val="32"/>
        </w:rPr>
        <w:sectPr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num="1" w:space="425"/>
          <w:docGrid w:type="lines" w:linePitch="312" w:charSpace="0"/>
        </w:sectPr>
      </w:pPr>
    </w:p>
    <w:p>
      <w:pPr>
        <w:pStyle w:val="Heading1"/>
        <w:autoSpaceDE w:val="0"/>
        <w:autoSpaceDN w:val="0"/>
        <w:adjustRightInd w:val="0"/>
        <w:spacing w:line="360" w:lineRule="auto"/>
        <w:rPr>
          <w:rFonts w:ascii="宋体" w:hAnsi="宋体" w:cs="宋体"/>
          <w:sz w:val="24"/>
          <w:szCs w:val="24"/>
        </w:rPr>
      </w:pPr>
      <w:bookmarkStart w:id="6" w:name="_Toc17740"/>
      <w:r>
        <w:rPr>
          <w:rFonts w:ascii="宋体" w:hAnsi="宋体" w:cs="宋体" w:hint="eastAsia"/>
          <w:sz w:val="24"/>
          <w:szCs w:val="24"/>
        </w:rPr>
        <w:t>第一条 前言</w:t>
      </w:r>
      <w:bookmarkEnd w:id="6"/>
    </w:p>
    <w:p>
      <w:pPr>
        <w:spacing w:line="360" w:lineRule="auto"/>
        <w:ind w:firstLine="420" w:firstLineChars="200"/>
        <w:rPr>
          <w:rFonts w:ascii="宋体" w:cs="Times New Roman"/>
          <w:b/>
          <w:bCs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根据公司发展战略规划布署，为公司可持续发展提供人才支持，并结合公司实际情况，拟定人员储备制度。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24"/>
          <w:szCs w:val="24"/>
        </w:rPr>
      </w:pPr>
      <w:bookmarkStart w:id="7" w:name="_Toc15005"/>
      <w:r>
        <w:rPr>
          <w:rFonts w:ascii="宋体" w:hAnsi="宋体" w:cs="宋体" w:hint="eastAsia"/>
          <w:sz w:val="24"/>
          <w:szCs w:val="24"/>
        </w:rPr>
        <w:t>第二条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目标</w:t>
      </w:r>
      <w:bookmarkEnd w:id="7"/>
    </w:p>
    <w:p>
      <w:pPr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、完善人才引进与储备制度,保障公司业务持续稳定发展。</w:t>
      </w:r>
    </w:p>
    <w:p>
      <w:pPr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、做好组织中核心的，紧缺的或流动性较大的岗位与人才间的需求协调工作。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24"/>
          <w:szCs w:val="24"/>
        </w:rPr>
      </w:pPr>
      <w:bookmarkStart w:id="8" w:name="_Toc4269"/>
      <w:r>
        <w:rPr>
          <w:rFonts w:ascii="宋体" w:hAnsi="宋体" w:cs="宋体" w:hint="eastAsia"/>
          <w:sz w:val="24"/>
          <w:szCs w:val="24"/>
        </w:rPr>
        <w:t>第三条适用范围</w:t>
      </w:r>
      <w:bookmarkEnd w:id="8"/>
    </w:p>
    <w:p>
      <w:pPr>
        <w:rPr>
          <w:rFonts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适用于</w:t>
      </w:r>
      <w:r>
        <w:rPr>
          <w:rFonts w:cs="宋体" w:hint="eastAsia"/>
          <w:sz w:val="24"/>
          <w:szCs w:val="24"/>
        </w:rPr>
        <w:t>南京航之舟数字科技有限公司全体员工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24"/>
          <w:szCs w:val="24"/>
        </w:rPr>
      </w:pPr>
      <w:bookmarkStart w:id="9" w:name="_Toc21153"/>
      <w:r>
        <w:rPr>
          <w:rFonts w:ascii="宋体" w:hAnsi="宋体" w:cs="宋体" w:hint="eastAsia"/>
          <w:sz w:val="24"/>
          <w:szCs w:val="24"/>
        </w:rPr>
        <w:t>第四条</w:t>
      </w:r>
      <w:r>
        <w:rPr>
          <w:rFonts w:ascii="宋体" w:hAnsi="宋体" w:cs="宋体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权责分工</w:t>
      </w:r>
      <w:bookmarkEnd w:id="9"/>
    </w:p>
    <w:p>
      <w:pPr>
        <w:pStyle w:val="Heading2"/>
        <w:spacing w:line="360" w:lineRule="auto"/>
        <w:rPr>
          <w:rFonts w:ascii="宋体"/>
          <w:b w:val="0"/>
          <w:bCs w:val="0"/>
          <w:sz w:val="28"/>
          <w:szCs w:val="28"/>
        </w:rPr>
      </w:pPr>
      <w:bookmarkStart w:id="10" w:name="_Toc19911"/>
      <w:r>
        <w:rPr>
          <w:rFonts w:ascii="宋体" w:hAnsi="宋体" w:cs="宋体" w:hint="eastAsia"/>
          <w:b w:val="0"/>
          <w:bCs w:val="0"/>
          <w:sz w:val="28"/>
          <w:szCs w:val="28"/>
        </w:rPr>
        <w:t>人力资源部</w:t>
      </w:r>
      <w:bookmarkEnd w:id="10"/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1、根据</w:t>
      </w:r>
      <w:r>
        <w:rPr>
          <w:rFonts w:ascii="宋体" w:hAnsi="宋体" w:cs="宋体"/>
          <w:sz w:val="24"/>
          <w:szCs w:val="24"/>
        </w:rPr>
        <w:t>公司组织架构及人员编制需求，做好员工的招聘、考核</w:t>
      </w:r>
      <w:r>
        <w:rPr>
          <w:rFonts w:ascii="宋体" w:hAnsi="宋体" w:cs="宋体" w:hint="eastAsia"/>
          <w:sz w:val="24"/>
          <w:szCs w:val="24"/>
        </w:rPr>
        <w:t>、选拔</w:t>
      </w:r>
      <w:r>
        <w:rPr>
          <w:rFonts w:ascii="宋体" w:hAnsi="宋体" w:cs="宋体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调配</w:t>
      </w:r>
      <w:r>
        <w:rPr>
          <w:rFonts w:ascii="宋体" w:hAnsi="宋体" w:cs="宋体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社保</w:t>
      </w:r>
      <w:r>
        <w:rPr>
          <w:rFonts w:ascii="宋体" w:hAnsi="宋体" w:cs="宋体"/>
          <w:sz w:val="24"/>
          <w:szCs w:val="24"/>
        </w:rPr>
        <w:t>、</w:t>
      </w:r>
      <w:r>
        <w:rPr>
          <w:rFonts w:ascii="宋体" w:hAnsi="宋体" w:cs="宋体" w:hint="eastAsia"/>
          <w:sz w:val="24"/>
          <w:szCs w:val="24"/>
        </w:rPr>
        <w:t>培训</w:t>
      </w:r>
      <w:r>
        <w:rPr>
          <w:rFonts w:ascii="宋体" w:hAnsi="宋体" w:cs="宋体"/>
          <w:sz w:val="24"/>
          <w:szCs w:val="24"/>
        </w:rPr>
        <w:t>、离职等工作</w:t>
      </w:r>
      <w:r>
        <w:rPr>
          <w:rFonts w:ascii="宋体" w:hAnsi="宋体" w:cs="宋体" w:hint="eastAsia"/>
          <w:sz w:val="24"/>
          <w:szCs w:val="24"/>
        </w:rPr>
        <w:t>；包括</w:t>
      </w:r>
      <w:r>
        <w:rPr>
          <w:rFonts w:ascii="宋体" w:hAnsi="宋体" w:cs="宋体"/>
          <w:sz w:val="24"/>
          <w:szCs w:val="24"/>
        </w:rPr>
        <w:t>人员招聘、培养、储备的计划，并跟踪落实；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2、制订员工培训计划和监督培训计划的实施，负责培训效果的评价；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3、参与制定人力资源战略规划，为人事决策提供建议和信息支持；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4、制定薪酬政策和晋升政策，组织提薪评审和晋升评审，制定公司福利政策，办理社会保障福利；</w:t>
      </w:r>
    </w:p>
    <w:p>
      <w:pPr>
        <w:spacing w:line="360" w:lineRule="auto"/>
        <w:ind w:firstLine="42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5、根据公司对绩效管理的要求，制定评价政策，组织实施绩效管理，并对各部门绩效评价过程进行监督控制。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24"/>
          <w:szCs w:val="24"/>
        </w:rPr>
      </w:pPr>
      <w:bookmarkStart w:id="11" w:name="_Toc12543"/>
      <w:r>
        <w:rPr>
          <w:rFonts w:ascii="宋体" w:hAnsi="宋体" w:cs="宋体" w:hint="eastAsia"/>
          <w:sz w:val="24"/>
          <w:szCs w:val="24"/>
        </w:rPr>
        <w:t>第五条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储备制度建立</w:t>
      </w:r>
      <w:bookmarkEnd w:id="11"/>
    </w:p>
    <w:p>
      <w:pPr>
        <w:pStyle w:val="Heading2"/>
        <w:spacing w:line="360" w:lineRule="auto"/>
        <w:rPr>
          <w:rFonts w:ascii="宋体"/>
          <w:b w:val="0"/>
          <w:bCs w:val="0"/>
        </w:rPr>
      </w:pPr>
      <w:bookmarkStart w:id="12" w:name="_Toc586"/>
      <w:r>
        <w:rPr>
          <w:rFonts w:ascii="宋体" w:hAnsi="宋体" w:cs="宋体"/>
          <w:b w:val="0"/>
          <w:bCs w:val="0"/>
        </w:rPr>
        <w:t>5.1</w:t>
      </w:r>
      <w:r>
        <w:rPr>
          <w:rFonts w:ascii="宋体" w:hAnsi="宋体" w:cs="宋体" w:hint="eastAsia"/>
          <w:bCs w:val="0"/>
        </w:rPr>
        <w:t>分析需储备人员</w:t>
      </w:r>
      <w:bookmarkEnd w:id="12"/>
    </w:p>
    <w:p>
      <w:pPr>
        <w:widowControl/>
        <w:shd w:val="clear" w:color="auto" w:fill="auto"/>
        <w:wordWrap w:val="0"/>
        <w:spacing w:line="360" w:lineRule="auto"/>
        <w:ind w:firstLine="420" w:firstLineChars="20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、关键性岗位：这些重要岗位的人员一经流失，必会对公司产生比较大的损失，在采取各种措施防止重要岗位</w:t>
      </w:r>
      <w:r>
        <w:fldChar w:fldCharType="begin"/>
      </w:r>
      <w:r>
        <w:instrText xml:space="preserve"> HYPERLINK "http://www.baike.com/wiki/%E4%BA%BA%E5%91%98%E6%B5%81%E5%8A%A8" \o "人员流动"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人员流动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的同时，也不可不为这些岗位储备一些</w:t>
      </w:r>
      <w:r>
        <w:fldChar w:fldCharType="begin"/>
      </w:r>
      <w:r>
        <w:instrText xml:space="preserve"> HYPERLINK "http://www.baike.com/wiki/%E8%B6%85%E7%BA%A7%E6%9B%BF%E8%A1%A5" \o "超级替补"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超级替补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。</w:t>
      </w:r>
    </w:p>
    <w:p>
      <w:pPr>
        <w:widowControl/>
        <w:shd w:val="clear" w:color="auto" w:fill="auto"/>
        <w:wordWrap w:val="0"/>
        <w:spacing w:line="360" w:lineRule="auto"/>
        <w:ind w:firstLine="420" w:firstLineChars="20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、对于流动性比较大的岗位，在尽快分析出人员流动大的真正</w:t>
      </w:r>
      <w:r>
        <w:fldChar w:fldCharType="begin"/>
      </w:r>
      <w:r>
        <w:instrText xml:space="preserve"> HYPERLINK "http://www.baike.com/wiki/%E5%8E%9F%E5%9B%A0" \o "原因"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原因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的同时，要对这些岗位做适当的储备；</w:t>
      </w:r>
    </w:p>
    <w:p>
      <w:pPr>
        <w:widowControl/>
        <w:shd w:val="clear" w:color="auto" w:fill="auto"/>
        <w:wordWrap w:val="0"/>
        <w:spacing w:line="360" w:lineRule="auto"/>
        <w:ind w:firstLine="420" w:firstLineChars="20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、选定岗位时，一定要对这些关键岗位人员所需的技能及素质有一详细的分析，在挑选储备人员时对所需关键岗位的任职要求作充分详尽的分析，真正做到有的放矢。</w:t>
      </w:r>
    </w:p>
    <w:p>
      <w:pPr>
        <w:pStyle w:val="Heading2"/>
        <w:spacing w:line="360" w:lineRule="auto"/>
        <w:rPr>
          <w:rFonts w:ascii="宋体" w:hAnsi="宋体" w:cs="宋体"/>
          <w:bCs w:val="0"/>
        </w:rPr>
      </w:pPr>
      <w:bookmarkStart w:id="13" w:name="_Toc29375"/>
      <w:r>
        <w:rPr>
          <w:rFonts w:ascii="宋体" w:hAnsi="宋体" w:cs="宋体"/>
          <w:bCs w:val="0"/>
        </w:rPr>
        <w:t>5.2</w:t>
      </w:r>
      <w:r>
        <w:rPr>
          <w:rFonts w:ascii="宋体" w:hAnsi="宋体" w:cs="宋体" w:hint="eastAsia"/>
          <w:bCs w:val="0"/>
        </w:rPr>
        <w:t>建立人员需求库</w:t>
      </w:r>
      <w:bookmarkEnd w:id="13"/>
    </w:p>
    <w:p>
      <w:pPr>
        <w:adjustRightInd w:val="0"/>
        <w:snapToGrid w:val="0"/>
        <w:spacing w:line="360" w:lineRule="auto"/>
        <w:ind w:firstLine="420" w:firstLineChars="20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人员合理安排，确定人才需求数量，做好人员培养库的充实。主管部门根据职责提携要求设定需求的人才数量，提交人力资源部审核通过后，人力资源部拟定总需求计划，输入人员需求库。人力资源部根据情况进行调配和开展招聘活动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14" w:name="_Toc13522"/>
      <w:r>
        <w:rPr>
          <w:rFonts w:ascii="宋体" w:hAnsi="宋体" w:cs="宋体"/>
          <w:bCs w:val="0"/>
        </w:rPr>
        <w:t>5.3</w:t>
      </w:r>
      <w:r>
        <w:rPr>
          <w:rFonts w:ascii="宋体" w:hAnsi="宋体" w:cs="宋体" w:hint="eastAsia"/>
          <w:bCs w:val="0"/>
        </w:rPr>
        <w:t>确定储备人员</w:t>
      </w:r>
      <w:bookmarkEnd w:id="14"/>
    </w:p>
    <w:tbl>
      <w:tblPr>
        <w:tblStyle w:val="TableNormal"/>
        <w:tblW w:w="85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W w:w="8522" w:type="dxa"/>
          <w:tblInd w:w="-10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储备类型</w:t>
            </w:r>
          </w:p>
        </w:tc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储备岗位及人员</w:t>
            </w:r>
          </w:p>
        </w:tc>
      </w:tr>
      <w:tr>
        <w:tblPrEx>
          <w:tblW w:w="8522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关键性岗位</w:t>
            </w:r>
          </w:p>
        </w:tc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部门经理及以上、技术支持骨干</w:t>
            </w:r>
          </w:p>
        </w:tc>
      </w:tr>
      <w:tr>
        <w:tblPrEx>
          <w:tblW w:w="8522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流动性较大岗位</w:t>
            </w:r>
          </w:p>
        </w:tc>
        <w:tc>
          <w:tcPr>
            <w:tcW w:w="4261" w:type="dxa"/>
            <w:vAlign w:val="center"/>
          </w:tcPr>
          <w:p>
            <w:pPr>
              <w:spacing w:line="360" w:lineRule="auto"/>
              <w:jc w:val="center"/>
              <w:rPr>
                <w:rFonts w:ascii="宋体" w:cs="Times New Roman"/>
              </w:rPr>
            </w:pPr>
            <w:r>
              <w:rPr>
                <w:rFonts w:ascii="宋体" w:hAnsi="宋体" w:cs="宋体" w:hint="eastAsia"/>
              </w:rPr>
              <w:t>基础岗位</w:t>
            </w:r>
          </w:p>
        </w:tc>
      </w:tr>
    </w:tbl>
    <w:p>
      <w:pPr>
        <w:spacing w:line="360" w:lineRule="auto"/>
        <w:ind w:firstLine="420" w:firstLineChars="20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确定岗位后开始在公司内，根据员工平时</w:t>
      </w:r>
      <w:r>
        <w:fldChar w:fldCharType="begin"/>
      </w:r>
      <w:r>
        <w:instrText xml:space="preserve"> HYPERLINK "http://www.baike.com/wiki/%E5%B7%A5%E4%BD%9C%E4%B8%9A%E7%BB%A9" \o "工作业绩"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工作业绩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表现、个人能力及发展潜力，筛选一批骨干及储备人员，有针对性地分析储备人员优势、劣势及性格特点等，确定储备人员可能适合的岗位及培养方向，有目的地为储备人员建立</w:t>
      </w:r>
      <w:r>
        <w:fldChar w:fldCharType="begin"/>
      </w:r>
      <w:r>
        <w:instrText xml:space="preserve"> HYPERLINK "http://www.baike.com/wiki/%E4%B8%AA%E4%BA%BA%E6%A1%A3%E6%A1%88" \o "个人档案"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个人档案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（此档案也可和个人培训档案相结合，形成员工个人培训档案），档案内容除</w:t>
      </w:r>
      <w:r>
        <w:fldChar w:fldCharType="begin"/>
      </w:r>
      <w:r>
        <w:instrText xml:space="preserve"> HYPERLINK "http://www.baike.com/wiki/%E6%B6%B5%E7%9B%96" \o "涵盖"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涵盖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性别、年龄、学历等基本要素外，还应包括本人</w:t>
      </w:r>
      <w:r>
        <w:fldChar w:fldCharType="begin"/>
      </w:r>
      <w:r>
        <w:instrText xml:space="preserve"> HYPERLINK "javascript:linkredwin('%E6%80%A7%E6%A0%BC%E7%89%B9%E7%82%B9');" \o "性格特点"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性格特点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、长处、不足，员工希望的发展方向、可能适合的岗位及为达到该岗位要求而</w:t>
      </w:r>
      <w:r>
        <w:fldChar w:fldCharType="begin"/>
      </w:r>
      <w:r>
        <w:instrText xml:space="preserve"> HYPERLINK "http://www.baike.com/wiki/%E5%8E%86%E7%BB%83" \o "历练" </w:instrText>
      </w:r>
      <w:r>
        <w:fldChar w:fldCharType="separate"/>
      </w:r>
      <w:r>
        <w:rPr>
          <w:rFonts w:ascii="宋体" w:hAnsi="宋体" w:cs="宋体" w:hint="eastAsia"/>
          <w:sz w:val="24"/>
          <w:szCs w:val="24"/>
        </w:rPr>
        <w:t>历练</w:t>
      </w:r>
      <w:r>
        <w:fldChar w:fldCharType="end"/>
      </w:r>
      <w:r>
        <w:rPr>
          <w:rFonts w:ascii="宋体" w:hAnsi="宋体" w:cs="宋体" w:hint="eastAsia"/>
          <w:sz w:val="24"/>
          <w:szCs w:val="24"/>
        </w:rPr>
        <w:t>的时间等等。这样，可清晰、直观地掌握公司储备人员情况，并随时对储备人员做出补充或调整。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15" w:name="_Toc13049"/>
      <w:r>
        <w:rPr>
          <w:rFonts w:ascii="宋体" w:hAnsi="宋体" w:cs="宋体"/>
          <w:bCs w:val="0"/>
        </w:rPr>
        <w:t>5.4</w:t>
      </w:r>
      <w:r>
        <w:rPr>
          <w:rFonts w:ascii="宋体" w:hAnsi="宋体" w:cs="宋体" w:hint="eastAsia"/>
          <w:bCs w:val="0"/>
        </w:rPr>
        <w:t>储备人员来源</w:t>
      </w:r>
      <w:bookmarkEnd w:id="15"/>
    </w:p>
    <w:p>
      <w:pPr>
        <w:widowControl/>
        <w:spacing w:line="360" w:lineRule="auto"/>
        <w:ind w:left="142"/>
        <w:jc w:val="left"/>
        <w:outlineLvl w:val="2"/>
        <w:rPr>
          <w:rFonts w:ascii="宋体" w:cs="Times New Roman"/>
          <w:sz w:val="24"/>
          <w:szCs w:val="24"/>
        </w:rPr>
      </w:pPr>
      <w:bookmarkStart w:id="16" w:name="_Toc12113"/>
      <w:r>
        <w:rPr>
          <w:rFonts w:ascii="宋体" w:hAnsi="宋体" w:cs="宋体"/>
          <w:sz w:val="24"/>
          <w:szCs w:val="24"/>
        </w:rPr>
        <w:t>5.4.1</w:t>
      </w:r>
      <w:r>
        <w:rPr>
          <w:rFonts w:ascii="宋体" w:hAnsi="宋体" w:cs="宋体" w:hint="eastAsia"/>
          <w:sz w:val="24"/>
          <w:szCs w:val="24"/>
        </w:rPr>
        <w:t>外部招聘</w:t>
      </w:r>
      <w:bookmarkEnd w:id="16"/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招聘渠道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以网络为主，兼顾现场招聘会、内外人才推荐等；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网络招聘：建立与智联、51JOB等知名网站的长期合作关系；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熟人推荐：针对特别岗位实行奖励熟人推荐的形式。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与多所大专院校开展校企合作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定向培养人才。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招聘流程</w:t>
      </w:r>
    </w:p>
    <w:p>
      <w:pPr>
        <w:pStyle w:val="ListParagraph"/>
        <w:numPr>
          <w:ilvl w:val="0"/>
          <w:numId w:val="3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用人部门根据部门人员配置及下年度的运维项目预测，于每年12月份制订下年度的储备人员招聘计划，并填写招聘计划表，详细说明招聘岗位、专业、人数及岗位基本要求，经人力资源部、总经理批准后实施。</w:t>
      </w:r>
    </w:p>
    <w:p>
      <w:pPr>
        <w:pStyle w:val="ListParagraph"/>
        <w:numPr>
          <w:ilvl w:val="0"/>
          <w:numId w:val="3"/>
        </w:numPr>
        <w:spacing w:line="360" w:lineRule="auto"/>
        <w:ind w:left="1378"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公司储备人员编制公式：级别总人数</w:t>
      </w:r>
      <w:r>
        <w:rPr>
          <w:rFonts w:ascii="宋体" w:hAnsi="宋体" w:cs="宋体"/>
          <w:sz w:val="24"/>
          <w:szCs w:val="24"/>
        </w:rPr>
        <w:t>*</w:t>
      </w:r>
      <w:r>
        <w:rPr>
          <w:rFonts w:ascii="宋体" w:hAnsi="宋体" w:cs="宋体" w:hint="eastAsia"/>
          <w:sz w:val="24"/>
          <w:szCs w:val="24"/>
        </w:rPr>
        <w:t>整年度离职率</w:t>
      </w:r>
      <w:r>
        <w:rPr>
          <w:rFonts w:ascii="宋体" w:hAnsi="宋体" w:cs="宋体"/>
          <w:sz w:val="24"/>
          <w:szCs w:val="24"/>
        </w:rPr>
        <w:t>+</w:t>
      </w:r>
      <w:r>
        <w:rPr>
          <w:rFonts w:ascii="宋体" w:hAnsi="宋体" w:cs="宋体" w:hint="eastAsia"/>
          <w:sz w:val="24"/>
          <w:szCs w:val="24"/>
        </w:rPr>
        <w:t>级别总人数</w:t>
      </w:r>
      <w:r>
        <w:rPr>
          <w:rFonts w:ascii="宋体" w:hAnsi="宋体" w:cs="宋体"/>
          <w:sz w:val="24"/>
          <w:szCs w:val="24"/>
        </w:rPr>
        <w:t>*</w:t>
      </w:r>
      <w:r>
        <w:rPr>
          <w:rFonts w:ascii="宋体" w:hAnsi="宋体" w:cs="宋体" w:hint="eastAsia"/>
          <w:sz w:val="24"/>
          <w:szCs w:val="24"/>
        </w:rPr>
        <w:t>当年运维合同额增长率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招聘要求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品学兼优、专业对口、技能匹配</w:t>
      </w:r>
    </w:p>
    <w:p>
      <w:pPr>
        <w:pStyle w:val="ListParagraph"/>
        <w:numPr>
          <w:ilvl w:val="0"/>
          <w:numId w:val="4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公开招聘，按标准面试、考核录用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招聘考核内容</w:t>
      </w:r>
    </w:p>
    <w:p>
      <w:pPr>
        <w:pStyle w:val="ListParagraph"/>
        <w:widowControl/>
        <w:spacing w:line="360" w:lineRule="auto"/>
        <w:ind w:left="960" w:firstLine="0" w:firstLineChars="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学习成绩、专业知识，计算机水平，表达能力、反应能力、学习能力、身体状况等综合素质能力方面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招聘考核方式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笔试</w:t>
      </w:r>
    </w:p>
    <w:p>
      <w:pPr>
        <w:pStyle w:val="ListParagraph"/>
        <w:numPr>
          <w:ilvl w:val="0"/>
          <w:numId w:val="5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面试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合同签订与试用期</w:t>
      </w:r>
    </w:p>
    <w:p>
      <w:pPr>
        <w:pStyle w:val="ListParagraph"/>
        <w:widowControl/>
        <w:spacing w:line="360" w:lineRule="auto"/>
        <w:ind w:left="960" w:firstLine="0" w:firstLineChars="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合同签订：储备人员一经录用，一般与公司签订3年的劳动合同</w:t>
      </w:r>
    </w:p>
    <w:p>
      <w:pPr>
        <w:pStyle w:val="ListParagraph"/>
        <w:widowControl/>
        <w:spacing w:line="360" w:lineRule="auto"/>
        <w:ind w:left="960" w:firstLine="0" w:firstLineChars="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试用期：试用期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个月，最长不得超过</w:t>
      </w:r>
      <w:r>
        <w:rPr>
          <w:rFonts w:ascii="宋体" w:hAnsi="宋体" w:cs="宋体"/>
          <w:sz w:val="24"/>
          <w:szCs w:val="24"/>
        </w:rPr>
        <w:t>6</w:t>
      </w:r>
      <w:r>
        <w:rPr>
          <w:rFonts w:ascii="宋体" w:hAnsi="宋体" w:cs="宋体" w:hint="eastAsia"/>
          <w:sz w:val="24"/>
          <w:szCs w:val="24"/>
        </w:rPr>
        <w:t>个月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人员培养</w:t>
      </w:r>
    </w:p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培养内容：</w:t>
      </w:r>
    </w:p>
    <w:tbl>
      <w:tblPr>
        <w:tblStyle w:val="TableNormal"/>
        <w:tblW w:w="9781" w:type="dxa"/>
        <w:tblInd w:w="-10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76"/>
        <w:gridCol w:w="1701"/>
        <w:gridCol w:w="3260"/>
        <w:gridCol w:w="1134"/>
        <w:gridCol w:w="709"/>
        <w:gridCol w:w="992"/>
      </w:tblGrid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/>
        </w:trPr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序号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模块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内容</w:t>
            </w:r>
          </w:p>
        </w:tc>
        <w:tc>
          <w:tcPr>
            <w:tcW w:w="3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目标要求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方式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时间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阶段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/>
        </w:trPr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入职培训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企业文化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熟悉公司的发展历史、企业文化、规章制度、安全知识，使储备人员尽快熟悉、融入公司。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人力资源部组织培训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2天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试用期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规章制度</w:t>
            </w: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安全教育</w:t>
            </w: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2"/>
        </w:trPr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岗位认知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岗前学习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掌握岗位安全技能和岗位应知应会知识，基本达到岗位要求。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人力资源部组织培训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一周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试用期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工具与方法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了解本岗位要求、熟悉与岗位相关的流程，掌握岗位专业技能。</w:t>
            </w: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一周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试用期</w:t>
            </w:r>
          </w:p>
        </w:tc>
      </w:tr>
      <w:tr>
        <w:tblPrEx>
          <w:tblW w:w="9781" w:type="dxa"/>
          <w:tblInd w:w="-106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/>
        </w:trPr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rPr>
                <w:rFonts w:ascii="宋体" w:cs="Times New Roman"/>
                <w:color w:val="000000"/>
                <w:kern w:val="0"/>
              </w:rPr>
            </w:pPr>
            <w:r>
              <w:rPr>
                <w:rFonts w:ascii="宋体" w:hAnsi="宋体" w:cs="宋体" w:hint="eastAsia"/>
                <w:color w:val="000000"/>
                <w:kern w:val="0"/>
              </w:rPr>
              <w:t>岗位技能培训</w:t>
            </w:r>
          </w:p>
        </w:tc>
        <w:tc>
          <w:tcPr>
            <w:tcW w:w="3260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color w:val="000000"/>
                <w:kern w:val="0"/>
              </w:rPr>
            </w:pPr>
          </w:p>
        </w:tc>
      </w:tr>
    </w:tbl>
    <w:p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培训方法：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多岗位认知：多岗位认知指在岗位认知培养阶段，为使新入职储备人员尽快熟悉工作业务流程，掌握岗位技能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7"/>
        </w:numPr>
        <w:spacing w:line="360" w:lineRule="auto"/>
        <w:ind w:firstLineChars="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跨部门多岗位认知：各部门根据实际需求或培养计划，向人力资源部提出申请，统筹安排，多岗位认知期间人事关系在原部门，所跨部门负责管理与评价，并将结果反馈原部门，由原部门进行考核</w:t>
      </w:r>
    </w:p>
    <w:p>
      <w:pPr>
        <w:pStyle w:val="ListParagraph"/>
        <w:widowControl/>
        <w:numPr>
          <w:ilvl w:val="0"/>
          <w:numId w:val="1"/>
        </w:numPr>
        <w:spacing w:line="360" w:lineRule="auto"/>
        <w:ind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考核评价：</w:t>
      </w:r>
    </w:p>
    <w:p>
      <w:pPr>
        <w:spacing w:line="360" w:lineRule="auto"/>
        <w:ind w:left="840" w:firstLine="315" w:leftChars="400" w:firstLineChars="15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试用期综合评估满分为</w:t>
      </w:r>
      <w:r>
        <w:rPr>
          <w:rFonts w:ascii="宋体" w:hAnsi="宋体" w:cs="宋体"/>
          <w:sz w:val="24"/>
          <w:szCs w:val="24"/>
        </w:rPr>
        <w:t>100</w:t>
      </w:r>
      <w:r>
        <w:rPr>
          <w:rFonts w:ascii="宋体" w:hAnsi="宋体" w:cs="宋体" w:hint="eastAsia"/>
          <w:sz w:val="24"/>
          <w:szCs w:val="24"/>
        </w:rPr>
        <w:t>分，入职培训成绩占</w:t>
      </w:r>
      <w:r>
        <w:rPr>
          <w:rFonts w:ascii="宋体" w:hAnsi="宋体" w:cs="宋体"/>
          <w:sz w:val="24"/>
          <w:szCs w:val="24"/>
        </w:rPr>
        <w:t>20%</w:t>
      </w:r>
      <w:r>
        <w:rPr>
          <w:rFonts w:ascii="宋体" w:hAnsi="宋体" w:cs="宋体" w:hint="eastAsia"/>
          <w:sz w:val="24"/>
          <w:szCs w:val="24"/>
        </w:rPr>
        <w:t>，岗位培训占</w:t>
      </w:r>
      <w:r>
        <w:rPr>
          <w:rFonts w:ascii="宋体" w:hAnsi="宋体" w:cs="宋体"/>
          <w:sz w:val="24"/>
          <w:szCs w:val="24"/>
        </w:rPr>
        <w:t>80%</w:t>
      </w:r>
      <w:r>
        <w:rPr>
          <w:rFonts w:ascii="宋体" w:hAnsi="宋体" w:cs="宋体" w:hint="eastAsia"/>
          <w:sz w:val="24"/>
          <w:szCs w:val="24"/>
        </w:rPr>
        <w:t>，</w:t>
      </w:r>
      <w:r>
        <w:rPr>
          <w:rFonts w:ascii="宋体" w:hAnsi="宋体" w:cs="宋体"/>
          <w:sz w:val="24"/>
          <w:szCs w:val="24"/>
        </w:rPr>
        <w:t>90</w:t>
      </w:r>
      <w:r>
        <w:rPr>
          <w:rFonts w:ascii="宋体" w:hAnsi="宋体" w:cs="宋体" w:hint="eastAsia"/>
          <w:sz w:val="24"/>
          <w:szCs w:val="24"/>
        </w:rPr>
        <w:t>分及以上为优秀，</w:t>
      </w:r>
      <w:r>
        <w:rPr>
          <w:rFonts w:ascii="宋体" w:hAnsi="宋体" w:cs="宋体"/>
          <w:sz w:val="24"/>
          <w:szCs w:val="24"/>
        </w:rPr>
        <w:t>80</w:t>
      </w:r>
      <w:r>
        <w:rPr>
          <w:rFonts w:ascii="宋体" w:hAnsi="宋体" w:cs="宋体" w:hint="eastAsia"/>
          <w:sz w:val="24"/>
          <w:szCs w:val="24"/>
        </w:rPr>
        <w:t>～</w:t>
      </w:r>
      <w:r>
        <w:rPr>
          <w:rFonts w:ascii="宋体" w:hAnsi="宋体" w:cs="宋体"/>
          <w:sz w:val="24"/>
          <w:szCs w:val="24"/>
        </w:rPr>
        <w:t>90</w:t>
      </w:r>
      <w:r>
        <w:rPr>
          <w:rFonts w:ascii="宋体" w:hAnsi="宋体" w:cs="宋体" w:hint="eastAsia"/>
          <w:sz w:val="24"/>
          <w:szCs w:val="24"/>
        </w:rPr>
        <w:t>分为合格，</w:t>
      </w:r>
      <w:r>
        <w:rPr>
          <w:rFonts w:ascii="宋体" w:hAnsi="宋体" w:cs="宋体"/>
          <w:sz w:val="24"/>
          <w:szCs w:val="24"/>
        </w:rPr>
        <w:t>80</w:t>
      </w:r>
      <w:r>
        <w:rPr>
          <w:rFonts w:ascii="宋体" w:hAnsi="宋体" w:cs="宋体" w:hint="eastAsia"/>
          <w:sz w:val="24"/>
          <w:szCs w:val="24"/>
        </w:rPr>
        <w:t>分以下为不合格，再次培训或解除劳动合同关系。</w:t>
      </w:r>
    </w:p>
    <w:p>
      <w:pPr>
        <w:widowControl/>
        <w:spacing w:line="360" w:lineRule="auto"/>
        <w:ind w:left="142"/>
        <w:jc w:val="left"/>
        <w:outlineLvl w:val="2"/>
        <w:rPr>
          <w:rFonts w:ascii="宋体" w:cs="Times New Roman"/>
          <w:sz w:val="24"/>
          <w:szCs w:val="24"/>
        </w:rPr>
      </w:pPr>
      <w:bookmarkStart w:id="17" w:name="_Toc18957"/>
      <w:r>
        <w:rPr>
          <w:rFonts w:ascii="宋体" w:hAnsi="宋体" w:cs="宋体"/>
          <w:sz w:val="24"/>
          <w:szCs w:val="24"/>
        </w:rPr>
        <w:t>5.4.2</w:t>
      </w:r>
      <w:r>
        <w:rPr>
          <w:rFonts w:ascii="宋体" w:hAnsi="宋体" w:cs="宋体" w:hint="eastAsia"/>
          <w:sz w:val="24"/>
          <w:szCs w:val="24"/>
        </w:rPr>
        <w:t>内部储备</w:t>
      </w:r>
      <w:bookmarkEnd w:id="17"/>
    </w:p>
    <w:p>
      <w:pPr>
        <w:pStyle w:val="ListParagraph"/>
        <w:widowControl/>
        <w:numPr>
          <w:ilvl w:val="0"/>
          <w:numId w:val="8"/>
        </w:numPr>
        <w:spacing w:line="360" w:lineRule="auto"/>
        <w:ind w:left="845" w:hanging="425" w:leftChars="0"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建立核心人才库</w:t>
      </w:r>
    </w:p>
    <w:p>
      <w:pPr>
        <w:widowControl/>
        <w:spacing w:line="360" w:lineRule="auto"/>
        <w:ind w:firstLine="315" w:firstLineChars="150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对公司现有员工做好信息，特长，发展方向的统计，及时了解人才库情况。</w:t>
      </w:r>
    </w:p>
    <w:p>
      <w:pPr>
        <w:pStyle w:val="ListParagraph"/>
        <w:widowControl/>
        <w:numPr>
          <w:ilvl w:val="0"/>
          <w:numId w:val="8"/>
        </w:numPr>
        <w:spacing w:line="360" w:lineRule="auto"/>
        <w:ind w:left="845" w:hanging="425" w:leftChars="0" w:firstLineChars="0"/>
        <w:jc w:val="left"/>
        <w:outlineLvl w:val="3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内聘竞聘：</w:t>
      </w:r>
    </w:p>
    <w:p>
      <w:pPr>
        <w:widowControl/>
        <w:spacing w:line="360" w:lineRule="auto"/>
        <w:ind w:firstLine="368" w:firstLineChars="175"/>
        <w:jc w:val="left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通过公平公正公开的形式选拔内部员工。</w:t>
      </w:r>
    </w:p>
    <w:p>
      <w:pPr>
        <w:pStyle w:val="Heading1"/>
        <w:autoSpaceDE w:val="0"/>
        <w:autoSpaceDN w:val="0"/>
        <w:adjustRightInd w:val="0"/>
        <w:spacing w:line="360" w:lineRule="auto"/>
        <w:ind w:left="340" w:hanging="340"/>
        <w:rPr>
          <w:rFonts w:ascii="宋体"/>
          <w:sz w:val="24"/>
          <w:szCs w:val="24"/>
        </w:rPr>
      </w:pPr>
      <w:bookmarkStart w:id="18" w:name="_Toc11779"/>
      <w:r>
        <w:rPr>
          <w:rFonts w:ascii="宋体" w:hAnsi="宋体" w:cs="宋体" w:hint="eastAsia"/>
          <w:sz w:val="24"/>
          <w:szCs w:val="24"/>
        </w:rPr>
        <w:t>第六条</w:t>
      </w:r>
      <w:r>
        <w:rPr>
          <w:rFonts w:ascii="宋体" w:hAnsi="宋体" w:cs="宋体"/>
          <w:sz w:val="24"/>
          <w:szCs w:val="24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建立人才培养、用人，留人制度</w:t>
      </w:r>
      <w:bookmarkEnd w:id="18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要想留住人才就要给人才广阔的发展空间，同时要建立科学有效的激励机制。要防止人才流失就必须有激励机制，对不同的人才要有不同的激励方法。</w:t>
      </w:r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为了企业长久发展，为了留住企业有用人才，要根据不同的岗位，不同的职责，作相应的培训，并且要加大培训力度，建立技术岗位、管理岗位的人才储备库，做好人才预警机制，并且用人要明，要任人唯贤，要唯才是举。给予企业内特殊人才一些特殊的政策，并且制定相应的组织结构，打造人性化的工作环境和福利制度。</w:t>
      </w:r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人力资源是企业最重要的资源，是企业制胜的利器，企业要想获得竞争优势，必须拥有一支高素质的队伍，而高素质队伍的建立，需要企业不断提高培训能力，员工培训是现代企业必不可少的投资，只有通过培训，激励等方式最大程度的开发和利用人力资源，才能使员工的的个人价值得到体现，企业得到长足发展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19" w:name="_Toc31571"/>
      <w:r>
        <w:rPr>
          <w:rFonts w:ascii="宋体" w:hAnsi="宋体" w:cs="宋体"/>
          <w:bCs w:val="0"/>
        </w:rPr>
        <w:t>6.1</w:t>
      </w:r>
      <w:r>
        <w:rPr>
          <w:rFonts w:ascii="宋体" w:hAnsi="宋体" w:cs="宋体" w:hint="eastAsia"/>
          <w:bCs w:val="0"/>
        </w:rPr>
        <w:t>在企业内部建立实习生实训基地</w:t>
      </w:r>
      <w:bookmarkEnd w:id="19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大学生实习期间可以直接到企业“上岗”，企业不仅对其进行免费培训，还有每月最低生活保障。而这部分毕业生实习期满后就成了企业优秀的后备人员。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20" w:name="_Toc9914"/>
      <w:r>
        <w:rPr>
          <w:rFonts w:ascii="宋体" w:hAnsi="宋体" w:cs="宋体"/>
          <w:bCs w:val="0"/>
        </w:rPr>
        <w:t>6.2</w:t>
      </w:r>
      <w:r>
        <w:rPr>
          <w:rFonts w:ascii="宋体" w:hAnsi="宋体" w:cs="宋体" w:hint="eastAsia"/>
          <w:bCs w:val="0"/>
        </w:rPr>
        <w:t>内部晋升，疏通上升通道</w:t>
      </w:r>
      <w:bookmarkEnd w:id="20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通过内部晋升，把组织发展形成的岗位空缺留给内部职工，使员工与企业共同获得发展，增加员工尤其是优秀员工对企业的忠诚度。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21" w:name="_Toc11695"/>
      <w:r>
        <w:rPr>
          <w:rFonts w:ascii="宋体" w:hAnsi="宋体" w:cs="宋体"/>
          <w:bCs w:val="0"/>
        </w:rPr>
        <w:t>6.3</w:t>
      </w:r>
      <w:r>
        <w:rPr>
          <w:rFonts w:ascii="宋体" w:hAnsi="宋体" w:cs="宋体" w:hint="eastAsia"/>
          <w:bCs w:val="0"/>
        </w:rPr>
        <w:t>与各大院校建立长期的合作关系</w:t>
      </w:r>
      <w:bookmarkEnd w:id="21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根据公司当前紧缺的专业人才需求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与各大院校建立起长期的合作关系。在公司内建立毕业生实习基地，为广大毕业生提供一个提前适应工作岗位的平台。建立大学生实践基地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可以在招聘高峰到来之前吸引到高学历的优秀人才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特别是本地的毕业生，减少企业搜寻人才的成本：可以很好地缓和企业人才短缺的危机，对于企业形象的对外宣传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也不失为一个途径。</w:t>
      </w:r>
    </w:p>
    <w:p>
      <w:pPr>
        <w:pStyle w:val="Heading2"/>
        <w:spacing w:line="360" w:lineRule="auto"/>
        <w:rPr>
          <w:rFonts w:ascii="宋体"/>
          <w:bCs w:val="0"/>
        </w:rPr>
      </w:pPr>
      <w:bookmarkStart w:id="22" w:name="_Toc29631"/>
      <w:r>
        <w:rPr>
          <w:rFonts w:ascii="宋体" w:hAnsi="宋体" w:cs="宋体"/>
          <w:bCs w:val="0"/>
        </w:rPr>
        <w:t>6.4</w:t>
      </w:r>
      <w:r>
        <w:rPr>
          <w:rFonts w:ascii="宋体" w:hAnsi="宋体" w:cs="宋体" w:hint="eastAsia"/>
          <w:bCs w:val="0"/>
        </w:rPr>
        <w:t>与培训机构建立长期的合作关系</w:t>
      </w:r>
      <w:bookmarkEnd w:id="22"/>
    </w:p>
    <w:p>
      <w:pPr>
        <w:adjustRightInd w:val="0"/>
        <w:snapToGrid w:val="0"/>
        <w:spacing w:line="360" w:lineRule="auto"/>
        <w:ind w:firstLine="42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根据公司当前紧缺的专业人才需求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与相关培训机构建立起长期的合作关系。在招聘高峰到来之前吸引到符合行业技术标准的优秀人才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特别是本地的人才，可以很好地缓和并保证公司的人才储备。</w:t>
      </w:r>
    </w:p>
    <w:p>
      <w:pPr>
        <w:adjustRightInd w:val="0"/>
        <w:snapToGrid w:val="0"/>
        <w:spacing w:line="360" w:lineRule="auto"/>
        <w:ind w:firstLine="420" w:firstLineChars="200"/>
        <w:rPr>
          <w:rFonts w:ascii="宋体" w:cs="Times New Roman"/>
          <w:sz w:val="24"/>
          <w:szCs w:val="24"/>
        </w:rPr>
      </w:pPr>
    </w:p>
    <w:sectPr>
      <w:footerReference w:type="default" r:id="rId11"/>
      <w:pgSz w:w="11906" w:h="16838"/>
      <w:pgMar w:top="1440" w:right="1800" w:bottom="1440" w:left="1800" w:header="851" w:footer="992" w:gutter="0"/>
      <w:pgNumType w:fmt="decimal"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9</w:t>
    </w:r>
    <w:r>
      <w:rPr>
        <w:b/>
        <w:bCs/>
        <w:sz w:val="24"/>
        <w:szCs w:val="24"/>
      </w:rPr>
      <w:fldChar w:fldCharType="end"/>
    </w:r>
  </w:p>
  <w:p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left="480"/>
      <w:rPr>
        <w:rFonts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tabs>
        <w:tab w:val="clear" w:pos="4153"/>
        <w:tab w:val="center" w:pos="4873"/>
        <w:tab w:val="clear" w:pos="8306"/>
        <w:tab w:val="right" w:pos="9746"/>
      </w:tabs>
      <w:jc w:val="center"/>
    </w:pPr>
    <w:r>
      <w:rPr>
        <w:rFonts w:hint="eastAsia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ind w:left="480"/>
      <w:jc w:val="center"/>
      <w:rPr>
        <w:rFonts w:cs="Times New Roman"/>
        <w:u w:val="single"/>
      </w:rPr>
    </w:pPr>
    <w:r>
      <w:rPr>
        <w:rFonts w:cs="Times New Roman" w:hint="eastAsia"/>
      </w:rPr>
      <w:t>南京航之舟数字科技有限公司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spacing w:line="360" w:lineRule="auto"/>
      <w:jc w:val="center"/>
      <w:rPr>
        <w:rFonts w:eastAsia="宋体" w:cs="Times New Roman" w:hint="default"/>
        <w:u w:val="none"/>
        <w:lang w:val="en-US" w:eastAsia="zh-CN"/>
      </w:rPr>
    </w:pPr>
    <w:r>
      <w:rPr>
        <w:rFonts w:cs="Times New Roman" w:hint="eastAsia"/>
        <w:u w:val="none"/>
        <w:lang w:val="en-US" w:eastAsia="zh-CN"/>
      </w:rPr>
      <w:t>南京航之舟数字科技有限公司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F959BD"/>
    <w:multiLevelType w:val="multilevel"/>
    <w:tmpl w:val="08F959BD"/>
    <w:lvl w:ilvl="0">
      <w:start w:val="1"/>
      <w:numFmt w:val="decimal"/>
      <w:lvlText w:val="%1)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1">
    <w:nsid w:val="1C4A6A32"/>
    <w:multiLevelType w:val="multilevel"/>
    <w:tmpl w:val="1C4A6A32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2">
    <w:nsid w:val="20F51E75"/>
    <w:multiLevelType w:val="multilevel"/>
    <w:tmpl w:val="20F51E75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3">
    <w:nsid w:val="248C51D4"/>
    <w:multiLevelType w:val="multilevel"/>
    <w:tmpl w:val="248C51D4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4">
    <w:nsid w:val="346E11F7"/>
    <w:multiLevelType w:val="multilevel"/>
    <w:tmpl w:val="346E11F7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5">
    <w:nsid w:val="4D2553E5"/>
    <w:multiLevelType w:val="multilevel"/>
    <w:tmpl w:val="4D2553E5"/>
    <w:lvl w:ilvl="0">
      <w:start w:val="1"/>
      <w:numFmt w:val="lowerLetter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6">
    <w:nsid w:val="6311DAD8"/>
    <w:multiLevelType w:val="singleLevel"/>
    <w:tmpl w:val="6311DAD8"/>
    <w:lvl w:ilvl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6BB00630"/>
    <w:multiLevelType w:val="multilevel"/>
    <w:tmpl w:val="6BB00630"/>
    <w:lvl w:ilvl="0">
      <w:start w:val="1"/>
      <w:numFmt w:val="bullet"/>
      <w:lvlText w:val=""/>
      <w:lvlJc w:val="left"/>
      <w:pPr>
        <w:ind w:left="180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222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264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306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348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390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432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474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5160" w:hanging="42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Normal Indent"/>
    <w:lsdException w:name="footnote text"/>
    <w:lsdException w:name="annotation text" w:unhideWhenUsed="0" w:qFormat="1"/>
    <w:lsdException w:name="header" w:semiHidden="0" w:unhideWhenUsed="0" w:qFormat="1"/>
    <w:lsdException w:name="footer" w:semiHidden="0" w:uiPriority="0" w:unhideWhenUsed="0"/>
    <w:lsdException w:name="index heading"/>
    <w:lsdException w:name="caption" w:locked="1" w:uiPriority="0" w:qFormat="1"/>
    <w:lsdException w:name="table of figures"/>
    <w:lsdException w:name="envelope address"/>
    <w:lsdException w:name="envelope return"/>
    <w:lsdException w:name="footnote reference"/>
    <w:lsdException w:name="annotation reference" w:unhideWhenUsed="0" w:qFormat="1"/>
    <w:lsdException w:name="line number"/>
    <w:lsdException w:name="page number" w:semiHidden="0" w:unhideWhenUsed="0" w:qFormat="1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locked="1" w:semiHidden="0" w:uiPriority="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locked="1" w:semiHidden="0" w:uiPriority="0" w:unhideWhenUsed="0" w:qFormat="1"/>
    <w:lsdException w:name="Salutation"/>
    <w:lsdException w:name="Date" w:unhideWhenUsed="0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locked="1" w:semiHidden="0" w:uiPriority="0" w:unhideWhenUsed="0" w:qFormat="1"/>
    <w:lsdException w:name="Emphasis" w:locked="1" w:semiHidden="0" w:uiPriority="0" w:unhideWhenUsed="0" w:qFormat="1"/>
    <w:lsdException w:name="Document Map" w:unhideWhenUsed="0" w:qFormat="1"/>
    <w:lsdException w:name="Plain Text"/>
    <w:lsdException w:name="E-mail Signature"/>
    <w:lsdException w:name="Normal (Web)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 w:unhideWhenUsed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unhideWhenUsed="0" w:qFormat="1"/>
    <w:lsdException w:name="Table Grid" w:semiHidden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Calibri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9"/>
    <w:qFormat/>
    <w:pPr>
      <w:keepNext/>
      <w:keepLines/>
      <w:spacing w:before="340" w:after="330" w:line="578" w:lineRule="auto"/>
      <w:outlineLvl w:val="0"/>
    </w:pPr>
    <w:rPr>
      <w:rFonts w:cs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9"/>
    <w:qFormat/>
    <w:pPr>
      <w:keepNext/>
      <w:keepLines/>
      <w:spacing w:before="260" w:after="260"/>
      <w:outlineLvl w:val="1"/>
    </w:pPr>
    <w:rPr>
      <w:rFonts w:ascii="Calibri Light" w:hAnsi="Calibri Light" w:cs="Times New Roman"/>
      <w:b/>
      <w:bCs/>
      <w:kern w:val="0"/>
      <w:sz w:val="30"/>
      <w:szCs w:val="32"/>
    </w:rPr>
  </w:style>
  <w:style w:type="paragraph" w:styleId="Heading3">
    <w:name w:val="heading 3"/>
    <w:basedOn w:val="Normal"/>
    <w:next w:val="Normal"/>
    <w:link w:val="3"/>
    <w:uiPriority w:val="99"/>
    <w:qFormat/>
    <w:pPr>
      <w:keepNext/>
      <w:keepLines/>
      <w:spacing w:before="260" w:after="260" w:line="416" w:lineRule="auto"/>
      <w:outlineLvl w:val="2"/>
    </w:pPr>
    <w:rPr>
      <w:rFonts w:cs="Times New Roman"/>
      <w:b/>
      <w:bCs/>
      <w:kern w:val="0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4"/>
    <w:uiPriority w:val="99"/>
    <w:semiHidden/>
    <w:qFormat/>
    <w:rPr>
      <w:rFonts w:ascii="宋体" w:cs="Times New Roman"/>
      <w:kern w:val="0"/>
      <w:sz w:val="18"/>
      <w:szCs w:val="18"/>
    </w:rPr>
  </w:style>
  <w:style w:type="paragraph" w:styleId="CommentText">
    <w:name w:val="annotation text"/>
    <w:basedOn w:val="Normal"/>
    <w:link w:val="a5"/>
    <w:uiPriority w:val="99"/>
    <w:semiHidden/>
    <w:qFormat/>
    <w:pPr>
      <w:jc w:val="left"/>
    </w:pPr>
  </w:style>
  <w:style w:type="paragraph" w:styleId="TOC3">
    <w:name w:val="toc 3"/>
    <w:basedOn w:val="Normal"/>
    <w:next w:val="Normal"/>
    <w:uiPriority w:val="39"/>
    <w:qFormat/>
    <w:pPr>
      <w:ind w:left="840" w:leftChars="400"/>
    </w:pPr>
  </w:style>
  <w:style w:type="paragraph" w:styleId="Date">
    <w:name w:val="Date"/>
    <w:basedOn w:val="Normal"/>
    <w:next w:val="Normal"/>
    <w:link w:val="a1"/>
    <w:uiPriority w:val="99"/>
    <w:semiHidden/>
    <w:pPr>
      <w:ind w:left="100" w:leftChars="2500"/>
    </w:pPr>
  </w:style>
  <w:style w:type="paragraph" w:styleId="BalloonText">
    <w:name w:val="Balloon Text"/>
    <w:basedOn w:val="Normal"/>
    <w:link w:val="a2"/>
    <w:uiPriority w:val="99"/>
    <w:semiHidden/>
    <w:qFormat/>
    <w:rPr>
      <w:rFonts w:cs="Times New Roman"/>
      <w:kern w:val="0"/>
      <w:sz w:val="18"/>
      <w:szCs w:val="18"/>
    </w:rPr>
  </w:style>
  <w:style w:type="paragraph" w:styleId="Footer">
    <w:name w:val="footer"/>
    <w:basedOn w:val="Normal"/>
    <w:link w:val="a0"/>
    <w:pPr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paragraph" w:styleId="Header">
    <w:name w:val="header"/>
    <w:basedOn w:val="Normal"/>
    <w:link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paragraph" w:styleId="TOC1">
    <w:name w:val="toc 1"/>
    <w:basedOn w:val="Normal"/>
    <w:next w:val="Normal"/>
    <w:link w:val="1Char"/>
    <w:uiPriority w:val="39"/>
    <w:qFormat/>
    <w:pPr>
      <w:tabs>
        <w:tab w:val="right" w:leader="dot" w:pos="8296"/>
      </w:tabs>
      <w:spacing w:before="30" w:beforeLines="30" w:after="30" w:afterLines="30"/>
      <w:jc w:val="center"/>
    </w:pPr>
    <w:rPr>
      <w:b/>
      <w:sz w:val="24"/>
      <w:szCs w:val="44"/>
    </w:rPr>
  </w:style>
  <w:style w:type="paragraph" w:styleId="TOC2">
    <w:name w:val="toc 2"/>
    <w:basedOn w:val="Normal"/>
    <w:next w:val="Normal"/>
    <w:uiPriority w:val="39"/>
    <w:qFormat/>
    <w:pPr>
      <w:ind w:left="420" w:leftChars="200"/>
    </w:pPr>
  </w:style>
  <w:style w:type="paragraph" w:styleId="NormalWeb">
    <w:name w:val="Normal (Web)"/>
    <w:basedOn w:val="Normal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qFormat/>
    <w:rPr>
      <w:rFonts w:cs="Times New Roman"/>
      <w:b/>
      <w:bCs/>
      <w:kern w:val="0"/>
      <w:sz w:val="20"/>
      <w:szCs w:val="20"/>
    </w:rPr>
  </w:style>
  <w:style w:type="table" w:styleId="TableGrid">
    <w:name w:val="Table Grid"/>
    <w:basedOn w:val="TableNormal"/>
    <w:uiPriority w:val="99"/>
    <w:qFormat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qFormat/>
  </w:style>
  <w:style w:type="character" w:styleId="Hyperlink">
    <w:name w:val="Hyperlink"/>
    <w:uiPriority w:val="99"/>
    <w:qFormat/>
    <w:rPr>
      <w:color w:val="0563C1"/>
      <w:u w:val="single"/>
    </w:rPr>
  </w:style>
  <w:style w:type="character" w:styleId="CommentReference">
    <w:name w:val="annotation reference"/>
    <w:uiPriority w:val="99"/>
    <w:semiHidden/>
    <w:qFormat/>
    <w:rPr>
      <w:sz w:val="21"/>
      <w:szCs w:val="21"/>
    </w:rPr>
  </w:style>
  <w:style w:type="character" w:customStyle="1" w:styleId="1">
    <w:name w:val="标题 1 字符"/>
    <w:link w:val="Heading1"/>
    <w:uiPriority w:val="99"/>
    <w:qFormat/>
    <w:locked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9"/>
    <w:qFormat/>
    <w:locked/>
    <w:rPr>
      <w:rFonts w:ascii="Calibri Light" w:hAnsi="Calibri Light"/>
      <w:b/>
      <w:bCs/>
      <w:sz w:val="30"/>
      <w:szCs w:val="32"/>
    </w:rPr>
  </w:style>
  <w:style w:type="character" w:customStyle="1" w:styleId="3">
    <w:name w:val="标题 3 字符"/>
    <w:link w:val="Heading3"/>
    <w:uiPriority w:val="99"/>
    <w:qFormat/>
    <w:locked/>
    <w:rPr>
      <w:b/>
      <w:bCs/>
      <w:sz w:val="32"/>
      <w:szCs w:val="32"/>
    </w:rPr>
  </w:style>
  <w:style w:type="character" w:customStyle="1" w:styleId="a">
    <w:name w:val="页眉 字符"/>
    <w:link w:val="Header"/>
    <w:uiPriority w:val="99"/>
    <w:qFormat/>
    <w:locked/>
    <w:rPr>
      <w:sz w:val="18"/>
      <w:szCs w:val="18"/>
    </w:rPr>
  </w:style>
  <w:style w:type="character" w:customStyle="1" w:styleId="a0">
    <w:name w:val="页脚 字符"/>
    <w:link w:val="Footer"/>
    <w:qFormat/>
    <w:locked/>
    <w:rPr>
      <w:sz w:val="18"/>
      <w:szCs w:val="18"/>
    </w:rPr>
  </w:style>
  <w:style w:type="character" w:customStyle="1" w:styleId="a1">
    <w:name w:val="日期 字符"/>
    <w:basedOn w:val="DefaultParagraphFont"/>
    <w:link w:val="Date"/>
    <w:uiPriority w:val="99"/>
    <w:semiHidden/>
    <w:qFormat/>
    <w:locked/>
  </w:style>
  <w:style w:type="paragraph" w:customStyle="1" w:styleId="ListParagraph">
    <w:name w:val="List Paragraph"/>
    <w:basedOn w:val="Normal"/>
    <w:uiPriority w:val="99"/>
    <w:qFormat/>
    <w:pPr>
      <w:ind w:firstLine="420" w:firstLineChars="200"/>
    </w:pPr>
  </w:style>
  <w:style w:type="paragraph" w:customStyle="1" w:styleId="TOC10">
    <w:name w:val="TOC 标题1"/>
    <w:basedOn w:val="Heading1"/>
    <w:next w:val="Normal"/>
    <w:uiPriority w:val="9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bCs w:val="0"/>
      <w:color w:val="2E74B5"/>
      <w:kern w:val="0"/>
      <w:sz w:val="32"/>
      <w:szCs w:val="32"/>
    </w:rPr>
  </w:style>
  <w:style w:type="character" w:customStyle="1" w:styleId="a2">
    <w:name w:val="批注框文本 字符"/>
    <w:link w:val="BalloonText"/>
    <w:uiPriority w:val="99"/>
    <w:semiHidden/>
    <w:qFormat/>
    <w:locked/>
    <w:rPr>
      <w:sz w:val="18"/>
      <w:szCs w:val="18"/>
    </w:rPr>
  </w:style>
  <w:style w:type="paragraph" w:customStyle="1" w:styleId="NoSpacing">
    <w:name w:val="No Spacing"/>
    <w:link w:val="a3"/>
    <w:uiPriority w:val="99"/>
    <w:qFormat/>
    <w:pPr>
      <w:spacing w:after="200" w:line="276" w:lineRule="auto"/>
    </w:pPr>
    <w:rPr>
      <w:rFonts w:ascii="Calibri" w:eastAsia="宋体" w:hAnsi="Calibri" w:cs="Calibri"/>
      <w:sz w:val="22"/>
      <w:szCs w:val="22"/>
      <w:lang w:val="en-US" w:eastAsia="zh-CN" w:bidi="ar-SA"/>
    </w:rPr>
  </w:style>
  <w:style w:type="character" w:customStyle="1" w:styleId="a3">
    <w:name w:val="无间隔 字符"/>
    <w:link w:val="NoSpacing"/>
    <w:uiPriority w:val="99"/>
    <w:qFormat/>
    <w:locked/>
    <w:rPr>
      <w:rFonts w:cs="Calibri"/>
      <w:sz w:val="22"/>
      <w:szCs w:val="22"/>
      <w:lang w:val="en-US" w:eastAsia="zh-CN" w:bidi="ar-SA"/>
    </w:rPr>
  </w:style>
  <w:style w:type="character" w:customStyle="1" w:styleId="a4">
    <w:name w:val="文档结构图 字符"/>
    <w:link w:val="DocumentMap"/>
    <w:uiPriority w:val="99"/>
    <w:semiHidden/>
    <w:qFormat/>
    <w:locked/>
    <w:rPr>
      <w:rFonts w:ascii="宋体" w:eastAsia="宋体" w:cs="宋体"/>
      <w:sz w:val="18"/>
      <w:szCs w:val="18"/>
    </w:rPr>
  </w:style>
  <w:style w:type="paragraph" w:customStyle="1" w:styleId="10">
    <w:name w:val="列出段落1"/>
    <w:basedOn w:val="Normal"/>
    <w:uiPriority w:val="99"/>
    <w:qFormat/>
    <w:pPr>
      <w:ind w:firstLine="420" w:firstLineChars="200"/>
    </w:pPr>
  </w:style>
  <w:style w:type="paragraph" w:customStyle="1" w:styleId="reader-word-layer">
    <w:name w:val="reader-word-layer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批注文字 字符"/>
    <w:basedOn w:val="DefaultParagraphFont"/>
    <w:link w:val="CommentText"/>
    <w:uiPriority w:val="99"/>
    <w:semiHidden/>
    <w:qFormat/>
    <w:locked/>
  </w:style>
  <w:style w:type="character" w:customStyle="1" w:styleId="a6">
    <w:name w:val="批注主题 字符"/>
    <w:link w:val="CommentSubject"/>
    <w:uiPriority w:val="99"/>
    <w:semiHidden/>
    <w:qFormat/>
    <w:locked/>
    <w:rPr>
      <w:b/>
      <w:bCs/>
    </w:rPr>
  </w:style>
  <w:style w:type="character" w:customStyle="1" w:styleId="1Char">
    <w:name w:val="目录 1 Char"/>
    <w:link w:val="TOC1"/>
    <w:uiPriority w:val="39"/>
    <w:rPr>
      <w:rFonts w:eastAsia="宋体"/>
      <w:b/>
      <w:sz w:val="2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2933</Words>
  <Characters>3034</Characters>
  <Application>Microsoft Office Word</Application>
  <DocSecurity>0</DocSecurity>
  <Lines>35</Lines>
  <Paragraphs>10</Paragraphs>
  <ScaleCrop>false</ScaleCrop>
  <Company>Microsoft</Company>
  <LinksUpToDate>false</LinksUpToDate>
  <CharactersWithSpaces>4157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孙志辉</dc:creator>
  <cp:lastModifiedBy>郝宇</cp:lastModifiedBy>
  <cp:revision>51</cp:revision>
  <cp:lastPrinted>2014-11-25T05:40:00Z</cp:lastPrinted>
  <dcterms:created xsi:type="dcterms:W3CDTF">2014-11-24T14:33:00Z</dcterms:created>
  <dcterms:modified xsi:type="dcterms:W3CDTF">2025-10-16T19:30:30Z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AB1AB0B0386544E68E71CF5E3A7CD6D7_12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