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ackground w:color="ffffff">
    <v:background id="_x0000_s1025" filled="t"/>
  </w:background>
  <w:body>
    <w:p>
      <w:pPr>
        <w:jc w:val="center"/>
        <w:rPr>
          <w:rFonts w:ascii="宋体" w:hAnsi="宋体"/>
          <w:b/>
          <w:sz w:val="52"/>
        </w:rPr>
      </w:pPr>
    </w:p>
    <w:p>
      <w:pPr>
        <w:jc w:val="center"/>
        <w:rPr>
          <w:rFonts w:ascii="宋体" w:hAnsi="宋体"/>
          <w:sz w:val="52"/>
          <w:szCs w:val="52"/>
        </w:rPr>
      </w:pPr>
      <w:bookmarkStart w:id="0" w:name="OLE_LINK9"/>
      <w:bookmarkStart w:id="1" w:name="OLE_LINK8"/>
      <w:bookmarkStart w:id="2" w:name="OLE_LINK2"/>
      <w:bookmarkStart w:id="3" w:name="OLE_LINK1"/>
      <w:r>
        <w:rPr>
          <w:rFonts w:ascii="宋体" w:hAnsi="宋体" w:hint="eastAsia"/>
          <w:b/>
          <w:sz w:val="52"/>
          <w:szCs w:val="52"/>
        </w:rPr>
        <w:t>南京航之舟数字科技有限公司</w:t>
      </w:r>
    </w:p>
    <w:p>
      <w:pPr>
        <w:jc w:val="center"/>
        <w:rPr>
          <w:rFonts w:ascii="宋体" w:hAnsi="宋体"/>
          <w:b/>
          <w:sz w:val="52"/>
          <w:szCs w:val="52"/>
        </w:rPr>
      </w:pPr>
      <w:bookmarkEnd w:id="0"/>
      <w:bookmarkEnd w:id="1"/>
      <w:bookmarkEnd w:id="2"/>
      <w:bookmarkEnd w:id="3"/>
      <w:r>
        <w:rPr>
          <w:rFonts w:ascii="宋体" w:hAnsi="宋体" w:hint="eastAsia"/>
          <w:b/>
          <w:sz w:val="48"/>
          <w:szCs w:val="52"/>
        </w:rPr>
        <w:t xml:space="preserve">  </w:t>
      </w:r>
      <w:r>
        <w:rPr>
          <w:rFonts w:ascii="宋体" w:hAnsi="宋体" w:hint="eastAsia"/>
          <w:b/>
          <w:sz w:val="52"/>
        </w:rPr>
        <w:t>运维服务绩效考核管理程序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ind w:firstLine="1239" w:firstLineChars="590"/>
      </w:pPr>
    </w:p>
    <w:p/>
    <w:p/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tbl>
      <w:tblPr>
        <w:tblStyle w:val="TableNormal"/>
        <w:tblpPr w:leftFromText="180" w:rightFromText="180" w:vertAnchor="text" w:horzAnchor="page" w:tblpX="1934" w:tblpY="498"/>
        <w:tblOverlap w:val="never"/>
        <w:tblW w:w="85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W w:w="8526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/>
        </w:trPr>
        <w:tc>
          <w:tcPr>
            <w:tcW w:w="982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</w:rPr>
              <w:t>徐宏兰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史志伟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陈潮华</w:t>
            </w:r>
          </w:p>
        </w:tc>
      </w:tr>
      <w:tr>
        <w:tblPrEx>
          <w:tblW w:w="852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2025年1月1日</w:t>
            </w:r>
          </w:p>
        </w:tc>
      </w:tr>
    </w:tbl>
    <w:p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发布、修订记录</w:t>
      </w:r>
    </w:p>
    <w:tbl>
      <w:tblPr>
        <w:tblStyle w:val="TableNormal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W w:w="9288" w:type="dxa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批准人/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修订原因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2025.1.1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徐宏兰</w:t>
            </w:r>
          </w:p>
        </w:tc>
        <w:tc>
          <w:tcPr>
            <w:tcW w:w="145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史志伟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陈潮华</w:t>
            </w:r>
          </w:p>
        </w:tc>
        <w:tc>
          <w:tcPr>
            <w:tcW w:w="2118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新建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p>
      <w:pPr>
        <w:spacing w:line="276" w:lineRule="auto"/>
        <w:jc w:val="left"/>
        <w:rPr>
          <w:rFonts w:ascii="宋体" w:hAnsi="宋体"/>
          <w:b/>
          <w:bCs/>
          <w:sz w:val="36"/>
          <w:szCs w:val="36"/>
        </w:rPr>
      </w:pPr>
    </w:p>
    <w:p>
      <w:pPr>
        <w:widowControl/>
        <w:jc w:val="left"/>
        <w:rPr>
          <w:rFonts w:ascii="宋体"/>
          <w:b/>
          <w:bCs/>
          <w:sz w:val="44"/>
          <w:szCs w:val="44"/>
        </w:rPr>
        <w:sectPr>
          <w:headerReference w:type="default" r:id="rId5"/>
          <w:headerReference w:type="first" r:id="rId6"/>
          <w:footerReference w:type="first" r:id="rId7"/>
          <w:pgSz w:w="11906" w:h="16838"/>
          <w:pgMar w:top="1440" w:right="1800" w:bottom="1440" w:left="1800" w:header="907" w:footer="907" w:gutter="0"/>
          <w:pgNumType w:start="0"/>
          <w:cols w:num="1" w:space="720"/>
          <w:titlePg/>
          <w:docGrid w:type="lines" w:linePitch="312" w:charSpace="0"/>
        </w:sectPr>
      </w:pPr>
    </w:p>
    <w:p>
      <w:pPr>
        <w:spacing w:before="94" w:beforeLines="30" w:after="94" w:afterLines="30"/>
        <w:ind w:left="239" w:hanging="113" w:hangingChars="54"/>
        <w:jc w:val="center"/>
        <w:rPr>
          <w:rFonts w:ascii="宋体" w:hAnsi="宋体"/>
        </w:rPr>
      </w:pPr>
      <w:r>
        <w:rPr>
          <w:rFonts w:cs="宋体" w:hint="eastAsia"/>
          <w:b/>
          <w:sz w:val="44"/>
          <w:szCs w:val="44"/>
        </w:rPr>
        <w:t>目  录</w:t>
      </w:r>
      <w:r>
        <w:rPr>
          <w:rFonts w:ascii="宋体" w:hAnsi="宋体"/>
          <w:b/>
        </w:rPr>
        <w:fldChar w:fldCharType="begin"/>
      </w:r>
      <w:r>
        <w:rPr>
          <w:rFonts w:ascii="宋体" w:hAnsi="宋体"/>
          <w:b/>
        </w:rPr>
        <w:instrText xml:space="preserve">TOC \o "1-3" \h  \u </w:instrText>
      </w:r>
      <w:r>
        <w:rPr>
          <w:rFonts w:ascii="宋体" w:hAnsi="宋体"/>
          <w:b/>
        </w:rPr>
        <w:fldChar w:fldCharType="separate"/>
      </w:r>
    </w:p>
    <w:p>
      <w:pPr>
        <w:pStyle w:val="TOC1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"_Toc493509288" </w:instrText>
      </w:r>
      <w:r>
        <w:fldChar w:fldCharType="separate"/>
      </w:r>
      <w:r>
        <w:rPr>
          <w:rStyle w:val="Hyperlink"/>
          <w:rFonts w:ascii="宋体" w:hAnsi="宋体" w:cs="宋体"/>
        </w:rPr>
        <w:t>一、目的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_Toc493509288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1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TOC1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"_Toc493509289" </w:instrText>
      </w:r>
      <w:r>
        <w:fldChar w:fldCharType="separate"/>
      </w:r>
      <w:r>
        <w:rPr>
          <w:rStyle w:val="Hyperlink"/>
          <w:rFonts w:ascii="宋体" w:hAnsi="宋体" w:cs="宋体"/>
        </w:rPr>
        <w:t>二、适用范围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_Toc493509289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1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TOC1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"_Toc493509290" </w:instrText>
      </w:r>
      <w:r>
        <w:fldChar w:fldCharType="separate"/>
      </w:r>
      <w:r>
        <w:rPr>
          <w:rStyle w:val="Hyperlink"/>
          <w:rFonts w:ascii="宋体" w:hAnsi="宋体" w:cs="宋体"/>
        </w:rPr>
        <w:t>三、依据绩效管理职责的组织分工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_Toc493509290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1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TOC1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"_Toc493509291" </w:instrText>
      </w:r>
      <w:r>
        <w:fldChar w:fldCharType="separate"/>
      </w:r>
      <w:r>
        <w:rPr>
          <w:rStyle w:val="Hyperlink"/>
          <w:rFonts w:ascii="宋体" w:hAnsi="宋体" w:cs="宋体"/>
        </w:rPr>
        <w:t>四、绩效管理的基本原则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_Toc493509291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2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TOC1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"_Toc493509292" </w:instrText>
      </w:r>
      <w:r>
        <w:fldChar w:fldCharType="separate"/>
      </w:r>
      <w:r>
        <w:rPr>
          <w:rStyle w:val="Hyperlink"/>
          <w:rFonts w:ascii="宋体" w:hAnsi="宋体" w:cs="宋体"/>
        </w:rPr>
        <w:t>五、考核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_Toc493509292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3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TOC1"/>
        <w:spacing w:before="94" w:beforeLines="30" w:after="94" w:afterLines="30"/>
        <w:rPr>
          <w:rFonts w:ascii="宋体" w:hAnsi="宋体"/>
        </w:rPr>
      </w:pPr>
      <w:r>
        <w:fldChar w:fldCharType="begin"/>
      </w:r>
      <w:r>
        <w:instrText xml:space="preserve"> HYPERLINK \l "_Toc493509293" </w:instrText>
      </w:r>
      <w:r>
        <w:fldChar w:fldCharType="separate"/>
      </w:r>
      <w:r>
        <w:rPr>
          <w:rStyle w:val="Hyperlink"/>
          <w:rFonts w:ascii="宋体" w:hAnsi="宋体" w:cs="宋体"/>
        </w:rPr>
        <w:t>六、绩效结果的应用</w:t>
      </w:r>
      <w:r>
        <w:rPr>
          <w:rFonts w:ascii="宋体" w:hAnsi="宋体"/>
        </w:rPr>
        <w:tab/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PAGEREF _Toc493509293 \h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t>6</w:t>
      </w:r>
      <w:r>
        <w:rPr>
          <w:rFonts w:ascii="宋体" w:hAnsi="宋体"/>
        </w:rPr>
        <w:fldChar w:fldCharType="end"/>
      </w:r>
      <w:r>
        <w:fldChar w:fldCharType="end"/>
      </w:r>
    </w:p>
    <w:p>
      <w:pPr>
        <w:pStyle w:val="NormalIndent"/>
        <w:spacing w:before="94" w:beforeLines="30" w:after="94" w:afterLines="30" w:line="240" w:lineRule="auto"/>
        <w:ind w:left="113" w:hanging="113" w:hangingChars="54"/>
        <w:rPr>
          <w:rFonts w:cs="Times New Roman"/>
        </w:rPr>
      </w:pPr>
      <w:r>
        <w:rPr>
          <w:rFonts w:hAnsi="宋体"/>
          <w:sz w:val="21"/>
          <w:szCs w:val="21"/>
        </w:rPr>
        <w:fldChar w:fldCharType="end"/>
      </w: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NormalIndent"/>
        <w:ind w:firstLine="0"/>
        <w:rPr>
          <w:rFonts w:cs="Times New Roman"/>
          <w:b/>
          <w:bCs/>
          <w:sz w:val="28"/>
          <w:szCs w:val="28"/>
        </w:rPr>
      </w:pPr>
    </w:p>
    <w:p>
      <w:pPr>
        <w:pStyle w:val="Heading1"/>
        <w:ind w:left="173" w:hanging="113" w:hangingChars="54"/>
        <w:rPr>
          <w:rFonts w:cs="宋体" w:hint="eastAsia"/>
          <w:sz w:val="32"/>
          <w:szCs w:val="32"/>
        </w:rPr>
        <w:sectPr>
          <w:pgSz w:w="11906" w:h="16838"/>
          <w:pgMar w:top="1440" w:right="1800" w:bottom="1440" w:left="1800" w:header="907" w:footer="907" w:gutter="0"/>
          <w:pgNumType w:start="0"/>
          <w:cols w:num="1" w:space="720"/>
          <w:titlePg/>
          <w:docGrid w:type="lines" w:linePitch="312" w:charSpace="0"/>
        </w:sectPr>
      </w:pPr>
      <w:bookmarkStart w:id="4" w:name="_Toc493509288"/>
    </w:p>
    <w:p>
      <w:pPr>
        <w:pStyle w:val="Heading1"/>
        <w:ind w:left="173" w:hanging="113" w:hangingChars="54"/>
        <w:rPr>
          <w:sz w:val="32"/>
          <w:szCs w:val="32"/>
        </w:rPr>
      </w:pPr>
      <w:r>
        <w:rPr>
          <w:rFonts w:cs="宋体" w:hint="eastAsia"/>
          <w:sz w:val="32"/>
          <w:szCs w:val="32"/>
        </w:rPr>
        <w:t>一、目的</w:t>
      </w:r>
      <w:bookmarkEnd w:id="4"/>
    </w:p>
    <w:p>
      <w:pPr>
        <w:pStyle w:val="NormalIndent"/>
        <w:numPr>
          <w:ilvl w:val="0"/>
          <w:numId w:val="1"/>
        </w:numPr>
        <w:tabs>
          <w:tab w:val="left" w:pos="567"/>
        </w:tabs>
        <w:ind w:left="130" w:hanging="113" w:hangingChars="54"/>
        <w:rPr>
          <w:rFonts w:hAnsi="宋体" w:cs="Times New Roman"/>
        </w:rPr>
      </w:pPr>
      <w:r>
        <w:rPr>
          <w:rFonts w:hAnsi="宋体" w:hint="eastAsia"/>
        </w:rPr>
        <w:t>提升客户满意度，保证公司年度经营目标的实现。</w:t>
      </w:r>
    </w:p>
    <w:p>
      <w:pPr>
        <w:pStyle w:val="NormalIndent"/>
        <w:numPr>
          <w:ilvl w:val="0"/>
          <w:numId w:val="1"/>
        </w:numPr>
        <w:tabs>
          <w:tab w:val="left" w:pos="567"/>
        </w:tabs>
        <w:ind w:left="130" w:hanging="113" w:hangingChars="54"/>
        <w:rPr>
          <w:rFonts w:hAnsi="宋体" w:cs="Times New Roman"/>
        </w:rPr>
      </w:pPr>
      <w:r>
        <w:rPr>
          <w:rFonts w:hAnsi="宋体" w:hint="eastAsia"/>
        </w:rPr>
        <w:t>分层考核，细化指标，提高绩效考核的针对性和效果，使组织绩效不断优化。</w:t>
      </w:r>
    </w:p>
    <w:p>
      <w:pPr>
        <w:pStyle w:val="NormalIndent"/>
        <w:numPr>
          <w:ilvl w:val="0"/>
          <w:numId w:val="1"/>
        </w:numPr>
        <w:tabs>
          <w:tab w:val="left" w:pos="567"/>
        </w:tabs>
        <w:ind w:left="130" w:hanging="113" w:hangingChars="54"/>
        <w:rPr>
          <w:rFonts w:hAnsi="宋体" w:cs="Times New Roman"/>
        </w:rPr>
      </w:pPr>
      <w:r>
        <w:rPr>
          <w:rFonts w:hAnsi="宋体" w:hint="eastAsia"/>
        </w:rPr>
        <w:t>建立能者上、庸者下，优胜劣汰的竞争机制。</w:t>
      </w:r>
    </w:p>
    <w:p>
      <w:pPr>
        <w:pStyle w:val="Heading1"/>
        <w:ind w:left="173" w:hanging="113" w:hangingChars="54"/>
        <w:rPr>
          <w:sz w:val="32"/>
          <w:szCs w:val="32"/>
        </w:rPr>
      </w:pPr>
      <w:bookmarkStart w:id="5" w:name="_Toc493509289"/>
      <w:r>
        <w:rPr>
          <w:rFonts w:cs="宋体" w:hint="eastAsia"/>
          <w:sz w:val="32"/>
          <w:szCs w:val="32"/>
        </w:rPr>
        <w:t>二、适用范围</w:t>
      </w:r>
      <w:bookmarkEnd w:id="5"/>
    </w:p>
    <w:p>
      <w:pPr>
        <w:pStyle w:val="NormalIndent"/>
        <w:ind w:left="130" w:hanging="113" w:hangingChars="54"/>
        <w:rPr>
          <w:rFonts w:hAnsi="宋体" w:cs="Times New Roman"/>
        </w:rPr>
      </w:pPr>
      <w:r>
        <w:rPr>
          <w:rFonts w:hAnsi="宋体" w:hint="eastAsia"/>
        </w:rPr>
        <w:t>适用于运维服务的全体员工及储备人员，考核周期内出勤不满</w:t>
      </w:r>
      <w:r>
        <w:rPr>
          <w:rFonts w:hAnsi="宋体"/>
        </w:rPr>
        <w:t>2/3</w:t>
      </w:r>
      <w:r>
        <w:rPr>
          <w:rFonts w:hAnsi="宋体" w:hint="eastAsia"/>
        </w:rPr>
        <w:t>时间者除外。</w:t>
      </w:r>
    </w:p>
    <w:p>
      <w:pPr>
        <w:pStyle w:val="Heading1"/>
        <w:ind w:left="173" w:hanging="113" w:hangingChars="54"/>
        <w:rPr>
          <w:sz w:val="32"/>
          <w:szCs w:val="32"/>
        </w:rPr>
      </w:pPr>
      <w:bookmarkStart w:id="6" w:name="_Toc493509290"/>
      <w:r>
        <w:rPr>
          <w:rFonts w:cs="宋体" w:hint="eastAsia"/>
          <w:sz w:val="32"/>
          <w:szCs w:val="32"/>
        </w:rPr>
        <w:t>三、依据绩效管理职责的组织分工</w:t>
      </w:r>
      <w:bookmarkEnd w:id="6"/>
    </w:p>
    <w:p>
      <w:pPr>
        <w:pStyle w:val="NormalIndent"/>
        <w:numPr>
          <w:ilvl w:val="0"/>
          <w:numId w:val="2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绩效管理包括：公司对组织的考核及组织对员工的考核两个层面。</w:t>
      </w:r>
    </w:p>
    <w:p>
      <w:pPr>
        <w:pStyle w:val="NormalIndent"/>
        <w:numPr>
          <w:ilvl w:val="0"/>
          <w:numId w:val="2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对组织（中心、部门及项目）的考核由公司绩效考核领导小组实施；</w:t>
      </w:r>
    </w:p>
    <w:p>
      <w:pPr>
        <w:pStyle w:val="NormalIndent"/>
        <w:numPr>
          <w:ilvl w:val="0"/>
          <w:numId w:val="3"/>
        </w:numPr>
        <w:ind w:left="425" w:hanging="425" w:leftChars="0" w:firstLineChars="0"/>
        <w:rPr>
          <w:rFonts w:hAnsi="宋体" w:cs="Times New Roman"/>
        </w:rPr>
      </w:pPr>
      <w:r>
        <w:rPr>
          <w:rFonts w:hAnsi="宋体" w:hint="eastAsia"/>
        </w:rPr>
        <w:t>绩效考核领导小组由以下岗职人员组成。</w:t>
      </w:r>
    </w:p>
    <w:p>
      <w:pPr>
        <w:pStyle w:val="NormalIndent"/>
        <w:numPr>
          <w:ilvl w:val="0"/>
          <w:numId w:val="4"/>
        </w:numPr>
        <w:tabs>
          <w:tab w:val="left" w:pos="142"/>
        </w:tabs>
        <w:ind w:left="142" w:firstLine="142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组长：总经理</w:t>
      </w:r>
    </w:p>
    <w:p>
      <w:pPr>
        <w:pStyle w:val="NormalIndent"/>
        <w:numPr>
          <w:ilvl w:val="0"/>
          <w:numId w:val="4"/>
        </w:numPr>
        <w:tabs>
          <w:tab w:val="left" w:pos="142"/>
        </w:tabs>
        <w:ind w:left="142" w:firstLine="142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组员：各业务部门经理、人力资源经理</w:t>
      </w:r>
    </w:p>
    <w:p>
      <w:pPr>
        <w:pStyle w:val="NormalIndent"/>
        <w:numPr>
          <w:ilvl w:val="0"/>
          <w:numId w:val="3"/>
        </w:numPr>
        <w:ind w:left="425" w:hanging="425" w:leftChars="0" w:firstLineChars="0"/>
        <w:rPr>
          <w:rFonts w:hAnsi="宋体" w:cs="Times New Roman"/>
        </w:rPr>
      </w:pPr>
      <w:r>
        <w:rPr>
          <w:rFonts w:hAnsi="宋体" w:hint="eastAsia"/>
        </w:rPr>
        <w:t>职责：</w:t>
      </w:r>
    </w:p>
    <w:p>
      <w:pPr>
        <w:pStyle w:val="NormalIndent"/>
        <w:tabs>
          <w:tab w:val="left" w:pos="142"/>
        </w:tabs>
        <w:ind w:left="284" w:firstLine="525" w:firstLineChars="250"/>
        <w:rPr>
          <w:rFonts w:hAnsi="宋体" w:cs="Times New Roman"/>
        </w:rPr>
      </w:pPr>
      <w:r>
        <w:rPr>
          <w:rFonts w:hAnsi="宋体" w:hint="eastAsia"/>
        </w:rPr>
        <w:t>依据公司年度经营战略目标，制定各部门及项目的分解目标。</w:t>
      </w:r>
    </w:p>
    <w:p>
      <w:pPr>
        <w:pStyle w:val="NormalIndent"/>
        <w:numPr>
          <w:ilvl w:val="0"/>
          <w:numId w:val="5"/>
        </w:numPr>
        <w:tabs>
          <w:tab w:val="left" w:pos="142"/>
        </w:tabs>
        <w:ind w:left="142" w:firstLine="142"/>
        <w:rPr>
          <w:rFonts w:hAnsi="宋体" w:cs="Times New Roman"/>
        </w:rPr>
      </w:pPr>
      <w:r>
        <w:rPr>
          <w:rFonts w:hAnsi="宋体" w:hint="eastAsia"/>
        </w:rPr>
        <w:t>修订、完善公司《绩效考核管理制度》，并审核组织的考核指标。</w:t>
      </w:r>
    </w:p>
    <w:p>
      <w:pPr>
        <w:pStyle w:val="NormalIndent"/>
        <w:numPr>
          <w:ilvl w:val="0"/>
          <w:numId w:val="5"/>
        </w:numPr>
        <w:tabs>
          <w:tab w:val="left" w:pos="142"/>
        </w:tabs>
        <w:ind w:left="142" w:firstLine="142"/>
        <w:rPr>
          <w:rFonts w:hAnsi="宋体" w:cs="Times New Roman"/>
        </w:rPr>
      </w:pPr>
      <w:r>
        <w:rPr>
          <w:rFonts w:hAnsi="宋体" w:hint="eastAsia"/>
        </w:rPr>
        <w:t>审核各部门的绩效考核结果。</w:t>
      </w:r>
    </w:p>
    <w:p>
      <w:pPr>
        <w:pStyle w:val="NormalIndent"/>
        <w:numPr>
          <w:ilvl w:val="0"/>
          <w:numId w:val="5"/>
        </w:numPr>
        <w:tabs>
          <w:tab w:val="left" w:pos="142"/>
        </w:tabs>
        <w:ind w:left="142" w:firstLine="142"/>
        <w:rPr>
          <w:rFonts w:hAnsi="宋体" w:cs="Times New Roman"/>
        </w:rPr>
      </w:pPr>
      <w:r>
        <w:rPr>
          <w:rFonts w:hAnsi="宋体" w:hint="eastAsia"/>
        </w:rPr>
        <w:t>受理员工关于绩效考核的申诉及投诉。</w:t>
      </w:r>
    </w:p>
    <w:p>
      <w:pPr>
        <w:pStyle w:val="NormalIndent"/>
        <w:tabs>
          <w:tab w:val="left" w:pos="142"/>
        </w:tabs>
        <w:ind w:left="284" w:firstLine="0"/>
        <w:rPr>
          <w:rFonts w:hAnsi="宋体" w:cs="Times New Roman"/>
        </w:rPr>
      </w:pPr>
    </w:p>
    <w:p>
      <w:pPr>
        <w:pStyle w:val="NormalIndent"/>
        <w:numPr>
          <w:ilvl w:val="0"/>
          <w:numId w:val="2"/>
        </w:numPr>
        <w:tabs>
          <w:tab w:val="left" w:pos="1276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组织对员工的考核由绩效小组实施：</w:t>
      </w:r>
    </w:p>
    <w:p>
      <w:pPr>
        <w:pStyle w:val="NormalIndent"/>
        <w:numPr>
          <w:ilvl w:val="0"/>
          <w:numId w:val="6"/>
        </w:numPr>
        <w:ind w:left="130" w:firstLine="0"/>
        <w:rPr>
          <w:rFonts w:hAnsi="宋体" w:cs="Times New Roman"/>
        </w:rPr>
      </w:pPr>
      <w:r>
        <w:rPr>
          <w:rFonts w:hAnsi="宋体" w:hint="eastAsia"/>
        </w:rPr>
        <w:t>运维业务部门绩效考核小组由以下岗职人员组成</w:t>
      </w:r>
    </w:p>
    <w:p>
      <w:pPr>
        <w:pStyle w:val="NormalIndent"/>
        <w:numPr>
          <w:ilvl w:val="0"/>
          <w:numId w:val="7"/>
        </w:numPr>
        <w:tabs>
          <w:tab w:val="left" w:pos="142"/>
          <w:tab w:val="clear" w:pos="420"/>
        </w:tabs>
        <w:ind w:left="420" w:firstLine="0" w:leftChars="0"/>
        <w:rPr>
          <w:rFonts w:hAnsi="宋体" w:cs="Times New Roman"/>
        </w:rPr>
      </w:pPr>
      <w:r>
        <w:rPr>
          <w:rFonts w:hAnsi="宋体" w:hint="eastAsia"/>
        </w:rPr>
        <w:t>负责人：运维管理部经理、技术部经理、服务经理</w:t>
      </w:r>
    </w:p>
    <w:p>
      <w:pPr>
        <w:pStyle w:val="NormalIndent"/>
        <w:numPr>
          <w:ilvl w:val="0"/>
          <w:numId w:val="7"/>
        </w:numPr>
        <w:tabs>
          <w:tab w:val="left" w:pos="142"/>
          <w:tab w:val="clear" w:pos="420"/>
        </w:tabs>
        <w:ind w:left="420" w:firstLine="0" w:leftChars="0"/>
        <w:rPr>
          <w:rFonts w:hAnsi="宋体" w:cs="Times New Roman"/>
        </w:rPr>
      </w:pPr>
      <w:r>
        <w:rPr>
          <w:rFonts w:hAnsi="宋体" w:hint="eastAsia"/>
        </w:rPr>
        <w:t>小组成员：质量管理部成员</w:t>
      </w:r>
    </w:p>
    <w:p>
      <w:pPr>
        <w:pStyle w:val="NormalIndent"/>
        <w:numPr>
          <w:ilvl w:val="0"/>
          <w:numId w:val="7"/>
        </w:numPr>
        <w:tabs>
          <w:tab w:val="left" w:pos="142"/>
          <w:tab w:val="clear" w:pos="420"/>
        </w:tabs>
        <w:ind w:left="420" w:firstLine="0" w:leftChars="0"/>
        <w:rPr>
          <w:rFonts w:hAnsi="宋体" w:cs="Times New Roman"/>
        </w:rPr>
      </w:pPr>
      <w:r>
        <w:rPr>
          <w:rFonts w:hAnsi="宋体" w:hint="eastAsia"/>
        </w:rPr>
        <w:t>管理监督：绩效考核领导小组。</w:t>
      </w:r>
    </w:p>
    <w:p>
      <w:pPr>
        <w:pStyle w:val="NormalIndent"/>
        <w:numPr>
          <w:ilvl w:val="0"/>
          <w:numId w:val="6"/>
        </w:numPr>
        <w:ind w:left="130" w:firstLine="0"/>
        <w:rPr>
          <w:rFonts w:hAnsi="宋体" w:cs="Times New Roman"/>
        </w:rPr>
      </w:pPr>
      <w:r>
        <w:rPr>
          <w:rFonts w:hAnsi="宋体" w:hint="eastAsia"/>
        </w:rPr>
        <w:t>职责：</w:t>
      </w:r>
    </w:p>
    <w:p>
      <w:pPr>
        <w:pStyle w:val="NormalIndent"/>
        <w:numPr>
          <w:ilvl w:val="0"/>
          <w:numId w:val="8"/>
        </w:numPr>
        <w:ind w:left="420" w:firstLine="0" w:leftChars="0"/>
        <w:rPr>
          <w:rFonts w:hAnsi="宋体" w:cs="Times New Roman"/>
        </w:rPr>
      </w:pPr>
      <w:r>
        <w:rPr>
          <w:rFonts w:hAnsi="宋体" w:hint="eastAsia"/>
        </w:rPr>
        <w:t>根据运维业务战略，制定系统运维部各岗位的分解目标。</w:t>
      </w:r>
    </w:p>
    <w:p>
      <w:pPr>
        <w:pStyle w:val="NormalIndent"/>
        <w:numPr>
          <w:ilvl w:val="0"/>
          <w:numId w:val="8"/>
        </w:numPr>
        <w:ind w:left="420" w:firstLine="0" w:leftChars="0"/>
        <w:rPr>
          <w:rFonts w:hAnsi="宋体" w:cs="Times New Roman"/>
        </w:rPr>
      </w:pPr>
      <w:r>
        <w:rPr>
          <w:rFonts w:hAnsi="宋体" w:hint="eastAsia"/>
        </w:rPr>
        <w:t>依据项目客户对运维服务能力的要求，制定运维服务能力指标体系，将指标体系分解落实到各责任岗位，同时完成各岗位其它</w:t>
      </w:r>
      <w:r>
        <w:rPr>
          <w:rFonts w:hAnsi="宋体"/>
        </w:rPr>
        <w:t>KPI</w:t>
      </w:r>
      <w:r>
        <w:rPr>
          <w:rFonts w:hAnsi="宋体" w:hint="eastAsia"/>
        </w:rPr>
        <w:t>的设定。</w:t>
      </w:r>
    </w:p>
    <w:p>
      <w:pPr>
        <w:pStyle w:val="NormalIndent"/>
        <w:numPr>
          <w:ilvl w:val="0"/>
          <w:numId w:val="8"/>
        </w:numPr>
        <w:ind w:left="420" w:firstLine="0" w:leftChars="0"/>
        <w:rPr>
          <w:rFonts w:hAnsi="宋体" w:cs="Times New Roman"/>
        </w:rPr>
      </w:pPr>
      <w:r>
        <w:rPr>
          <w:rFonts w:hAnsi="宋体" w:hint="eastAsia"/>
        </w:rPr>
        <w:t>制定系统运维部年度工作计划，按不同的考核周期拟定岗位绩效计划，对计划实施过程予以日常指导和监控，并对计划完成情况予以考核。</w:t>
      </w:r>
    </w:p>
    <w:p>
      <w:pPr>
        <w:pStyle w:val="NormalIndent"/>
        <w:numPr>
          <w:ilvl w:val="0"/>
          <w:numId w:val="8"/>
        </w:numPr>
        <w:ind w:left="420" w:firstLine="0" w:leftChars="0"/>
        <w:rPr>
          <w:rFonts w:hAnsi="宋体" w:cs="Times New Roman"/>
        </w:rPr>
      </w:pPr>
      <w:r>
        <w:rPr>
          <w:rFonts w:hAnsi="宋体" w:hint="eastAsia"/>
        </w:rPr>
        <w:t>实施对系统运维部各岗位人员的考核；与被考核人开展绩效沟通，提出员工绩效改善方案；持续跟进后续考核期员工的绩效改善状态。</w:t>
      </w:r>
    </w:p>
    <w:p>
      <w:pPr>
        <w:pStyle w:val="NormalIndent"/>
        <w:numPr>
          <w:ilvl w:val="0"/>
          <w:numId w:val="2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人力资源部职责：</w:t>
      </w:r>
    </w:p>
    <w:p>
      <w:pPr>
        <w:pStyle w:val="NormalIndent"/>
        <w:numPr>
          <w:ilvl w:val="0"/>
          <w:numId w:val="9"/>
        </w:numPr>
        <w:tabs>
          <w:tab w:val="left" w:pos="0"/>
          <w:tab w:val="left" w:pos="567"/>
        </w:tabs>
        <w:ind w:left="142" w:hanging="142"/>
        <w:rPr>
          <w:rFonts w:hAnsi="宋体" w:cs="Times New Roman"/>
        </w:rPr>
      </w:pPr>
      <w:r>
        <w:rPr>
          <w:rFonts w:hAnsi="宋体" w:hint="eastAsia"/>
        </w:rPr>
        <w:t>设计、修订并完善组织级绩效考核管理制度；</w:t>
      </w:r>
    </w:p>
    <w:p>
      <w:pPr>
        <w:pStyle w:val="NormalIndent"/>
        <w:numPr>
          <w:ilvl w:val="0"/>
          <w:numId w:val="9"/>
        </w:numPr>
        <w:tabs>
          <w:tab w:val="left" w:pos="0"/>
          <w:tab w:val="left" w:pos="567"/>
        </w:tabs>
        <w:ind w:left="142" w:hanging="142"/>
        <w:rPr>
          <w:rFonts w:hAnsi="宋体" w:cs="Times New Roman"/>
        </w:rPr>
      </w:pPr>
      <w:r>
        <w:rPr>
          <w:rFonts w:hAnsi="宋体" w:hint="eastAsia"/>
        </w:rPr>
        <w:t>实施绩效管理制度、方案的宣贯、培训，确保管理者知悉、理解考核工具的应用；</w:t>
      </w:r>
    </w:p>
    <w:p>
      <w:pPr>
        <w:pStyle w:val="NormalIndent"/>
        <w:numPr>
          <w:ilvl w:val="0"/>
          <w:numId w:val="9"/>
        </w:numPr>
        <w:tabs>
          <w:tab w:val="left" w:pos="0"/>
          <w:tab w:val="left" w:pos="567"/>
        </w:tabs>
        <w:ind w:left="142" w:hanging="142"/>
        <w:rPr>
          <w:rFonts w:hAnsi="宋体" w:cs="Times New Roman"/>
        </w:rPr>
      </w:pPr>
      <w:r>
        <w:rPr>
          <w:rFonts w:hAnsi="宋体" w:hint="eastAsia"/>
        </w:rPr>
        <w:t>组织日常考核的开展，确保绩效结果与绩效工资的挂钩；</w:t>
      </w:r>
    </w:p>
    <w:p>
      <w:pPr>
        <w:pStyle w:val="NormalIndent"/>
        <w:numPr>
          <w:ilvl w:val="0"/>
          <w:numId w:val="2"/>
        </w:numPr>
        <w:tabs>
          <w:tab w:val="left" w:pos="567"/>
        </w:tabs>
        <w:ind w:left="130" w:firstLine="0"/>
        <w:rPr>
          <w:rFonts w:hAnsi="宋体"/>
        </w:rPr>
      </w:pPr>
      <w:r>
        <w:rPr>
          <w:rFonts w:hAnsi="宋体" w:hint="eastAsia"/>
        </w:rPr>
        <w:t>财务部负责对年终及项目完工后的各项经营数据进行审核，发放奖金。</w:t>
      </w:r>
    </w:p>
    <w:p>
      <w:pPr>
        <w:pStyle w:val="Heading1"/>
        <w:ind w:left="239"/>
        <w:rPr>
          <w:sz w:val="32"/>
          <w:szCs w:val="32"/>
        </w:rPr>
      </w:pPr>
      <w:bookmarkStart w:id="7" w:name="_Toc493509291"/>
      <w:r>
        <w:rPr>
          <w:rFonts w:cs="宋体" w:hint="eastAsia"/>
          <w:sz w:val="32"/>
          <w:szCs w:val="32"/>
        </w:rPr>
        <w:t>四、绩效管理的基本原则</w:t>
      </w:r>
      <w:bookmarkEnd w:id="7"/>
    </w:p>
    <w:p>
      <w:pPr>
        <w:pStyle w:val="NormalIndent"/>
        <w:numPr>
          <w:ilvl w:val="0"/>
          <w:numId w:val="10"/>
        </w:numPr>
        <w:tabs>
          <w:tab w:val="left" w:pos="709"/>
        </w:tabs>
        <w:ind w:left="130" w:firstLine="0"/>
        <w:rPr>
          <w:rFonts w:hAnsi="宋体"/>
        </w:rPr>
      </w:pPr>
      <w:r>
        <w:rPr>
          <w:rFonts w:hAnsi="宋体" w:hint="eastAsia"/>
        </w:rPr>
        <w:t>相对稳定原则：绩效指标与考核方式一旦设定后，保持相对的稳定，必要时做相应调整和完善。</w:t>
      </w:r>
      <w:r>
        <w:rPr>
          <w:rFonts w:hAnsi="宋体"/>
        </w:rPr>
        <w:t xml:space="preserve"> </w:t>
      </w:r>
    </w:p>
    <w:p>
      <w:pPr>
        <w:pStyle w:val="NormalIndent"/>
        <w:numPr>
          <w:ilvl w:val="0"/>
          <w:numId w:val="10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考核客观原则：对被考核者的任何评价都应有明确的真实数据和客观的事实依据。</w:t>
      </w:r>
    </w:p>
    <w:p>
      <w:pPr>
        <w:pStyle w:val="NormalIndent"/>
        <w:numPr>
          <w:ilvl w:val="0"/>
          <w:numId w:val="10"/>
        </w:numPr>
        <w:tabs>
          <w:tab w:val="left" w:pos="709"/>
        </w:tabs>
        <w:ind w:left="130" w:firstLine="0"/>
        <w:rPr>
          <w:rFonts w:hAnsi="宋体"/>
        </w:rPr>
      </w:pPr>
      <w:r>
        <w:rPr>
          <w:rFonts w:hAnsi="宋体" w:hint="eastAsia"/>
        </w:rPr>
        <w:t>充分沟通原则：绩效目标（含：指标、具体描述、时限、完成情况、权重）均需由被考核人与考核人共同协商制定，并提交决定人审批。考核结果（含：得分、不良绩效描述及改善、绩效工资奖罚）也均需由考核人与被考核人共同确认。</w:t>
      </w:r>
      <w:r>
        <w:rPr>
          <w:rFonts w:hAnsi="宋体"/>
        </w:rPr>
        <w:t xml:space="preserve"> </w:t>
      </w:r>
    </w:p>
    <w:p>
      <w:pPr>
        <w:pStyle w:val="NormalIndent"/>
        <w:numPr>
          <w:ilvl w:val="0"/>
          <w:numId w:val="10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可申、投诉原则：被考核人如果认为绩效考核结果有失公允，且在向考核人申诉无效时，可向决定人进行申诉或投诉，决定人须于</w:t>
      </w:r>
      <w:r>
        <w:rPr>
          <w:rFonts w:hAnsi="宋体"/>
        </w:rPr>
        <w:t>5</w:t>
      </w:r>
      <w:r>
        <w:rPr>
          <w:rFonts w:hAnsi="宋体" w:hint="eastAsia"/>
        </w:rPr>
        <w:t>个工作日之内进行调查并解决。绩效考核领导小组为最高级别申、投诉机构。</w:t>
      </w:r>
    </w:p>
    <w:p>
      <w:pPr>
        <w:pStyle w:val="Heading1"/>
        <w:ind w:left="239"/>
        <w:rPr>
          <w:sz w:val="32"/>
          <w:szCs w:val="32"/>
        </w:rPr>
      </w:pPr>
      <w:bookmarkStart w:id="8" w:name="_Toc493509292"/>
      <w:r>
        <w:rPr>
          <w:rFonts w:cs="宋体" w:hint="eastAsia"/>
          <w:sz w:val="32"/>
          <w:szCs w:val="32"/>
        </w:rPr>
        <w:t>五、考核</w:t>
      </w:r>
      <w:bookmarkEnd w:id="8"/>
    </w:p>
    <w:p>
      <w:pPr>
        <w:pStyle w:val="NormalIndent"/>
        <w:numPr>
          <w:ilvl w:val="0"/>
          <w:numId w:val="11"/>
        </w:numPr>
        <w:tabs>
          <w:tab w:val="left" w:pos="284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周期：考核周期为年度。</w:t>
      </w:r>
    </w:p>
    <w:p>
      <w:pPr>
        <w:pStyle w:val="NormalIndent"/>
        <w:numPr>
          <w:ilvl w:val="0"/>
          <w:numId w:val="11"/>
        </w:numPr>
        <w:tabs>
          <w:tab w:val="left" w:pos="284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时间：</w:t>
      </w:r>
    </w:p>
    <w:p>
      <w:pPr>
        <w:pStyle w:val="NormalIndent"/>
        <w:numPr>
          <w:ilvl w:val="0"/>
          <w:numId w:val="12"/>
        </w:numPr>
        <w:tabs>
          <w:tab w:val="left" w:pos="426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每年度</w:t>
      </w:r>
      <w:r>
        <w:rPr>
          <w:rFonts w:hAnsi="宋体"/>
        </w:rPr>
        <w:t>12</w:t>
      </w:r>
      <w:r>
        <w:rPr>
          <w:rFonts w:hAnsi="宋体" w:hint="eastAsia"/>
        </w:rPr>
        <w:t>月</w:t>
      </w:r>
      <w:r>
        <w:rPr>
          <w:rFonts w:hAnsi="宋体"/>
        </w:rPr>
        <w:t>25</w:t>
      </w:r>
      <w:r>
        <w:rPr>
          <w:rFonts w:hAnsi="宋体" w:hint="eastAsia"/>
        </w:rPr>
        <w:t>日将当年度组织级考核结果上报绩效考核领导小组审核，审核结果于</w:t>
      </w:r>
      <w:r>
        <w:rPr>
          <w:rFonts w:hAnsi="宋体"/>
        </w:rPr>
        <w:t>1</w:t>
      </w:r>
      <w:r>
        <w:rPr>
          <w:rFonts w:hAnsi="宋体" w:hint="eastAsia"/>
        </w:rPr>
        <w:t>月</w:t>
      </w:r>
      <w:r>
        <w:rPr>
          <w:rFonts w:hAnsi="宋体"/>
        </w:rPr>
        <w:t>5</w:t>
      </w:r>
      <w:r>
        <w:rPr>
          <w:rFonts w:hAnsi="宋体" w:hint="eastAsia"/>
        </w:rPr>
        <w:t>日汇总报人力资源部，相关奖惩于次月薪资中体现。</w:t>
      </w:r>
    </w:p>
    <w:p>
      <w:pPr>
        <w:pStyle w:val="NormalIndent"/>
        <w:tabs>
          <w:tab w:val="left" w:pos="1701"/>
        </w:tabs>
        <w:ind w:left="130" w:firstLine="0"/>
        <w:rPr>
          <w:rFonts w:hAnsi="宋体" w:cs="Times New Roman"/>
        </w:rPr>
      </w:pPr>
    </w:p>
    <w:p>
      <w:pPr>
        <w:pStyle w:val="NormalIndent"/>
        <w:numPr>
          <w:ilvl w:val="0"/>
          <w:numId w:val="11"/>
        </w:numPr>
        <w:ind w:left="130" w:firstLine="0"/>
        <w:rPr>
          <w:rFonts w:hAnsi="宋体" w:cs="Times New Roman"/>
        </w:rPr>
      </w:pPr>
      <w:r>
        <w:rPr>
          <w:rFonts w:hAnsi="宋体" w:hint="eastAsia"/>
        </w:rPr>
        <w:t>考核权限：被考核人的直接上级对被考核人实施考核：</w:t>
      </w:r>
    </w:p>
    <w:p>
      <w:pPr>
        <w:pStyle w:val="NormalIndent"/>
        <w:tabs>
          <w:tab w:val="left" w:pos="1276"/>
        </w:tabs>
        <w:ind w:left="130" w:firstLine="0"/>
        <w:rPr>
          <w:rFonts w:hAnsi="宋体" w:cs="Times New Roman"/>
        </w:rPr>
      </w:pPr>
    </w:p>
    <w:tbl>
      <w:tblPr>
        <w:tblStyle w:val="TableNormal"/>
        <w:tblpPr w:leftFromText="180" w:rightFromText="180" w:vertAnchor="text" w:horzAnchor="margin" w:tblpXSpec="center" w:tblpY="-347"/>
        <w:tblW w:w="456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2835"/>
      </w:tblGrid>
      <w:tr>
        <w:tblPrEx>
          <w:tblW w:w="4569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被考核人</w:t>
            </w:r>
          </w:p>
        </w:tc>
        <w:tc>
          <w:tcPr>
            <w:tcW w:w="2835" w:type="dxa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考核人</w:t>
            </w:r>
          </w:p>
        </w:tc>
      </w:tr>
      <w:tr>
        <w:tblPrEx>
          <w:tblW w:w="4569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部门经理</w:t>
            </w:r>
          </w:p>
        </w:tc>
        <w:tc>
          <w:tcPr>
            <w:tcW w:w="2835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总经理</w:t>
            </w:r>
          </w:p>
        </w:tc>
      </w:tr>
      <w:tr>
        <w:tblPrEx>
          <w:tblW w:w="4569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部门员工</w:t>
            </w:r>
          </w:p>
        </w:tc>
        <w:tc>
          <w:tcPr>
            <w:tcW w:w="2835" w:type="dxa"/>
            <w:vAlign w:val="center"/>
          </w:tcPr>
          <w:p>
            <w:pPr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部门经理</w:t>
            </w:r>
          </w:p>
        </w:tc>
      </w:tr>
    </w:tbl>
    <w:p>
      <w:pPr>
        <w:pStyle w:val="NormalIndent"/>
        <w:tabs>
          <w:tab w:val="left" w:pos="1276"/>
        </w:tabs>
        <w:ind w:left="130" w:firstLine="0"/>
        <w:rPr>
          <w:rFonts w:hAnsi="宋体" w:cs="Times New Roman"/>
        </w:rPr>
      </w:pPr>
    </w:p>
    <w:p>
      <w:pPr>
        <w:pStyle w:val="NormalIndent"/>
        <w:tabs>
          <w:tab w:val="left" w:pos="1276"/>
        </w:tabs>
        <w:ind w:left="130" w:firstLine="0"/>
        <w:rPr>
          <w:rFonts w:hAnsi="宋体" w:cs="Times New Roman"/>
        </w:rPr>
      </w:pPr>
    </w:p>
    <w:p>
      <w:pPr>
        <w:pStyle w:val="NormalIndent"/>
        <w:numPr>
          <w:ilvl w:val="0"/>
          <w:numId w:val="11"/>
        </w:numPr>
        <w:tabs>
          <w:tab w:val="left" w:pos="1276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考核内容：</w:t>
      </w:r>
    </w:p>
    <w:tbl>
      <w:tblPr>
        <w:tblStyle w:val="TableNormal"/>
        <w:tblW w:w="9523" w:type="dxa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4253"/>
        <w:gridCol w:w="850"/>
        <w:gridCol w:w="1420"/>
        <w:gridCol w:w="1273"/>
        <w:gridCol w:w="804"/>
      </w:tblGrid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/>
        </w:trPr>
        <w:tc>
          <w:tcPr>
            <w:tcW w:w="952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ind w:left="130"/>
              <w:rPr>
                <w:rFonts w:ascii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4.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1运维服务人员绩效考核表</w:t>
            </w: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/>
        </w:trPr>
        <w:tc>
          <w:tcPr>
            <w:tcW w:w="952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ind w:left="119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姓名：</w:t>
            </w: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t xml:space="preserve">                                   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考核季度：</w:t>
            </w:r>
          </w:p>
          <w:p>
            <w:pPr>
              <w:ind w:left="119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  <w:p>
            <w:pPr>
              <w:ind w:left="119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  <w:p>
            <w:pPr>
              <w:ind w:left="119"/>
              <w:jc w:val="lef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考核项目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考核指标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满分 得分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自评得分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上级主管评分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备注</w:t>
            </w: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工作质量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、按运维管理部要求完成服务目标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、工作过程的把控能力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、工作过程中沟通满意情况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、解决问题能力、团队管理能力、创新能力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工作任务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、季度分内工作完成情况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、工作完成后及时交付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、工作安排是否饱满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专业技能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、专业技能的程度，专业技能在工作中的体现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、专业技能较上季度是否有提升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、季度培训完成情况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、季度证书考核完成情况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20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工作态度与责任感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、工作积极主动、很好的完成分内工作，并主动更新自己的专业知识。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、对岗位职责清晰，对岗位责任感强。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、团队责任感强，工作责任不推诿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纪律性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left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、能按时到达工作现场</w:t>
            </w:r>
            <w:r>
              <w:rPr>
                <w:rFonts w:ascii="宋体"/>
                <w:color w:val="000000"/>
                <w:kern w:val="0"/>
              </w:rPr>
              <w:br/>
            </w:r>
            <w:r>
              <w:rPr>
                <w:rFonts w:ascii="宋体" w:hAnsi="宋体" w:cs="宋体"/>
                <w:color w:val="000000"/>
                <w:kern w:val="0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、遵守公司规章制度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</w:rPr>
              <w:t>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/>
        </w:trPr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学习能力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积极获取与工作有关的知识和信息，不断提高自己的知识和技能；</w:t>
            </w:r>
          </w:p>
          <w:p>
            <w:pPr>
              <w:numPr>
                <w:ilvl w:val="0"/>
                <w:numId w:val="13"/>
              </w:numPr>
              <w:jc w:val="left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主动建议新观点、方法、流程或技术。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10分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客户满意度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ind w:left="119"/>
              <w:jc w:val="left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客户对该员工实施情况的评价情况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10分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 w:hAnsi="宋体" w:cs="宋体"/>
                <w:color w:val="000000"/>
                <w:kern w:val="0"/>
              </w:rPr>
            </w:pPr>
          </w:p>
        </w:tc>
      </w:tr>
      <w:tr>
        <w:tblPrEx>
          <w:tblW w:w="9523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/>
        </w:trPr>
        <w:tc>
          <w:tcPr>
            <w:tcW w:w="5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汇总得分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119"/>
              <w:jc w:val="center"/>
              <w:rPr>
                <w:rFonts w:ascii="宋体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　</w:t>
            </w:r>
          </w:p>
        </w:tc>
      </w:tr>
    </w:tbl>
    <w:p>
      <w:pPr>
        <w:pStyle w:val="NormalIndent"/>
        <w:ind w:left="130" w:firstLine="0"/>
        <w:rPr>
          <w:rFonts w:hAnsi="宋体" w:cs="Times New Roman"/>
        </w:rPr>
        <w:sectPr>
          <w:footerReference w:type="default" r:id="rId8"/>
          <w:footerReference w:type="first" r:id="rId9"/>
          <w:pgSz w:w="11906" w:h="16838"/>
          <w:pgMar w:top="1474" w:right="1134" w:bottom="1134" w:left="1276" w:header="907" w:footer="907" w:gutter="0"/>
          <w:pgNumType w:fmt="decimal"/>
          <w:cols w:num="1" w:space="720"/>
          <w:titlePg/>
          <w:docGrid w:type="linesAndChars" w:linePitch="312" w:charSpace="0"/>
        </w:sectPr>
      </w:pPr>
    </w:p>
    <w:p>
      <w:pPr>
        <w:pStyle w:val="NormalIndent"/>
        <w:ind w:left="130" w:firstLine="0"/>
        <w:rPr>
          <w:rFonts w:hAnsi="宋体" w:cs="Times New Roman"/>
        </w:rPr>
      </w:pPr>
    </w:p>
    <w:p>
      <w:pPr>
        <w:pStyle w:val="NormalIndent"/>
        <w:numPr>
          <w:ilvl w:val="0"/>
          <w:numId w:val="11"/>
        </w:numPr>
        <w:tabs>
          <w:tab w:val="left" w:pos="85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绩效考核指标数据来源：</w:t>
      </w:r>
    </w:p>
    <w:p>
      <w:pPr>
        <w:pStyle w:val="NormalIndent"/>
        <w:numPr>
          <w:ilvl w:val="0"/>
          <w:numId w:val="14"/>
        </w:numPr>
        <w:tabs>
          <w:tab w:val="left" w:pos="851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服务台的相关记录。</w:t>
      </w:r>
    </w:p>
    <w:p>
      <w:pPr>
        <w:pStyle w:val="NormalIndent"/>
        <w:numPr>
          <w:ilvl w:val="0"/>
          <w:numId w:val="14"/>
        </w:numPr>
        <w:tabs>
          <w:tab w:val="left" w:pos="851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客户及协作关联部门的监督及信息反馈。</w:t>
      </w:r>
    </w:p>
    <w:p>
      <w:pPr>
        <w:pStyle w:val="NormalIndent"/>
        <w:numPr>
          <w:ilvl w:val="0"/>
          <w:numId w:val="14"/>
        </w:numPr>
        <w:tabs>
          <w:tab w:val="left" w:pos="851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隶属部门直接考核人的监控及信息反馈。</w:t>
      </w:r>
    </w:p>
    <w:p>
      <w:pPr>
        <w:pStyle w:val="NormalIndent"/>
        <w:numPr>
          <w:ilvl w:val="0"/>
          <w:numId w:val="11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流程：</w:t>
      </w:r>
    </w:p>
    <w:p>
      <w:pPr>
        <w:pStyle w:val="NormalIndent"/>
        <w:numPr>
          <w:ilvl w:val="0"/>
          <w:numId w:val="15"/>
        </w:numPr>
        <w:tabs>
          <w:tab w:val="left" w:pos="567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总流程：</w:t>
      </w: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o:spid="_x0000_s1026" type="#_x0000_t202" style="height:54.75pt;margin-left:257.95pt;margin-top:4.65pt;mso-height-relative:page;mso-width-relative:page;mso-wrap-distance-bottom:3.6pt;mso-wrap-distance-left:9pt;mso-wrap-distance-right:9pt;mso-wrap-distance-top:3.6pt;position:absolute;width:39.5pt;z-index:251658240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进行绩效沟通</w:t>
                  </w:r>
                </w:p>
              </w:txbxContent>
            </v:textbox>
            <w10:wrap type="square"/>
          </v:shape>
        </w:pict>
      </w:r>
      <w:r>
        <w:pict>
          <v:shape id="_x0000_s1027" o:spid="_x0000_s1027" type="#_x0000_t202" style="height:54.75pt;margin-left:198.55pt;margin-top:4.65pt;mso-height-relative:page;mso-width-relative:page;mso-wrap-distance-bottom:3.6pt;mso-wrap-distance-left:9pt;mso-wrap-distance-right:9pt;mso-wrap-distance-top:3.6pt;position:absolute;width:39.5pt;z-index:251659264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期末实施考核</w:t>
                  </w:r>
                </w:p>
              </w:txbxContent>
            </v:textbox>
            <w10:wrap type="square"/>
          </v:shape>
        </w:pict>
      </w:r>
      <w:r>
        <w:pict>
          <v:shape id="_x0000_s1028" o:spid="_x0000_s1028" type="#_x0000_t202" style="height:54.75pt;margin-left:65.2pt;margin-top:4.65pt;mso-height-relative:page;mso-width-relative:page;mso-wrap-distance-bottom:3.6pt;mso-wrap-distance-left:9pt;mso-wrap-distance-right:9pt;mso-wrap-distance-top:3.6pt;position:absolute;width:39.5pt;z-index:251660288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编制工作计划</w:t>
                  </w:r>
                </w:p>
              </w:txbxContent>
            </v:textbox>
            <w10:wrap type="square"/>
          </v:shape>
        </w:pict>
      </w:r>
      <w:r>
        <w:pict>
          <v:shape id="_x0000_s1029" o:spid="_x0000_s1029" type="#_x0000_t202" style="height:54.75pt;margin-left:125.95pt;margin-top:4.65pt;mso-height-relative:page;mso-width-relative:page;mso-wrap-distance-bottom:3.6pt;mso-wrap-distance-left:9pt;mso-wrap-distance-right:9pt;mso-wrap-distance-top:3.6pt;position:absolute;width:51.5pt;z-index:251661312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按计划开展工作</w:t>
                  </w:r>
                </w:p>
              </w:txbxContent>
            </v:textbox>
            <w10:wrap type="square"/>
          </v:shape>
        </w:pict>
      </w: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1" o:spid="_x0000_s1030" type="#_x0000_t32" style="height:0;margin-left:298.45pt;margin-top:18.9pt;mso-height-relative:page;mso-width-relative:page;position:absolute;width:19.5pt;z-index:251662336" coordsize="21600,21600" o:connectortype="straight" filled="f" stroked="t">
            <v:stroke endarrow="block"/>
            <v:path arrowok="t"/>
          </v:shape>
        </w:pict>
      </w:r>
      <w:r>
        <w:pict>
          <v:shape id="_x0000_s1031" o:spid="_x0000_s1031" type="#_x0000_t202" style="height:23.55pt;margin-left:315.7pt;margin-top:5.4pt;mso-height-relative:page;mso-width-relative:page;mso-wrap-distance-bottom:3.6pt;mso-wrap-distance-left:9pt;mso-wrap-distance-right:9pt;mso-wrap-distance-top:3.6pt;position:absolute;width:93.5pt;z-index:251663360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与绩效工资挂钩</w:t>
                  </w:r>
                </w:p>
              </w:txbxContent>
            </v:textbox>
            <w10:wrap type="square"/>
          </v:shape>
        </w:pict>
      </w:r>
      <w:r>
        <w:pict>
          <v:shape id="AutoShape 9" o:spid="_x0000_s1032" type="#_x0000_t32" style="height:0;margin-left:179.2pt;margin-top:33.9pt;mso-height-relative:page;mso-width-relative:page;position:absolute;width:20.35pt;z-index:251664384" coordsize="21600,21600" o:connectortype="straight" filled="f" stroked="t">
            <v:stroke endarrow="block"/>
            <v:path arrowok="t"/>
          </v:shape>
        </w:pict>
      </w:r>
      <w:r>
        <w:pict>
          <v:shape id="AutoShape 8" o:spid="_x0000_s1033" type="#_x0000_t32" style="height:0;margin-left:105.65pt;margin-top:33.15pt;mso-height-relative:page;mso-width-relative:page;position:absolute;width:21.3pt;z-index:251665408" coordsize="21600,21600" o:connectortype="straight" filled="f" stroked="t">
            <v:stroke endarrow="block"/>
            <v:path arrowok="t"/>
          </v:shape>
        </w:pict>
      </w:r>
      <w:r>
        <w:pict>
          <v:shape id="AutoShape 10" o:spid="_x0000_s1034" type="#_x0000_t32" style="height:0;margin-left:237.7pt;margin-top:33.15pt;mso-height-relative:page;mso-width-relative:page;position:absolute;width:21.25pt;z-index:251666432" coordsize="21600,21600" o:connectortype="straight" filled="f" stroked="t">
            <v:stroke endarrow="block"/>
            <v:path arrowok="t"/>
          </v:shape>
        </w:pict>
      </w: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_x0000_s1035" o:spid="_x0000_s1035" type="#_x0000_t202" style="height:23.55pt;margin-left:315.7pt;margin-top:17.55pt;mso-height-relative:page;mso-width-relative:page;mso-wrap-distance-bottom:3.6pt;mso-wrap-distance-left:9pt;mso-wrap-distance-right:9pt;mso-wrap-distance-top:3.6pt;position:absolute;width:93.5pt;z-index:251667456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投诉与申诉</w:t>
                  </w:r>
                </w:p>
              </w:txbxContent>
            </v:textbox>
            <w10:wrap type="square"/>
          </v:shape>
        </w:pict>
      </w: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AutoShape 12" o:spid="_x0000_s1036" type="#_x0000_t32" style="height:0;margin-left:298.6pt;margin-top:5.4pt;mso-height-relative:page;mso-width-relative:page;position:absolute;width:17.45pt;z-index:251668480" coordsize="21600,21600" o:connectortype="straight" filled="f" stroked="t">
            <v:stroke endarrow="block"/>
            <v:path arrowok="t"/>
          </v:shape>
        </w:pict>
      </w: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NormalIndent"/>
        <w:numPr>
          <w:ilvl w:val="0"/>
          <w:numId w:val="16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分流程</w:t>
      </w:r>
      <w:r>
        <w:rPr>
          <w:rFonts w:hAnsi="宋体"/>
        </w:rPr>
        <w:t>——</w:t>
      </w:r>
      <w:r>
        <w:rPr>
          <w:rFonts w:hAnsi="宋体" w:hint="eastAsia"/>
        </w:rPr>
        <w:t>投诉与申诉流程：</w:t>
      </w: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_x0000_s1037" o:spid="_x0000_s1037" type="#_x0000_t202" style="height:70.35pt;margin-left:297.95pt;margin-top:8.65pt;mso-height-relative:page;mso-width-relative:page;mso-wrap-distance-bottom:3.6pt;mso-wrap-distance-left:9pt;mso-wrap-distance-right:9pt;mso-wrap-distance-top:3.6pt;position:absolute;width:47pt;z-index:251669504" coordsize="21600,21600">
            <v:stroke joinstyle="miter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报人力资源部调整处理办法</w:t>
                  </w:r>
                </w:p>
              </w:txbxContent>
            </v:textbox>
            <w10:wrap type="square"/>
          </v:shape>
        </w:pict>
      </w:r>
      <w:r>
        <w:pict>
          <v:shape id="_x0000_s1038" o:spid="_x0000_s1038" type="#_x0000_t202" style="height:70.35pt;margin-left:233.45pt;margin-top:8.65pt;mso-height-relative:page;mso-width-relative:page;mso-wrap-distance-bottom:3.6pt;mso-wrap-distance-left:9pt;mso-wrap-distance-right:9pt;mso-wrap-distance-top:3.6pt;position:absolute;width:47pt;z-index:251670528" coordsize="21600,21600">
            <v:stroke joinstyle="miter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运维管理部绩效小组裁定</w:t>
                  </w:r>
                </w:p>
              </w:txbxContent>
            </v:textbox>
            <w10:wrap type="square"/>
          </v:shape>
        </w:pict>
      </w:r>
      <w:r>
        <w:pict>
          <v:shape id="_x0000_s1039" o:spid="_x0000_s1039" type="#_x0000_t202" style="height:70.35pt;margin-left:171.2pt;margin-top:7.9pt;mso-height-relative:page;mso-width-relative:page;mso-wrap-distance-bottom:3.6pt;mso-wrap-distance-left:9pt;mso-wrap-distance-right:9pt;mso-wrap-distance-top:3.6pt;position:absolute;width:47pt;z-index:251671552" coordsize="21600,21600">
            <v:stroke joinstyle="miter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决定人进行调查处理</w:t>
                  </w:r>
                </w:p>
              </w:txbxContent>
            </v:textbox>
            <w10:wrap type="square"/>
          </v:shape>
        </w:pict>
      </w:r>
      <w:r>
        <w:pict>
          <v:shape id="_x0000_s1040" o:spid="_x0000_s1040" type="#_x0000_t202" style="height:70.35pt;margin-left:98.2pt;margin-top:7.15pt;mso-height-relative:page;mso-width-relative:page;mso-wrap-distance-bottom:3.6pt;mso-wrap-distance-left:9pt;mso-wrap-distance-right:9pt;mso-wrap-distance-top:3.6pt;position:absolute;width:57.5pt;z-index:251672576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填写《绩效考核申、投诉表》</w:t>
                  </w:r>
                </w:p>
              </w:txbxContent>
            </v:textbox>
            <w10:wrap type="square"/>
          </v:shape>
        </w:pict>
      </w:r>
      <w:r>
        <w:pict>
          <v:shape id="_x0000_s1041" o:spid="_x0000_s1041" type="#_x0000_t202" style="height:70.35pt;margin-left:41.2pt;margin-top:7.15pt;mso-height-relative:page;mso-width-relative:page;mso-wrap-distance-bottom:3.6pt;mso-wrap-distance-left:9pt;mso-wrap-distance-right:9pt;mso-wrap-distance-top:3.6pt;position:absolute;width:39.5pt;z-index:251673600" coordsize="21600,21600">
            <v:stroke joinstyle="miter"/>
            <v:textbox style="mso-fit-shape-to-text:t"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绩效沟通有异议</w:t>
                  </w:r>
                </w:p>
              </w:txbxContent>
            </v:textbox>
            <w10:wrap type="square"/>
          </v:shape>
        </w:pict>
      </w: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  <w:r>
        <w:pict>
          <v:shape id="AutoShape 19" o:spid="_x0000_s1042" type="#_x0000_t32" style="height:0;margin-left:156.7pt;margin-top:21.25pt;mso-height-relative:page;mso-width-relative:page;position:absolute;width:13.5pt;z-index:251674624" coordsize="21600,21600" o:connectortype="straight" filled="f" stroked="t">
            <v:stroke endarrow="block"/>
            <v:path arrowok="t"/>
          </v:shape>
        </w:pict>
      </w:r>
      <w:r>
        <w:pict>
          <v:shape id="AutoShape 21" o:spid="_x0000_s1043" type="#_x0000_t32" style="height:0;margin-left:280.45pt;margin-top:21.25pt;mso-height-relative:page;mso-width-relative:page;position:absolute;width:16.5pt;z-index:251675648" coordsize="21600,21600" o:connectortype="straight" filled="f" stroked="t">
            <v:stroke endarrow="block"/>
            <v:path arrowok="t"/>
          </v:shape>
        </w:pict>
      </w:r>
      <w:r>
        <w:pict>
          <v:shape id="AutoShape 20" o:spid="_x0000_s1044" type="#_x0000_t32" style="height:0;margin-left:217.45pt;margin-top:19.75pt;mso-height-relative:page;mso-width-relative:page;position:absolute;width:15pt;z-index:251676672" coordsize="21600,21600" o:connectortype="straight" filled="f" stroked="t">
            <v:stroke endarrow="block"/>
            <v:path arrowok="t"/>
          </v:shape>
        </w:pict>
      </w:r>
      <w:r>
        <w:pict>
          <v:shape id="AutoShape 18" o:spid="_x0000_s1045" type="#_x0000_t32" style="height:0;margin-left:81.7pt;margin-top:20.5pt;mso-height-relative:page;mso-width-relative:page;position:absolute;width:16.5pt;z-index:251677696" coordsize="21600,21600" o:connectortype="straight" filled="f" stroked="t">
            <v:stroke endarrow="block"/>
            <v:path arrowok="t"/>
          </v:shape>
        </w:pict>
      </w: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NormalIndent"/>
        <w:numPr>
          <w:ilvl w:val="0"/>
          <w:numId w:val="11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实施：</w:t>
      </w:r>
    </w:p>
    <w:p>
      <w:pPr>
        <w:pStyle w:val="NormalIndent"/>
        <w:numPr>
          <w:ilvl w:val="0"/>
          <w:numId w:val="17"/>
        </w:numPr>
        <w:tabs>
          <w:tab w:val="left" w:pos="567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计划控制：</w:t>
      </w:r>
    </w:p>
    <w:p>
      <w:pPr>
        <w:pStyle w:val="NormalIndent"/>
        <w:numPr>
          <w:ilvl w:val="0"/>
          <w:numId w:val="18"/>
        </w:numPr>
        <w:tabs>
          <w:tab w:val="left" w:pos="567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员工工作计划于上个考核周期结束前的五日内完成。</w:t>
      </w:r>
    </w:p>
    <w:p>
      <w:pPr>
        <w:pStyle w:val="NormalIndent"/>
        <w:numPr>
          <w:ilvl w:val="0"/>
          <w:numId w:val="18"/>
        </w:numPr>
        <w:tabs>
          <w:tab w:val="left" w:pos="567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直接考核人负责对下属员工计划进行审核，审定后的计划。</w:t>
      </w:r>
    </w:p>
    <w:p>
      <w:pPr>
        <w:pStyle w:val="NormalIndent"/>
        <w:numPr>
          <w:ilvl w:val="0"/>
          <w:numId w:val="18"/>
        </w:numPr>
        <w:tabs>
          <w:tab w:val="left" w:pos="567"/>
          <w:tab w:val="left" w:pos="1701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计划的调整：</w:t>
      </w:r>
    </w:p>
    <w:p>
      <w:pPr>
        <w:pStyle w:val="NormalIndent"/>
        <w:numPr>
          <w:ilvl w:val="0"/>
          <w:numId w:val="19"/>
        </w:numPr>
        <w:tabs>
          <w:tab w:val="left" w:pos="567"/>
          <w:tab w:val="left" w:pos="2552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主动调整：由运维管理部绩效小组针对组织目标的变化，通过《会议纪要》形式对组织计划进行调整。由此，员工的计划也相应调整。</w:t>
      </w:r>
    </w:p>
    <w:p>
      <w:pPr>
        <w:pStyle w:val="NormalIndent"/>
        <w:numPr>
          <w:ilvl w:val="0"/>
          <w:numId w:val="19"/>
        </w:numPr>
        <w:tabs>
          <w:tab w:val="left" w:pos="709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被动调整：由被考核者（组织或员工）向考核者（运维管理部绩效小组或上级）申请，获得批准方可。</w:t>
      </w:r>
    </w:p>
    <w:p>
      <w:pPr>
        <w:pStyle w:val="NormalIndent"/>
        <w:numPr>
          <w:ilvl w:val="0"/>
          <w:numId w:val="17"/>
        </w:numPr>
        <w:tabs>
          <w:tab w:val="left" w:pos="709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过程控制：</w:t>
      </w:r>
    </w:p>
    <w:p>
      <w:pPr>
        <w:pStyle w:val="NormalIndent"/>
        <w:numPr>
          <w:ilvl w:val="0"/>
          <w:numId w:val="20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在日常工作中，考核人与被考核人应就工作进展、困难与优势、解决措施、给予支持等方面进行充分的交流。</w:t>
      </w:r>
    </w:p>
    <w:p>
      <w:pPr>
        <w:pStyle w:val="NormalIndent"/>
        <w:numPr>
          <w:ilvl w:val="0"/>
          <w:numId w:val="20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在实际工作中，考核人须对被考核人提供专业支持、技术指导，以保证绩效计划的完成。</w:t>
      </w:r>
    </w:p>
    <w:p>
      <w:pPr>
        <w:pStyle w:val="NormalIndent"/>
        <w:numPr>
          <w:ilvl w:val="0"/>
          <w:numId w:val="21"/>
        </w:numPr>
        <w:tabs>
          <w:tab w:val="left" w:pos="709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考核开展：</w:t>
      </w:r>
    </w:p>
    <w:p>
      <w:pPr>
        <w:pStyle w:val="NormalIndent"/>
        <w:numPr>
          <w:ilvl w:val="0"/>
          <w:numId w:val="22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当期考核，考核人依据考核内容对下属进行评分。</w:t>
      </w:r>
    </w:p>
    <w:p>
      <w:pPr>
        <w:pStyle w:val="NormalIndent"/>
        <w:numPr>
          <w:ilvl w:val="0"/>
          <w:numId w:val="22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考核人应与被考核人进行绩效沟通，被考核人应签字认可。如被考核人对考核结果有异议，可进行正常申诉。</w:t>
      </w:r>
    </w:p>
    <w:p>
      <w:pPr>
        <w:pStyle w:val="NormalIndent"/>
        <w:numPr>
          <w:ilvl w:val="0"/>
          <w:numId w:val="22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考核结果经考核双方签字确认后，还须提交</w:t>
      </w:r>
      <w:r>
        <w:rPr>
          <w:rFonts w:hAnsi="宋体"/>
        </w:rPr>
        <w:t xml:space="preserve"> </w:t>
      </w:r>
      <w:r>
        <w:rPr>
          <w:rFonts w:hAnsi="宋体" w:hint="eastAsia"/>
        </w:rPr>
        <w:t>“决定人”处签批。部门汇总绩效结果报人力资源部。</w:t>
      </w:r>
    </w:p>
    <w:p>
      <w:pPr>
        <w:pStyle w:val="NormalIndent"/>
        <w:numPr>
          <w:ilvl w:val="0"/>
          <w:numId w:val="16"/>
        </w:numPr>
        <w:tabs>
          <w:tab w:val="left" w:pos="709"/>
          <w:tab w:val="left" w:pos="1701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绩效面谈与改善：</w:t>
      </w:r>
    </w:p>
    <w:p>
      <w:pPr>
        <w:pStyle w:val="NormalIndent"/>
        <w:numPr>
          <w:ilvl w:val="0"/>
          <w:numId w:val="23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针对考核中发现的问题，考核人与被考核人进行面谈。指出被考核人工作中的问题，并就解决办法达成共识，以确保被考核人绩效得以改善。</w:t>
      </w:r>
    </w:p>
    <w:p>
      <w:pPr>
        <w:pStyle w:val="NormalIndent"/>
        <w:numPr>
          <w:ilvl w:val="0"/>
          <w:numId w:val="23"/>
        </w:numPr>
        <w:tabs>
          <w:tab w:val="left" w:pos="709"/>
          <w:tab w:val="left" w:pos="212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针对被考核人的优点，考核人就此对被考核予以肯定和鼓励，与被考核人沟通学习与培养计划。</w:t>
      </w:r>
    </w:p>
    <w:p>
      <w:pPr>
        <w:pStyle w:val="Heading1"/>
        <w:ind w:left="239"/>
        <w:rPr>
          <w:sz w:val="32"/>
          <w:szCs w:val="32"/>
        </w:rPr>
      </w:pPr>
      <w:bookmarkStart w:id="9" w:name="_Toc493509293"/>
      <w:r>
        <w:rPr>
          <w:rFonts w:cs="宋体" w:hint="eastAsia"/>
          <w:sz w:val="32"/>
          <w:szCs w:val="32"/>
        </w:rPr>
        <w:t>六、绩效结果的应用</w:t>
      </w:r>
      <w:bookmarkEnd w:id="9"/>
    </w:p>
    <w:p>
      <w:pPr>
        <w:pStyle w:val="NormalIndent"/>
        <w:numPr>
          <w:ilvl w:val="0"/>
          <w:numId w:val="24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考核结果与员工利益的相关性表现在以下几个方面</w:t>
      </w:r>
    </w:p>
    <w:p>
      <w:pPr>
        <w:pStyle w:val="NormalIndent"/>
        <w:numPr>
          <w:ilvl w:val="0"/>
          <w:numId w:val="25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员工季度</w:t>
      </w:r>
      <w:r>
        <w:rPr>
          <w:rFonts w:hAnsi="宋体" w:hint="eastAsia"/>
          <w:lang w:eastAsia="zh-CN"/>
        </w:rPr>
        <w:t>、年度</w:t>
      </w:r>
      <w:r>
        <w:rPr>
          <w:rFonts w:hAnsi="宋体" w:hint="eastAsia"/>
        </w:rPr>
        <w:t>绩效工资发放额；</w:t>
      </w:r>
    </w:p>
    <w:p>
      <w:pPr>
        <w:pStyle w:val="NormalIndent"/>
        <w:numPr>
          <w:ilvl w:val="0"/>
          <w:numId w:val="25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经理（含）以上人员的季度</w:t>
      </w:r>
      <w:r>
        <w:rPr>
          <w:rFonts w:hAnsi="宋体" w:hint="eastAsia"/>
          <w:lang w:eastAsia="zh-CN"/>
        </w:rPr>
        <w:t>、年度</w:t>
      </w:r>
      <w:r>
        <w:rPr>
          <w:rFonts w:hAnsi="宋体" w:hint="eastAsia"/>
        </w:rPr>
        <w:t>绩效工资发放额；</w:t>
      </w:r>
    </w:p>
    <w:p>
      <w:pPr>
        <w:pStyle w:val="NormalIndent"/>
        <w:numPr>
          <w:ilvl w:val="0"/>
          <w:numId w:val="25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项目完工后奖金的配额。</w:t>
      </w:r>
    </w:p>
    <w:p>
      <w:pPr>
        <w:pStyle w:val="NormalIndent"/>
        <w:numPr>
          <w:ilvl w:val="0"/>
          <w:numId w:val="25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年度奖金的配额；</w:t>
      </w:r>
    </w:p>
    <w:p>
      <w:pPr>
        <w:pStyle w:val="NormalIndent"/>
        <w:numPr>
          <w:ilvl w:val="0"/>
          <w:numId w:val="25"/>
        </w:numPr>
        <w:tabs>
          <w:tab w:val="left" w:pos="567"/>
          <w:tab w:val="left" w:pos="1985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学习、培养资格的确认。</w:t>
      </w:r>
    </w:p>
    <w:p>
      <w:pPr>
        <w:pStyle w:val="NormalIndent"/>
        <w:numPr>
          <w:ilvl w:val="0"/>
          <w:numId w:val="24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考核结果的等级划分及强制分布：</w:t>
      </w:r>
    </w:p>
    <w:p>
      <w:pPr>
        <w:pStyle w:val="NormalIndent"/>
        <w:numPr>
          <w:ilvl w:val="0"/>
          <w:numId w:val="26"/>
        </w:numPr>
        <w:tabs>
          <w:tab w:val="left" w:pos="426"/>
        </w:tabs>
        <w:ind w:left="130" w:firstLine="134" w:firstLineChars="64"/>
        <w:rPr>
          <w:rFonts w:hAnsi="宋体" w:cs="Times New Roman"/>
        </w:rPr>
      </w:pPr>
      <w:r>
        <w:rPr>
          <w:rFonts w:hAnsi="宋体" w:hint="eastAsia"/>
        </w:rPr>
        <w:t>部门按依据岗位类别排名。</w:t>
      </w:r>
    </w:p>
    <w:p>
      <w:pPr>
        <w:pStyle w:val="NormalIndent"/>
        <w:numPr>
          <w:ilvl w:val="0"/>
          <w:numId w:val="26"/>
        </w:numPr>
        <w:tabs>
          <w:tab w:val="left" w:pos="426"/>
        </w:tabs>
        <w:ind w:left="130" w:firstLine="134" w:firstLineChars="64"/>
        <w:rPr>
          <w:rFonts w:hAnsi="宋体" w:cs="Times New Roman"/>
        </w:rPr>
      </w:pPr>
      <w:r>
        <w:rPr>
          <w:rFonts w:hAnsi="宋体" w:hint="eastAsia"/>
        </w:rPr>
        <w:t>根据排名以及强制分布比例，确定</w:t>
      </w:r>
      <w:r>
        <w:rPr>
          <w:rFonts w:hAnsi="宋体"/>
        </w:rPr>
        <w:t>AA</w:t>
      </w:r>
      <w:r>
        <w:rPr>
          <w:rFonts w:hAnsi="宋体" w:hint="eastAsia"/>
        </w:rPr>
        <w:t>（卓越）、</w:t>
      </w:r>
      <w:r>
        <w:rPr>
          <w:rFonts w:hAnsi="宋体"/>
        </w:rPr>
        <w:t>A</w:t>
      </w:r>
      <w:r>
        <w:rPr>
          <w:rFonts w:hAnsi="宋体" w:hint="eastAsia"/>
        </w:rPr>
        <w:t>（优秀）、</w:t>
      </w:r>
      <w:r>
        <w:rPr>
          <w:rFonts w:hAnsi="宋体"/>
        </w:rPr>
        <w:t>B</w:t>
      </w:r>
      <w:r>
        <w:rPr>
          <w:rFonts w:hAnsi="宋体" w:hint="eastAsia"/>
        </w:rPr>
        <w:t>（达标）、</w:t>
      </w:r>
      <w:r>
        <w:rPr>
          <w:rFonts w:hAnsi="宋体"/>
        </w:rPr>
        <w:t>C</w:t>
      </w:r>
      <w:r>
        <w:rPr>
          <w:rFonts w:hAnsi="宋体" w:hint="eastAsia"/>
        </w:rPr>
        <w:t>（待改进）、</w:t>
      </w:r>
      <w:r>
        <w:rPr>
          <w:rFonts w:hAnsi="宋体"/>
        </w:rPr>
        <w:t>D</w:t>
      </w:r>
      <w:r>
        <w:rPr>
          <w:rFonts w:hAnsi="宋体" w:hint="eastAsia"/>
        </w:rPr>
        <w:t>（不称职）的人员。</w:t>
      </w:r>
    </w:p>
    <w:p>
      <w:pPr>
        <w:pStyle w:val="NormalIndent"/>
        <w:numPr>
          <w:ilvl w:val="0"/>
          <w:numId w:val="26"/>
        </w:numPr>
        <w:tabs>
          <w:tab w:val="left" w:pos="426"/>
        </w:tabs>
        <w:ind w:left="130" w:firstLine="134" w:firstLineChars="64"/>
        <w:rPr>
          <w:rFonts w:hAnsi="宋体"/>
        </w:rPr>
      </w:pPr>
      <w:r>
        <w:rPr>
          <w:rFonts w:hAnsi="宋体" w:hint="eastAsia"/>
        </w:rPr>
        <w:t>各等级对应的强制分布比例及奖金标准：</w:t>
      </w:r>
      <w:r>
        <w:rPr>
          <w:rFonts w:hAnsi="宋体"/>
        </w:rPr>
        <w:t xml:space="preserve"> </w:t>
      </w:r>
    </w:p>
    <w:tbl>
      <w:tblPr>
        <w:tblStyle w:val="TableNormal"/>
        <w:tblW w:w="737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1134"/>
        <w:gridCol w:w="1168"/>
        <w:gridCol w:w="1100"/>
        <w:gridCol w:w="1134"/>
      </w:tblGrid>
      <w:tr>
        <w:tblPrEx>
          <w:tblW w:w="7371" w:type="dxa"/>
          <w:tblInd w:w="-1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 w:cs="Times New Roman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级别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AA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A</w:t>
            </w:r>
          </w:p>
        </w:tc>
        <w:tc>
          <w:tcPr>
            <w:tcW w:w="1168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B</w:t>
            </w:r>
          </w:p>
        </w:tc>
        <w:tc>
          <w:tcPr>
            <w:tcW w:w="1100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C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D</w:t>
            </w:r>
          </w:p>
        </w:tc>
      </w:tr>
      <w:tr>
        <w:tblPrEx>
          <w:tblW w:w="737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 w:cs="Times New Roman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分数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&gt;95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&gt;90</w:t>
            </w:r>
          </w:p>
        </w:tc>
        <w:tc>
          <w:tcPr>
            <w:tcW w:w="1168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&gt;80</w:t>
            </w:r>
          </w:p>
        </w:tc>
        <w:tc>
          <w:tcPr>
            <w:tcW w:w="1100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&gt;60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&lt;60</w:t>
            </w:r>
          </w:p>
        </w:tc>
      </w:tr>
      <w:tr>
        <w:tblPrEx>
          <w:tblW w:w="737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 w:cs="Times New Roman"/>
                <w:sz w:val="21"/>
                <w:szCs w:val="21"/>
              </w:rPr>
            </w:pPr>
            <w:r>
              <w:rPr>
                <w:rFonts w:hAnsi="宋体" w:hint="eastAsia"/>
                <w:sz w:val="21"/>
                <w:szCs w:val="21"/>
              </w:rPr>
              <w:t>绩效系数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2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1.67</w:t>
            </w:r>
          </w:p>
        </w:tc>
        <w:tc>
          <w:tcPr>
            <w:tcW w:w="1168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1.33</w:t>
            </w:r>
          </w:p>
        </w:tc>
        <w:tc>
          <w:tcPr>
            <w:tcW w:w="1100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>
            <w:pPr>
              <w:pStyle w:val="NormalIndent"/>
              <w:tabs>
                <w:tab w:val="left" w:pos="426"/>
              </w:tabs>
              <w:ind w:left="113" w:firstLine="134" w:firstLineChars="64"/>
              <w:jc w:val="center"/>
              <w:rPr>
                <w:rFonts w:hAnsi="宋体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0.5</w:t>
            </w:r>
          </w:p>
        </w:tc>
      </w:tr>
    </w:tbl>
    <w:p>
      <w:pPr>
        <w:pStyle w:val="NormalIndent"/>
        <w:numPr>
          <w:ilvl w:val="0"/>
          <w:numId w:val="24"/>
        </w:numPr>
        <w:tabs>
          <w:tab w:val="left" w:pos="567"/>
        </w:tabs>
        <w:ind w:left="130" w:firstLine="0"/>
        <w:rPr>
          <w:rFonts w:hAnsi="宋体" w:cs="Times New Roman"/>
        </w:rPr>
      </w:pPr>
      <w:bookmarkStart w:id="10" w:name="_GoBack"/>
      <w:bookmarkEnd w:id="10"/>
      <w:r>
        <w:rPr>
          <w:rFonts w:hAnsi="宋体" w:hint="eastAsia"/>
        </w:rPr>
        <w:t>绩效工资：绩效实发</w:t>
      </w:r>
      <w:r>
        <w:rPr>
          <w:rFonts w:hAnsi="宋体"/>
        </w:rPr>
        <w:t>=</w:t>
      </w:r>
      <w:r>
        <w:rPr>
          <w:rFonts w:hAnsi="宋体" w:hint="eastAsia"/>
        </w:rPr>
        <w:t>绩效标准</w:t>
      </w:r>
      <w:r>
        <w:rPr>
          <w:rFonts w:hAnsi="宋体"/>
        </w:rPr>
        <w:t>*</w:t>
      </w:r>
      <w:r>
        <w:rPr>
          <w:rFonts w:hAnsi="宋体" w:hint="eastAsia"/>
        </w:rPr>
        <w:t>系数</w:t>
      </w:r>
    </w:p>
    <w:p>
      <w:pPr>
        <w:pStyle w:val="NormalIndent"/>
        <w:numPr>
          <w:ilvl w:val="0"/>
          <w:numId w:val="24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绩效考核结果与劳动合同的关系：</w:t>
      </w:r>
    </w:p>
    <w:tbl>
      <w:tblPr>
        <w:tblStyle w:val="TableNormal"/>
        <w:tblW w:w="7796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134"/>
        <w:gridCol w:w="5103"/>
      </w:tblGrid>
      <w:tr>
        <w:tblPrEx>
          <w:tblW w:w="7796" w:type="dxa"/>
          <w:tblInd w:w="-1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等级</w:t>
            </w:r>
          </w:p>
        </w:tc>
        <w:tc>
          <w:tcPr>
            <w:tcW w:w="1134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次数</w:t>
            </w:r>
          </w:p>
        </w:tc>
        <w:tc>
          <w:tcPr>
            <w:tcW w:w="5103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规</w:t>
            </w:r>
            <w:r>
              <w:rPr>
                <w:rFonts w:ascii="宋体" w:hAnsi="宋体" w:cs="宋体"/>
              </w:rPr>
              <w:t xml:space="preserve">         </w:t>
            </w:r>
            <w:r>
              <w:rPr>
                <w:rFonts w:ascii="宋体" w:hAnsi="宋体" w:cs="宋体" w:hint="eastAsia"/>
              </w:rPr>
              <w:t>则</w:t>
            </w:r>
          </w:p>
        </w:tc>
      </w:tr>
      <w:tr>
        <w:tblPrEx>
          <w:tblW w:w="7796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/>
        </w:trPr>
        <w:tc>
          <w:tcPr>
            <w:tcW w:w="1559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</w:rPr>
              <w:t>C</w:t>
            </w:r>
            <w:r>
              <w:rPr>
                <w:rFonts w:ascii="宋体" w:hAnsi="宋体" w:cs="宋体" w:hint="eastAsia"/>
              </w:rPr>
              <w:t>档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达</w:t>
            </w:r>
            <w:r>
              <w:rPr>
                <w:rFonts w:ascii="宋体" w:hAnsi="宋体" w:cs="宋体"/>
              </w:rPr>
              <w:t>3</w:t>
            </w:r>
            <w:r>
              <w:rPr>
                <w:rFonts w:ascii="宋体" w:hAnsi="宋体" w:cs="宋体" w:hint="eastAsia"/>
              </w:rPr>
              <w:t>次</w:t>
            </w: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劳动合同到期，公司将不予续签，且不予补偿和赔偿</w:t>
            </w:r>
          </w:p>
        </w:tc>
      </w:tr>
      <w:tr>
        <w:tblPrEx>
          <w:tblW w:w="7796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/>
        </w:trPr>
        <w:tc>
          <w:tcPr>
            <w:tcW w:w="1559" w:type="dxa"/>
            <w:vMerge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  <w:vMerge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劳动合同履行中，公司有权变更岗位及薪酬</w:t>
            </w:r>
          </w:p>
        </w:tc>
      </w:tr>
      <w:tr>
        <w:tblPrEx>
          <w:tblW w:w="7796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/>
        </w:trPr>
        <w:tc>
          <w:tcPr>
            <w:tcW w:w="1559" w:type="dxa"/>
            <w:vMerge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达4次</w:t>
            </w: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公司将即时解除劳动合同，且不予补偿和赔偿</w:t>
            </w:r>
          </w:p>
        </w:tc>
      </w:tr>
      <w:tr>
        <w:tblPrEx>
          <w:tblW w:w="7796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/>
        </w:trPr>
        <w:tc>
          <w:tcPr>
            <w:tcW w:w="1559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/>
              </w:rPr>
              <w:t>D</w:t>
            </w:r>
            <w:r>
              <w:rPr>
                <w:rFonts w:ascii="宋体" w:hAnsi="宋体" w:cs="宋体" w:hint="eastAsia"/>
              </w:rPr>
              <w:t>档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达</w:t>
            </w:r>
            <w:r>
              <w:rPr>
                <w:rFonts w:ascii="宋体" w:hAnsi="宋体" w:cs="宋体"/>
              </w:rPr>
              <w:t>1</w:t>
            </w:r>
            <w:r>
              <w:rPr>
                <w:rFonts w:ascii="宋体" w:hAnsi="宋体" w:cs="宋体" w:hint="eastAsia"/>
              </w:rPr>
              <w:t>次</w:t>
            </w: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劳动合同到期，公司将不予续签，且不予补偿和赔偿</w:t>
            </w:r>
          </w:p>
        </w:tc>
      </w:tr>
      <w:tr>
        <w:tblPrEx>
          <w:tblW w:w="7796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/>
        </w:trPr>
        <w:tc>
          <w:tcPr>
            <w:tcW w:w="1559" w:type="dxa"/>
            <w:vMerge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  <w:vMerge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5103" w:type="dxa"/>
            <w:vAlign w:val="center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劳动合同履行中，公司有权变更岗位及薪酬</w:t>
            </w:r>
          </w:p>
        </w:tc>
      </w:tr>
      <w:tr>
        <w:tblPrEx>
          <w:tblW w:w="7796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vMerge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</w:p>
        </w:tc>
        <w:tc>
          <w:tcPr>
            <w:tcW w:w="1134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center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达</w:t>
            </w:r>
            <w:r>
              <w:rPr>
                <w:rFonts w:ascii="宋体" w:hAnsi="宋体" w:cs="宋体"/>
              </w:rPr>
              <w:t>2</w:t>
            </w:r>
            <w:r>
              <w:rPr>
                <w:rFonts w:ascii="宋体" w:hAnsi="宋体" w:cs="宋体" w:hint="eastAsia"/>
              </w:rPr>
              <w:t>次</w:t>
            </w:r>
          </w:p>
        </w:tc>
        <w:tc>
          <w:tcPr>
            <w:tcW w:w="5103" w:type="dxa"/>
          </w:tcPr>
          <w:p>
            <w:pPr>
              <w:tabs>
                <w:tab w:val="left" w:pos="567"/>
                <w:tab w:val="left" w:pos="1980"/>
              </w:tabs>
              <w:spacing w:after="156" w:afterLines="50" w:line="380" w:lineRule="exact"/>
              <w:ind w:left="113"/>
              <w:jc w:val="left"/>
              <w:rPr>
                <w:rFonts w:ascii="宋体"/>
              </w:rPr>
            </w:pPr>
            <w:r>
              <w:rPr>
                <w:rFonts w:ascii="宋体" w:hAnsi="宋体" w:cs="宋体" w:hint="eastAsia"/>
              </w:rPr>
              <w:t>公司将即时解除劳动合同，且不予补偿和赔偿</w:t>
            </w:r>
          </w:p>
        </w:tc>
      </w:tr>
    </w:tbl>
    <w:p>
      <w:pPr>
        <w:pStyle w:val="NormalIndent"/>
        <w:tabs>
          <w:tab w:val="left" w:pos="567"/>
        </w:tabs>
        <w:ind w:left="130" w:firstLine="0"/>
        <w:rPr>
          <w:rFonts w:hAnsi="宋体" w:cs="Times New Roman"/>
        </w:rPr>
      </w:pPr>
    </w:p>
    <w:p>
      <w:pPr>
        <w:pStyle w:val="NormalIndent"/>
        <w:numPr>
          <w:ilvl w:val="0"/>
          <w:numId w:val="10"/>
        </w:numPr>
        <w:tabs>
          <w:tab w:val="left" w:pos="567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考核结果还作用于：</w:t>
      </w:r>
    </w:p>
    <w:p>
      <w:pPr>
        <w:pStyle w:val="NormalIndent"/>
        <w:numPr>
          <w:ilvl w:val="0"/>
          <w:numId w:val="27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年度达到</w:t>
      </w:r>
      <w:r>
        <w:rPr>
          <w:rFonts w:hAnsi="宋体"/>
        </w:rPr>
        <w:t>2</w:t>
      </w:r>
      <w:r>
        <w:rPr>
          <w:rFonts w:hAnsi="宋体" w:hint="eastAsia"/>
        </w:rPr>
        <w:t>次</w:t>
      </w:r>
      <w:r>
        <w:rPr>
          <w:rFonts w:hAnsi="宋体"/>
        </w:rPr>
        <w:t>D</w:t>
      </w:r>
      <w:r>
        <w:rPr>
          <w:rFonts w:hAnsi="宋体" w:hint="eastAsia"/>
        </w:rPr>
        <w:t>档，无评优资格。</w:t>
      </w:r>
    </w:p>
    <w:p>
      <w:pPr>
        <w:pStyle w:val="NormalIndent"/>
        <w:numPr>
          <w:ilvl w:val="0"/>
          <w:numId w:val="27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年度内</w:t>
      </w:r>
      <w:r>
        <w:rPr>
          <w:rFonts w:hAnsi="宋体"/>
        </w:rPr>
        <w:t>C</w:t>
      </w:r>
      <w:r>
        <w:rPr>
          <w:rFonts w:hAnsi="宋体" w:hint="eastAsia"/>
        </w:rPr>
        <w:t>档达</w:t>
      </w:r>
      <w:r>
        <w:rPr>
          <w:rFonts w:hAnsi="宋体"/>
        </w:rPr>
        <w:t>3</w:t>
      </w:r>
      <w:r>
        <w:rPr>
          <w:rFonts w:hAnsi="宋体" w:hint="eastAsia"/>
        </w:rPr>
        <w:t>次，</w:t>
      </w:r>
      <w:r>
        <w:rPr>
          <w:rFonts w:hAnsi="宋体"/>
        </w:rPr>
        <w:t>D</w:t>
      </w:r>
      <w:r>
        <w:rPr>
          <w:rFonts w:hAnsi="宋体" w:hint="eastAsia"/>
        </w:rPr>
        <w:t>档达</w:t>
      </w:r>
      <w:r>
        <w:rPr>
          <w:rFonts w:hAnsi="宋体"/>
        </w:rPr>
        <w:t>1</w:t>
      </w:r>
      <w:r>
        <w:rPr>
          <w:rFonts w:hAnsi="宋体" w:hint="eastAsia"/>
        </w:rPr>
        <w:t>次，视为员工不符合该岗位的任职资格，且不能履行该岗位职责，也不能合格地完成工作任务。公司有权变更员工的岗位，并依据变更后的岗位薪酬标准实施相应调整。</w:t>
      </w:r>
    </w:p>
    <w:p>
      <w:pPr>
        <w:pStyle w:val="NormalIndent"/>
        <w:numPr>
          <w:ilvl w:val="0"/>
          <w:numId w:val="27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年度内考核结果为</w:t>
      </w:r>
      <w:r>
        <w:rPr>
          <w:rFonts w:hAnsi="宋体"/>
        </w:rPr>
        <w:t>B</w:t>
      </w:r>
      <w:r>
        <w:rPr>
          <w:rFonts w:hAnsi="宋体" w:hint="eastAsia"/>
        </w:rPr>
        <w:t>档</w:t>
      </w:r>
      <w:r>
        <w:rPr>
          <w:rFonts w:hAnsi="宋体"/>
        </w:rPr>
        <w:t>2</w:t>
      </w:r>
      <w:r>
        <w:rPr>
          <w:rFonts w:hAnsi="宋体" w:hint="eastAsia"/>
        </w:rPr>
        <w:t>次（含）以上的，当年无薪酬调升资格。</w:t>
      </w:r>
    </w:p>
    <w:p>
      <w:pPr>
        <w:pStyle w:val="NormalIndent"/>
        <w:numPr>
          <w:ilvl w:val="0"/>
          <w:numId w:val="27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年度考核结果为</w:t>
      </w:r>
      <w:r>
        <w:rPr>
          <w:rFonts w:hAnsi="宋体"/>
        </w:rPr>
        <w:t>A</w:t>
      </w:r>
      <w:r>
        <w:rPr>
          <w:rFonts w:hAnsi="宋体" w:hint="eastAsia"/>
        </w:rPr>
        <w:t>档</w:t>
      </w:r>
      <w:r>
        <w:rPr>
          <w:rFonts w:hAnsi="宋体"/>
        </w:rPr>
        <w:t>2</w:t>
      </w:r>
      <w:r>
        <w:rPr>
          <w:rFonts w:hAnsi="宋体" w:hint="eastAsia"/>
        </w:rPr>
        <w:t>次以上，或</w:t>
      </w:r>
      <w:r>
        <w:rPr>
          <w:rFonts w:hAnsi="宋体"/>
        </w:rPr>
        <w:t>AA</w:t>
      </w:r>
      <w:r>
        <w:rPr>
          <w:rFonts w:hAnsi="宋体" w:hint="eastAsia"/>
        </w:rPr>
        <w:t>档</w:t>
      </w:r>
      <w:r>
        <w:rPr>
          <w:rFonts w:hAnsi="宋体"/>
        </w:rPr>
        <w:t>1</w:t>
      </w:r>
      <w:r>
        <w:rPr>
          <w:rFonts w:hAnsi="宋体" w:hint="eastAsia"/>
        </w:rPr>
        <w:t>次以上，当年优先考虑薪酬的调升。</w:t>
      </w:r>
    </w:p>
    <w:p>
      <w:pPr>
        <w:pStyle w:val="NormalIndent"/>
        <w:numPr>
          <w:ilvl w:val="0"/>
          <w:numId w:val="27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职务晋升或是在同一薪酬通道中的薪酬调升，全年度绩效考核结果仅为必要条件之一。</w:t>
      </w:r>
    </w:p>
    <w:p>
      <w:pPr>
        <w:pStyle w:val="NormalIndent"/>
        <w:numPr>
          <w:ilvl w:val="0"/>
          <w:numId w:val="27"/>
        </w:numPr>
        <w:tabs>
          <w:tab w:val="left" w:pos="567"/>
          <w:tab w:val="left" w:pos="1843"/>
        </w:tabs>
        <w:ind w:left="130" w:firstLine="0"/>
        <w:rPr>
          <w:rFonts w:hAnsi="宋体" w:cs="Times New Roman"/>
        </w:rPr>
      </w:pPr>
      <w:r>
        <w:rPr>
          <w:rFonts w:hAnsi="宋体" w:hint="eastAsia"/>
        </w:rPr>
        <w:t>培训资格的确认：凡涉及提高员工履职能力的培训，须由考核人根据考核结果提出申请，由决定人批准后汇总报人力资源部统一安排。</w:t>
      </w:r>
    </w:p>
    <w:p>
      <w:pPr>
        <w:ind w:left="151"/>
        <w:rPr>
          <w:rFonts w:ascii="宋体"/>
          <w:sz w:val="28"/>
          <w:szCs w:val="28"/>
        </w:rPr>
      </w:pPr>
      <w:bookmarkStart w:id="11" w:name="_Toc391483142"/>
      <w:bookmarkEnd w:id="11"/>
      <w:bookmarkStart w:id="12" w:name="_Toc391475810"/>
      <w:bookmarkEnd w:id="12"/>
    </w:p>
    <w:sectPr>
      <w:pgSz w:w="11906" w:h="16838"/>
      <w:pgMar w:top="1474" w:right="1134" w:bottom="1134" w:left="1276" w:header="907" w:footer="907" w:gutter="0"/>
      <w:pgNumType w:fmt="decimal"/>
      <w:cols w:num="1" w:space="72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right="270"/>
      <w:jc w:val="right"/>
    </w:pPr>
  </w:p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left"/>
    </w:pPr>
    <w:r>
      <w:rPr>
        <w:sz w:val="2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4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  <w:r>
      <w:t xml:space="preserve">                                                        </w:t>
    </w:r>
  </w:p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jc w:val="center"/>
      <w:rPr>
        <w:rFonts w:eastAsia="宋体" w:hint="default"/>
        <w:lang w:val="en-US" w:eastAsia="zh-CN"/>
      </w:rPr>
    </w:pPr>
    <w:r>
      <w:rPr>
        <w:rFonts w:hint="eastAsia"/>
        <w:lang w:val="en-US" w:eastAsia="zh-CN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jc w:val="center"/>
    </w:pPr>
    <w:r>
      <w:rPr>
        <w:rFonts w:hint="eastAsia"/>
      </w:rPr>
      <w:t>南京航之舟数字科技有限公司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AC5A5F6A"/>
    <w:multiLevelType w:val="multilevel"/>
    <w:tmpl w:val="AC5A5F6A"/>
    <w:lvl w:ilvl="0">
      <w:start w:val="1"/>
      <w:numFmt w:val="decimal"/>
      <w:lvlText w:val="%1)"/>
      <w:lvlJc w:val="left"/>
      <w:pPr>
        <w:ind w:left="2405" w:hanging="420"/>
      </w:pPr>
    </w:lvl>
    <w:lvl w:ilvl="1">
      <w:start w:val="1"/>
      <w:numFmt w:val="lowerLetter"/>
      <w:lvlText w:val="%2)"/>
      <w:lvlJc w:val="left"/>
      <w:pPr>
        <w:ind w:left="2825" w:hanging="420"/>
      </w:pPr>
    </w:lvl>
    <w:lvl w:ilvl="2">
      <w:start w:val="1"/>
      <w:numFmt w:val="lowerRoman"/>
      <w:lvlText w:val="%3."/>
      <w:lvlJc w:val="right"/>
      <w:pPr>
        <w:ind w:left="3245" w:hanging="420"/>
      </w:pPr>
    </w:lvl>
    <w:lvl w:ilvl="3">
      <w:start w:val="1"/>
      <w:numFmt w:val="decimal"/>
      <w:lvlText w:val="%4."/>
      <w:lvlJc w:val="left"/>
      <w:pPr>
        <w:ind w:left="3665" w:hanging="420"/>
      </w:pPr>
    </w:lvl>
    <w:lvl w:ilvl="4">
      <w:start w:val="1"/>
      <w:numFmt w:val="lowerLetter"/>
      <w:lvlText w:val="%5)"/>
      <w:lvlJc w:val="left"/>
      <w:pPr>
        <w:ind w:left="4085" w:hanging="420"/>
      </w:pPr>
    </w:lvl>
    <w:lvl w:ilvl="5">
      <w:start w:val="1"/>
      <w:numFmt w:val="lowerRoman"/>
      <w:lvlText w:val="%6."/>
      <w:lvlJc w:val="right"/>
      <w:pPr>
        <w:ind w:left="4505" w:hanging="420"/>
      </w:pPr>
    </w:lvl>
    <w:lvl w:ilvl="6">
      <w:start w:val="1"/>
      <w:numFmt w:val="decimal"/>
      <w:lvlText w:val="%7."/>
      <w:lvlJc w:val="left"/>
      <w:pPr>
        <w:ind w:left="4925" w:hanging="420"/>
      </w:pPr>
    </w:lvl>
    <w:lvl w:ilvl="7">
      <w:start w:val="1"/>
      <w:numFmt w:val="lowerLetter"/>
      <w:lvlText w:val="%8)"/>
      <w:lvlJc w:val="left"/>
      <w:pPr>
        <w:ind w:left="5345" w:hanging="420"/>
      </w:pPr>
    </w:lvl>
    <w:lvl w:ilvl="8">
      <w:start w:val="1"/>
      <w:numFmt w:val="lowerRoman"/>
      <w:lvlText w:val="%9."/>
      <w:lvlJc w:val="right"/>
      <w:pPr>
        <w:ind w:left="5765" w:hanging="420"/>
      </w:pPr>
    </w:lvl>
  </w:abstractNum>
  <w:abstractNum w:abstractNumId="1">
    <w:nsid w:val="13C52910"/>
    <w:multiLevelType w:val="multilevel"/>
    <w:tmpl w:val="13C52910"/>
    <w:lvl w:ilvl="0">
      <w:start w:val="1"/>
      <w:numFmt w:val="decimal"/>
      <w:lvlText w:val="%1)"/>
      <w:lvlJc w:val="left"/>
      <w:pPr>
        <w:tabs>
          <w:tab w:val="left" w:pos="420"/>
        </w:tabs>
        <w:ind w:left="211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2">
    <w:nsid w:val="15F501AA"/>
    <w:multiLevelType w:val="multilevel"/>
    <w:tmpl w:val="15F501AA"/>
    <w:lvl w:ilvl="0">
      <w:start w:val="1"/>
      <w:numFmt w:val="chineseCountingThousand"/>
      <w:lvlText w:val="(%1)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16" w:hanging="420"/>
      </w:pPr>
    </w:lvl>
    <w:lvl w:ilvl="2">
      <w:start w:val="1"/>
      <w:numFmt w:val="lowerRoman"/>
      <w:lvlText w:val="%3."/>
      <w:lvlJc w:val="right"/>
      <w:pPr>
        <w:ind w:left="1736" w:hanging="420"/>
      </w:pPr>
    </w:lvl>
    <w:lvl w:ilvl="3">
      <w:start w:val="1"/>
      <w:numFmt w:val="decimal"/>
      <w:lvlText w:val="%4."/>
      <w:lvlJc w:val="left"/>
      <w:pPr>
        <w:ind w:left="2156" w:hanging="420"/>
      </w:pPr>
    </w:lvl>
    <w:lvl w:ilvl="4">
      <w:start w:val="1"/>
      <w:numFmt w:val="lowerLetter"/>
      <w:lvlText w:val="%5)"/>
      <w:lvlJc w:val="left"/>
      <w:pPr>
        <w:ind w:left="2576" w:hanging="420"/>
      </w:pPr>
    </w:lvl>
    <w:lvl w:ilvl="5">
      <w:start w:val="1"/>
      <w:numFmt w:val="lowerRoman"/>
      <w:lvlText w:val="%6."/>
      <w:lvlJc w:val="right"/>
      <w:pPr>
        <w:ind w:left="2996" w:hanging="420"/>
      </w:pPr>
    </w:lvl>
    <w:lvl w:ilvl="6">
      <w:start w:val="1"/>
      <w:numFmt w:val="decimal"/>
      <w:lvlText w:val="%7."/>
      <w:lvlJc w:val="left"/>
      <w:pPr>
        <w:ind w:left="3416" w:hanging="420"/>
      </w:pPr>
    </w:lvl>
    <w:lvl w:ilvl="7">
      <w:start w:val="1"/>
      <w:numFmt w:val="lowerLetter"/>
      <w:lvlText w:val="%8)"/>
      <w:lvlJc w:val="left"/>
      <w:pPr>
        <w:ind w:left="3836" w:hanging="420"/>
      </w:pPr>
    </w:lvl>
    <w:lvl w:ilvl="8">
      <w:start w:val="1"/>
      <w:numFmt w:val="lowerRoman"/>
      <w:lvlText w:val="%9."/>
      <w:lvlJc w:val="right"/>
      <w:pPr>
        <w:ind w:left="4256" w:hanging="420"/>
      </w:pPr>
    </w:lvl>
  </w:abstractNum>
  <w:abstractNum w:abstractNumId="3">
    <w:nsid w:val="193D614E"/>
    <w:multiLevelType w:val="multilevel"/>
    <w:tmpl w:val="193D614E"/>
    <w:lvl w:ilvl="0">
      <w:start w:val="1"/>
      <w:numFmt w:val="chineseCountingThousand"/>
      <w:lvlText w:val="(%1)"/>
      <w:lvlJc w:val="left"/>
      <w:pPr>
        <w:ind w:left="896" w:hanging="420"/>
      </w:pPr>
    </w:lvl>
    <w:lvl w:ilvl="1">
      <w:start w:val="1"/>
      <w:numFmt w:val="lowerLetter"/>
      <w:lvlText w:val="%2)"/>
      <w:lvlJc w:val="left"/>
      <w:pPr>
        <w:ind w:left="1316" w:hanging="420"/>
      </w:pPr>
    </w:lvl>
    <w:lvl w:ilvl="2">
      <w:start w:val="1"/>
      <w:numFmt w:val="lowerRoman"/>
      <w:lvlText w:val="%3."/>
      <w:lvlJc w:val="right"/>
      <w:pPr>
        <w:ind w:left="1736" w:hanging="420"/>
      </w:pPr>
    </w:lvl>
    <w:lvl w:ilvl="3">
      <w:start w:val="1"/>
      <w:numFmt w:val="decimal"/>
      <w:lvlText w:val="%4."/>
      <w:lvlJc w:val="left"/>
      <w:pPr>
        <w:ind w:left="2156" w:hanging="420"/>
      </w:pPr>
    </w:lvl>
    <w:lvl w:ilvl="4">
      <w:start w:val="1"/>
      <w:numFmt w:val="lowerLetter"/>
      <w:lvlText w:val="%5)"/>
      <w:lvlJc w:val="left"/>
      <w:pPr>
        <w:ind w:left="2576" w:hanging="420"/>
      </w:pPr>
    </w:lvl>
    <w:lvl w:ilvl="5">
      <w:start w:val="1"/>
      <w:numFmt w:val="lowerRoman"/>
      <w:lvlText w:val="%6."/>
      <w:lvlJc w:val="right"/>
      <w:pPr>
        <w:ind w:left="2996" w:hanging="420"/>
      </w:pPr>
    </w:lvl>
    <w:lvl w:ilvl="6">
      <w:start w:val="1"/>
      <w:numFmt w:val="decimal"/>
      <w:lvlText w:val="%7."/>
      <w:lvlJc w:val="left"/>
      <w:pPr>
        <w:ind w:left="3416" w:hanging="420"/>
      </w:pPr>
    </w:lvl>
    <w:lvl w:ilvl="7">
      <w:start w:val="1"/>
      <w:numFmt w:val="lowerLetter"/>
      <w:lvlText w:val="%8)"/>
      <w:lvlJc w:val="left"/>
      <w:pPr>
        <w:ind w:left="3836" w:hanging="420"/>
      </w:pPr>
    </w:lvl>
    <w:lvl w:ilvl="8">
      <w:start w:val="1"/>
      <w:numFmt w:val="lowerRoman"/>
      <w:lvlText w:val="%9."/>
      <w:lvlJc w:val="right"/>
      <w:pPr>
        <w:ind w:left="4256" w:hanging="420"/>
      </w:pPr>
    </w:lvl>
  </w:abstractNum>
  <w:abstractNum w:abstractNumId="4">
    <w:nsid w:val="1B6518A4"/>
    <w:multiLevelType w:val="multilevel"/>
    <w:tmpl w:val="1B6518A4"/>
    <w:lvl w:ilvl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CAA4E70"/>
    <w:multiLevelType w:val="multilevel"/>
    <w:tmpl w:val="1CAA4E70"/>
    <w:lvl w:ilvl="0">
      <w:start w:val="1"/>
      <w:numFmt w:val="decimal"/>
      <w:lvlText w:val="%1)"/>
      <w:lvlJc w:val="left"/>
      <w:pPr>
        <w:ind w:left="1319" w:hanging="420"/>
      </w:pPr>
    </w:lvl>
    <w:lvl w:ilvl="1">
      <w:start w:val="1"/>
      <w:numFmt w:val="lowerLetter"/>
      <w:lvlText w:val="%2)"/>
      <w:lvlJc w:val="left"/>
      <w:pPr>
        <w:ind w:left="1739" w:hanging="420"/>
      </w:pPr>
    </w:lvl>
    <w:lvl w:ilvl="2">
      <w:start w:val="1"/>
      <w:numFmt w:val="lowerRoman"/>
      <w:lvlText w:val="%3."/>
      <w:lvlJc w:val="right"/>
      <w:pPr>
        <w:ind w:left="2159" w:hanging="420"/>
      </w:pPr>
    </w:lvl>
    <w:lvl w:ilvl="3">
      <w:start w:val="1"/>
      <w:numFmt w:val="decimal"/>
      <w:lvlText w:val="%4."/>
      <w:lvlJc w:val="left"/>
      <w:pPr>
        <w:ind w:left="2579" w:hanging="420"/>
      </w:pPr>
    </w:lvl>
    <w:lvl w:ilvl="4">
      <w:start w:val="1"/>
      <w:numFmt w:val="lowerLetter"/>
      <w:lvlText w:val="%5)"/>
      <w:lvlJc w:val="left"/>
      <w:pPr>
        <w:ind w:left="2999" w:hanging="420"/>
      </w:pPr>
    </w:lvl>
    <w:lvl w:ilvl="5">
      <w:start w:val="1"/>
      <w:numFmt w:val="lowerRoman"/>
      <w:lvlText w:val="%6."/>
      <w:lvlJc w:val="right"/>
      <w:pPr>
        <w:ind w:left="3419" w:hanging="420"/>
      </w:pPr>
    </w:lvl>
    <w:lvl w:ilvl="6">
      <w:start w:val="1"/>
      <w:numFmt w:val="decimal"/>
      <w:lvlText w:val="%7."/>
      <w:lvlJc w:val="left"/>
      <w:pPr>
        <w:ind w:left="3839" w:hanging="420"/>
      </w:pPr>
    </w:lvl>
    <w:lvl w:ilvl="7">
      <w:start w:val="1"/>
      <w:numFmt w:val="lowerLetter"/>
      <w:lvlText w:val="%8)"/>
      <w:lvlJc w:val="left"/>
      <w:pPr>
        <w:ind w:left="4259" w:hanging="420"/>
      </w:pPr>
    </w:lvl>
    <w:lvl w:ilvl="8">
      <w:start w:val="1"/>
      <w:numFmt w:val="lowerRoman"/>
      <w:lvlText w:val="%9."/>
      <w:lvlJc w:val="right"/>
      <w:pPr>
        <w:ind w:left="4679" w:hanging="420"/>
      </w:pPr>
    </w:lvl>
  </w:abstractNum>
  <w:abstractNum w:abstractNumId="6">
    <w:nsid w:val="23FA6B92"/>
    <w:multiLevelType w:val="multilevel"/>
    <w:tmpl w:val="23FA6B92"/>
    <w:lvl w:ilvl="0">
      <w:start w:val="1"/>
      <w:numFmt w:val="decimal"/>
      <w:lvlText w:val="%1、"/>
      <w:lvlJc w:val="left"/>
      <w:pPr>
        <w:ind w:left="47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9" w:hanging="420"/>
      </w:pPr>
    </w:lvl>
    <w:lvl w:ilvl="2">
      <w:start w:val="1"/>
      <w:numFmt w:val="lowerRoman"/>
      <w:lvlText w:val="%3."/>
      <w:lvlJc w:val="right"/>
      <w:pPr>
        <w:ind w:left="1379" w:hanging="420"/>
      </w:pPr>
    </w:lvl>
    <w:lvl w:ilvl="3">
      <w:start w:val="1"/>
      <w:numFmt w:val="decimal"/>
      <w:lvlText w:val="%4."/>
      <w:lvlJc w:val="left"/>
      <w:pPr>
        <w:ind w:left="1799" w:hanging="420"/>
      </w:pPr>
    </w:lvl>
    <w:lvl w:ilvl="4">
      <w:start w:val="1"/>
      <w:numFmt w:val="lowerLetter"/>
      <w:lvlText w:val="%5)"/>
      <w:lvlJc w:val="left"/>
      <w:pPr>
        <w:ind w:left="2219" w:hanging="420"/>
      </w:pPr>
    </w:lvl>
    <w:lvl w:ilvl="5">
      <w:start w:val="1"/>
      <w:numFmt w:val="lowerRoman"/>
      <w:lvlText w:val="%6."/>
      <w:lvlJc w:val="right"/>
      <w:pPr>
        <w:ind w:left="2639" w:hanging="420"/>
      </w:pPr>
    </w:lvl>
    <w:lvl w:ilvl="6">
      <w:start w:val="1"/>
      <w:numFmt w:val="decimal"/>
      <w:lvlText w:val="%7."/>
      <w:lvlJc w:val="left"/>
      <w:pPr>
        <w:ind w:left="3059" w:hanging="420"/>
      </w:pPr>
    </w:lvl>
    <w:lvl w:ilvl="7">
      <w:start w:val="1"/>
      <w:numFmt w:val="lowerLetter"/>
      <w:lvlText w:val="%8)"/>
      <w:lvlJc w:val="left"/>
      <w:pPr>
        <w:ind w:left="3479" w:hanging="420"/>
      </w:pPr>
    </w:lvl>
    <w:lvl w:ilvl="8">
      <w:start w:val="1"/>
      <w:numFmt w:val="lowerRoman"/>
      <w:lvlText w:val="%9."/>
      <w:lvlJc w:val="right"/>
      <w:pPr>
        <w:ind w:left="3899" w:hanging="420"/>
      </w:pPr>
    </w:lvl>
  </w:abstractNum>
  <w:abstractNum w:abstractNumId="7">
    <w:nsid w:val="2B30F63E"/>
    <w:multiLevelType w:val="singleLevel"/>
    <w:tmpl w:val="2B30F6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BEA6E7A"/>
    <w:multiLevelType w:val="multilevel"/>
    <w:tmpl w:val="2BEA6E7A"/>
    <w:lvl w:ilvl="0">
      <w:start w:val="1"/>
      <w:numFmt w:val="decimal"/>
      <w:lvlText w:val="%1、"/>
      <w:lvlJc w:val="left"/>
      <w:pPr>
        <w:ind w:left="16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ECC07B8"/>
    <w:multiLevelType w:val="multilevel"/>
    <w:tmpl w:val="2ECC07B8"/>
    <w:lvl w:ilvl="0">
      <w:start w:val="1"/>
      <w:numFmt w:val="decimal"/>
      <w:lvlText w:val="%1)"/>
      <w:lvlJc w:val="left"/>
      <w:pPr>
        <w:ind w:left="1680" w:hanging="420"/>
      </w:pPr>
    </w:lvl>
    <w:lvl w:ilvl="1">
      <w:start w:val="1"/>
      <w:numFmt w:val="lowerLetter"/>
      <w:lvlText w:val="%2)"/>
      <w:lvlJc w:val="left"/>
      <w:pPr>
        <w:ind w:left="2100" w:hanging="420"/>
      </w:pPr>
    </w:lvl>
    <w:lvl w:ilvl="2">
      <w:start w:val="1"/>
      <w:numFmt w:val="lowerRoman"/>
      <w:lvlText w:val="%3."/>
      <w:lvlJc w:val="right"/>
      <w:pPr>
        <w:ind w:left="2520" w:hanging="420"/>
      </w:pPr>
    </w:lvl>
    <w:lvl w:ilvl="3">
      <w:start w:val="1"/>
      <w:numFmt w:val="decimal"/>
      <w:lvlText w:val="%4."/>
      <w:lvlJc w:val="left"/>
      <w:pPr>
        <w:ind w:left="2940" w:hanging="420"/>
      </w:pPr>
    </w:lvl>
    <w:lvl w:ilvl="4">
      <w:start w:val="1"/>
      <w:numFmt w:val="lowerLetter"/>
      <w:lvlText w:val="%5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4200" w:hanging="420"/>
      </w:pPr>
    </w:lvl>
    <w:lvl w:ilvl="7">
      <w:start w:val="1"/>
      <w:numFmt w:val="lowerLetter"/>
      <w:lvlText w:val="%8)"/>
      <w:lvlJc w:val="left"/>
      <w:pPr>
        <w:ind w:left="4620" w:hanging="420"/>
      </w:pPr>
    </w:lvl>
    <w:lvl w:ilvl="8">
      <w:start w:val="1"/>
      <w:numFmt w:val="lowerRoman"/>
      <w:lvlText w:val="%9."/>
      <w:lvlJc w:val="right"/>
      <w:pPr>
        <w:ind w:left="5040" w:hanging="420"/>
      </w:pPr>
    </w:lvl>
  </w:abstractNum>
  <w:abstractNum w:abstractNumId="10">
    <w:nsid w:val="3276202E"/>
    <w:multiLevelType w:val="multilevel"/>
    <w:tmpl w:val="3276202E"/>
    <w:lvl w:ilvl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4DF7BA3"/>
    <w:multiLevelType w:val="multilevel"/>
    <w:tmpl w:val="34DF7BA3"/>
    <w:lvl w:ilvl="0">
      <w:start w:val="3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A5A45EB"/>
    <w:multiLevelType w:val="multilevel"/>
    <w:tmpl w:val="3A5A45EB"/>
    <w:lvl w:ilvl="0">
      <w:start w:val="1"/>
      <w:numFmt w:val="chineseCountingThousand"/>
      <w:lvlText w:val="(%1)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16" w:hanging="420"/>
      </w:pPr>
    </w:lvl>
    <w:lvl w:ilvl="2">
      <w:start w:val="1"/>
      <w:numFmt w:val="lowerRoman"/>
      <w:lvlText w:val="%3."/>
      <w:lvlJc w:val="right"/>
      <w:pPr>
        <w:ind w:left="1736" w:hanging="420"/>
      </w:pPr>
    </w:lvl>
    <w:lvl w:ilvl="3">
      <w:start w:val="1"/>
      <w:numFmt w:val="decimal"/>
      <w:lvlText w:val="%4."/>
      <w:lvlJc w:val="left"/>
      <w:pPr>
        <w:ind w:left="2156" w:hanging="420"/>
      </w:pPr>
    </w:lvl>
    <w:lvl w:ilvl="4">
      <w:start w:val="1"/>
      <w:numFmt w:val="lowerLetter"/>
      <w:lvlText w:val="%5)"/>
      <w:lvlJc w:val="left"/>
      <w:pPr>
        <w:ind w:left="2576" w:hanging="420"/>
      </w:pPr>
    </w:lvl>
    <w:lvl w:ilvl="5">
      <w:start w:val="1"/>
      <w:numFmt w:val="lowerRoman"/>
      <w:lvlText w:val="%6."/>
      <w:lvlJc w:val="right"/>
      <w:pPr>
        <w:ind w:left="2996" w:hanging="420"/>
      </w:pPr>
    </w:lvl>
    <w:lvl w:ilvl="6">
      <w:start w:val="1"/>
      <w:numFmt w:val="decimal"/>
      <w:lvlText w:val="%7."/>
      <w:lvlJc w:val="left"/>
      <w:pPr>
        <w:ind w:left="3416" w:hanging="420"/>
      </w:pPr>
    </w:lvl>
    <w:lvl w:ilvl="7">
      <w:start w:val="1"/>
      <w:numFmt w:val="lowerLetter"/>
      <w:lvlText w:val="%8)"/>
      <w:lvlJc w:val="left"/>
      <w:pPr>
        <w:ind w:left="3836" w:hanging="420"/>
      </w:pPr>
    </w:lvl>
    <w:lvl w:ilvl="8">
      <w:start w:val="1"/>
      <w:numFmt w:val="lowerRoman"/>
      <w:lvlText w:val="%9."/>
      <w:lvlJc w:val="right"/>
      <w:pPr>
        <w:ind w:left="4256" w:hanging="420"/>
      </w:pPr>
    </w:lvl>
  </w:abstractNum>
  <w:abstractNum w:abstractNumId="13">
    <w:nsid w:val="44983BDF"/>
    <w:multiLevelType w:val="multilevel"/>
    <w:tmpl w:val="44983BDF"/>
    <w:lvl w:ilvl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D4B74F2"/>
    <w:multiLevelType w:val="multilevel"/>
    <w:tmpl w:val="4D4B74F2"/>
    <w:lvl w:ilvl="0">
      <w:start w:val="1"/>
      <w:numFmt w:val="chineseCountingThousand"/>
      <w:lvlText w:val="(%1)"/>
      <w:lvlJc w:val="left"/>
      <w:pPr>
        <w:ind w:left="896" w:hanging="420"/>
      </w:pPr>
    </w:lvl>
    <w:lvl w:ilvl="1">
      <w:start w:val="1"/>
      <w:numFmt w:val="lowerLetter"/>
      <w:lvlText w:val="%2)"/>
      <w:lvlJc w:val="left"/>
      <w:pPr>
        <w:ind w:left="1316" w:hanging="420"/>
      </w:pPr>
    </w:lvl>
    <w:lvl w:ilvl="2">
      <w:start w:val="1"/>
      <w:numFmt w:val="lowerRoman"/>
      <w:lvlText w:val="%3."/>
      <w:lvlJc w:val="right"/>
      <w:pPr>
        <w:ind w:left="1736" w:hanging="420"/>
      </w:pPr>
    </w:lvl>
    <w:lvl w:ilvl="3">
      <w:start w:val="1"/>
      <w:numFmt w:val="decimal"/>
      <w:lvlText w:val="%4."/>
      <w:lvlJc w:val="left"/>
      <w:pPr>
        <w:ind w:left="2156" w:hanging="420"/>
      </w:pPr>
    </w:lvl>
    <w:lvl w:ilvl="4">
      <w:start w:val="1"/>
      <w:numFmt w:val="lowerLetter"/>
      <w:lvlText w:val="%5)"/>
      <w:lvlJc w:val="left"/>
      <w:pPr>
        <w:ind w:left="2576" w:hanging="420"/>
      </w:pPr>
    </w:lvl>
    <w:lvl w:ilvl="5">
      <w:start w:val="1"/>
      <w:numFmt w:val="lowerRoman"/>
      <w:lvlText w:val="%6."/>
      <w:lvlJc w:val="right"/>
      <w:pPr>
        <w:ind w:left="2996" w:hanging="420"/>
      </w:pPr>
    </w:lvl>
    <w:lvl w:ilvl="6">
      <w:start w:val="1"/>
      <w:numFmt w:val="decimal"/>
      <w:lvlText w:val="%7."/>
      <w:lvlJc w:val="left"/>
      <w:pPr>
        <w:ind w:left="3416" w:hanging="420"/>
      </w:pPr>
    </w:lvl>
    <w:lvl w:ilvl="7">
      <w:start w:val="1"/>
      <w:numFmt w:val="lowerLetter"/>
      <w:lvlText w:val="%8)"/>
      <w:lvlJc w:val="left"/>
      <w:pPr>
        <w:ind w:left="3836" w:hanging="420"/>
      </w:pPr>
    </w:lvl>
    <w:lvl w:ilvl="8">
      <w:start w:val="1"/>
      <w:numFmt w:val="lowerRoman"/>
      <w:lvlText w:val="%9."/>
      <w:lvlJc w:val="right"/>
      <w:pPr>
        <w:ind w:left="4256" w:hanging="420"/>
      </w:pPr>
    </w:lvl>
  </w:abstractNum>
  <w:abstractNum w:abstractNumId="15">
    <w:nsid w:val="503D0838"/>
    <w:multiLevelType w:val="multilevel"/>
    <w:tmpl w:val="503D0838"/>
    <w:lvl w:ilvl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1ED37B2"/>
    <w:multiLevelType w:val="multilevel"/>
    <w:tmpl w:val="51ED37B2"/>
    <w:lvl w:ilvl="0">
      <w:start w:val="1"/>
      <w:numFmt w:val="decimal"/>
      <w:lvlText w:val="%1)"/>
      <w:lvlJc w:val="left"/>
      <w:pPr>
        <w:ind w:left="1319" w:hanging="420"/>
      </w:pPr>
    </w:lvl>
    <w:lvl w:ilvl="1">
      <w:start w:val="1"/>
      <w:numFmt w:val="lowerLetter"/>
      <w:lvlText w:val="%2)"/>
      <w:lvlJc w:val="left"/>
      <w:pPr>
        <w:ind w:left="1739" w:hanging="420"/>
      </w:pPr>
    </w:lvl>
    <w:lvl w:ilvl="2">
      <w:start w:val="1"/>
      <w:numFmt w:val="lowerRoman"/>
      <w:lvlText w:val="%3."/>
      <w:lvlJc w:val="right"/>
      <w:pPr>
        <w:ind w:left="2159" w:hanging="420"/>
      </w:pPr>
    </w:lvl>
    <w:lvl w:ilvl="3">
      <w:start w:val="1"/>
      <w:numFmt w:val="decimal"/>
      <w:lvlText w:val="%4."/>
      <w:lvlJc w:val="left"/>
      <w:pPr>
        <w:ind w:left="2579" w:hanging="420"/>
      </w:pPr>
    </w:lvl>
    <w:lvl w:ilvl="4">
      <w:start w:val="1"/>
      <w:numFmt w:val="lowerLetter"/>
      <w:lvlText w:val="%5)"/>
      <w:lvlJc w:val="left"/>
      <w:pPr>
        <w:ind w:left="2999" w:hanging="420"/>
      </w:pPr>
    </w:lvl>
    <w:lvl w:ilvl="5">
      <w:start w:val="1"/>
      <w:numFmt w:val="lowerRoman"/>
      <w:lvlText w:val="%6."/>
      <w:lvlJc w:val="right"/>
      <w:pPr>
        <w:ind w:left="3419" w:hanging="420"/>
      </w:pPr>
    </w:lvl>
    <w:lvl w:ilvl="6">
      <w:start w:val="1"/>
      <w:numFmt w:val="decimal"/>
      <w:lvlText w:val="%7."/>
      <w:lvlJc w:val="left"/>
      <w:pPr>
        <w:ind w:left="3839" w:hanging="420"/>
      </w:pPr>
    </w:lvl>
    <w:lvl w:ilvl="7">
      <w:start w:val="1"/>
      <w:numFmt w:val="lowerLetter"/>
      <w:lvlText w:val="%8)"/>
      <w:lvlJc w:val="left"/>
      <w:pPr>
        <w:ind w:left="4259" w:hanging="420"/>
      </w:pPr>
    </w:lvl>
    <w:lvl w:ilvl="8">
      <w:start w:val="1"/>
      <w:numFmt w:val="lowerRoman"/>
      <w:lvlText w:val="%9."/>
      <w:lvlJc w:val="right"/>
      <w:pPr>
        <w:ind w:left="4679" w:hanging="420"/>
      </w:pPr>
    </w:lvl>
  </w:abstractNum>
  <w:abstractNum w:abstractNumId="17">
    <w:nsid w:val="52C75F11"/>
    <w:multiLevelType w:val="multilevel"/>
    <w:tmpl w:val="52C75F11"/>
    <w:lvl w:ilvl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C5F729F"/>
    <w:multiLevelType w:val="multilevel"/>
    <w:tmpl w:val="5C5F729F"/>
    <w:lvl w:ilvl="0">
      <w:start w:val="1"/>
      <w:numFmt w:val="chineseCountingThousand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549" w:hanging="420"/>
      </w:pPr>
    </w:lvl>
    <w:lvl w:ilvl="2">
      <w:start w:val="1"/>
      <w:numFmt w:val="lowerRoman"/>
      <w:lvlText w:val="%3."/>
      <w:lvlJc w:val="right"/>
      <w:pPr>
        <w:ind w:left="1969" w:hanging="420"/>
      </w:pPr>
    </w:lvl>
    <w:lvl w:ilvl="3">
      <w:start w:val="1"/>
      <w:numFmt w:val="decimal"/>
      <w:lvlText w:val="%4."/>
      <w:lvlJc w:val="left"/>
      <w:pPr>
        <w:ind w:left="2389" w:hanging="420"/>
      </w:pPr>
    </w:lvl>
    <w:lvl w:ilvl="4">
      <w:start w:val="1"/>
      <w:numFmt w:val="lowerLetter"/>
      <w:lvlText w:val="%5)"/>
      <w:lvlJc w:val="left"/>
      <w:pPr>
        <w:ind w:left="2809" w:hanging="420"/>
      </w:pPr>
    </w:lvl>
    <w:lvl w:ilvl="5">
      <w:start w:val="1"/>
      <w:numFmt w:val="lowerRoman"/>
      <w:lvlText w:val="%6."/>
      <w:lvlJc w:val="right"/>
      <w:pPr>
        <w:ind w:left="3229" w:hanging="420"/>
      </w:pPr>
    </w:lvl>
    <w:lvl w:ilvl="6">
      <w:start w:val="1"/>
      <w:numFmt w:val="decimal"/>
      <w:lvlText w:val="%7."/>
      <w:lvlJc w:val="left"/>
      <w:pPr>
        <w:ind w:left="3649" w:hanging="420"/>
      </w:pPr>
    </w:lvl>
    <w:lvl w:ilvl="7">
      <w:start w:val="1"/>
      <w:numFmt w:val="lowerLetter"/>
      <w:lvlText w:val="%8)"/>
      <w:lvlJc w:val="left"/>
      <w:pPr>
        <w:ind w:left="4069" w:hanging="420"/>
      </w:pPr>
    </w:lvl>
    <w:lvl w:ilvl="8">
      <w:start w:val="1"/>
      <w:numFmt w:val="lowerRoman"/>
      <w:lvlText w:val="%9."/>
      <w:lvlJc w:val="right"/>
      <w:pPr>
        <w:ind w:left="4489" w:hanging="420"/>
      </w:pPr>
    </w:lvl>
  </w:abstractNum>
  <w:abstractNum w:abstractNumId="19">
    <w:nsid w:val="5E331594"/>
    <w:multiLevelType w:val="multilevel"/>
    <w:tmpl w:val="5E331594"/>
    <w:lvl w:ilvl="0">
      <w:start w:val="1"/>
      <w:numFmt w:val="decimal"/>
      <w:lvlText w:val="%1."/>
      <w:lvlJc w:val="left"/>
      <w:pPr>
        <w:ind w:left="16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1A71A3A"/>
    <w:multiLevelType w:val="multilevel"/>
    <w:tmpl w:val="61A71A3A"/>
    <w:lvl w:ilvl="0">
      <w:start w:val="1"/>
      <w:numFmt w:val="lowerLetter"/>
      <w:lvlText w:val="%1)"/>
      <w:lvlJc w:val="left"/>
      <w:pPr>
        <w:ind w:left="1319" w:hanging="420"/>
      </w:pPr>
    </w:lvl>
    <w:lvl w:ilvl="1">
      <w:start w:val="1"/>
      <w:numFmt w:val="lowerLetter"/>
      <w:lvlText w:val="%2)"/>
      <w:lvlJc w:val="left"/>
      <w:pPr>
        <w:ind w:left="1739" w:hanging="420"/>
      </w:pPr>
    </w:lvl>
    <w:lvl w:ilvl="2">
      <w:start w:val="1"/>
      <w:numFmt w:val="lowerRoman"/>
      <w:lvlText w:val="%3."/>
      <w:lvlJc w:val="right"/>
      <w:pPr>
        <w:ind w:left="2159" w:hanging="420"/>
      </w:pPr>
    </w:lvl>
    <w:lvl w:ilvl="3">
      <w:start w:val="1"/>
      <w:numFmt w:val="decimal"/>
      <w:lvlText w:val="%4."/>
      <w:lvlJc w:val="left"/>
      <w:pPr>
        <w:ind w:left="2579" w:hanging="420"/>
      </w:pPr>
    </w:lvl>
    <w:lvl w:ilvl="4">
      <w:start w:val="1"/>
      <w:numFmt w:val="lowerLetter"/>
      <w:lvlText w:val="%5)"/>
      <w:lvlJc w:val="left"/>
      <w:pPr>
        <w:ind w:left="2999" w:hanging="420"/>
      </w:pPr>
    </w:lvl>
    <w:lvl w:ilvl="5">
      <w:start w:val="1"/>
      <w:numFmt w:val="lowerRoman"/>
      <w:lvlText w:val="%6."/>
      <w:lvlJc w:val="right"/>
      <w:pPr>
        <w:ind w:left="3419" w:hanging="420"/>
      </w:pPr>
    </w:lvl>
    <w:lvl w:ilvl="6">
      <w:start w:val="1"/>
      <w:numFmt w:val="decimal"/>
      <w:lvlText w:val="%7."/>
      <w:lvlJc w:val="left"/>
      <w:pPr>
        <w:ind w:left="3839" w:hanging="420"/>
      </w:pPr>
    </w:lvl>
    <w:lvl w:ilvl="7">
      <w:start w:val="1"/>
      <w:numFmt w:val="lowerLetter"/>
      <w:lvlText w:val="%8)"/>
      <w:lvlJc w:val="left"/>
      <w:pPr>
        <w:ind w:left="4259" w:hanging="420"/>
      </w:pPr>
    </w:lvl>
    <w:lvl w:ilvl="8">
      <w:start w:val="1"/>
      <w:numFmt w:val="lowerRoman"/>
      <w:lvlText w:val="%9."/>
      <w:lvlJc w:val="right"/>
      <w:pPr>
        <w:ind w:left="4679" w:hanging="420"/>
      </w:pPr>
    </w:lvl>
  </w:abstractNum>
  <w:abstractNum w:abstractNumId="21">
    <w:nsid w:val="654B304E"/>
    <w:multiLevelType w:val="multilevel"/>
    <w:tmpl w:val="654B304E"/>
    <w:lvl w:ilvl="0">
      <w:start w:val="2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5BD504E"/>
    <w:multiLevelType w:val="multilevel"/>
    <w:tmpl w:val="65BD504E"/>
    <w:lvl w:ilvl="0">
      <w:start w:val="1"/>
      <w:numFmt w:val="decimal"/>
      <w:lvlText w:val="%1)"/>
      <w:lvlJc w:val="left"/>
      <w:pPr>
        <w:ind w:left="1319" w:hanging="420"/>
      </w:pPr>
    </w:lvl>
    <w:lvl w:ilvl="1">
      <w:start w:val="1"/>
      <w:numFmt w:val="lowerLetter"/>
      <w:lvlText w:val="%2)"/>
      <w:lvlJc w:val="left"/>
      <w:pPr>
        <w:ind w:left="1739" w:hanging="420"/>
      </w:pPr>
    </w:lvl>
    <w:lvl w:ilvl="2">
      <w:start w:val="1"/>
      <w:numFmt w:val="lowerRoman"/>
      <w:lvlText w:val="%3."/>
      <w:lvlJc w:val="right"/>
      <w:pPr>
        <w:ind w:left="2159" w:hanging="420"/>
      </w:pPr>
    </w:lvl>
    <w:lvl w:ilvl="3">
      <w:start w:val="1"/>
      <w:numFmt w:val="decimal"/>
      <w:lvlText w:val="%4."/>
      <w:lvlJc w:val="left"/>
      <w:pPr>
        <w:ind w:left="2579" w:hanging="420"/>
      </w:pPr>
    </w:lvl>
    <w:lvl w:ilvl="4">
      <w:start w:val="1"/>
      <w:numFmt w:val="lowerLetter"/>
      <w:lvlText w:val="%5)"/>
      <w:lvlJc w:val="left"/>
      <w:pPr>
        <w:ind w:left="2999" w:hanging="420"/>
      </w:pPr>
    </w:lvl>
    <w:lvl w:ilvl="5">
      <w:start w:val="1"/>
      <w:numFmt w:val="lowerRoman"/>
      <w:lvlText w:val="%6."/>
      <w:lvlJc w:val="right"/>
      <w:pPr>
        <w:ind w:left="3419" w:hanging="420"/>
      </w:pPr>
    </w:lvl>
    <w:lvl w:ilvl="6">
      <w:start w:val="1"/>
      <w:numFmt w:val="decimal"/>
      <w:lvlText w:val="%7."/>
      <w:lvlJc w:val="left"/>
      <w:pPr>
        <w:ind w:left="3839" w:hanging="420"/>
      </w:pPr>
    </w:lvl>
    <w:lvl w:ilvl="7">
      <w:start w:val="1"/>
      <w:numFmt w:val="lowerLetter"/>
      <w:lvlText w:val="%8)"/>
      <w:lvlJc w:val="left"/>
      <w:pPr>
        <w:ind w:left="4259" w:hanging="420"/>
      </w:pPr>
    </w:lvl>
    <w:lvl w:ilvl="8">
      <w:start w:val="1"/>
      <w:numFmt w:val="lowerRoman"/>
      <w:lvlText w:val="%9."/>
      <w:lvlJc w:val="right"/>
      <w:pPr>
        <w:ind w:left="4679" w:hanging="420"/>
      </w:pPr>
    </w:lvl>
  </w:abstractNum>
  <w:abstractNum w:abstractNumId="23">
    <w:nsid w:val="65F06F77"/>
    <w:multiLevelType w:val="multilevel"/>
    <w:tmpl w:val="65F06F77"/>
    <w:lvl w:ilvl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BEF0078"/>
    <w:multiLevelType w:val="multilevel"/>
    <w:tmpl w:val="6BEF0078"/>
    <w:lvl w:ilvl="0">
      <w:start w:val="1"/>
      <w:numFmt w:val="decimal"/>
      <w:lvlText w:val="%1)"/>
      <w:lvlJc w:val="left"/>
      <w:pPr>
        <w:ind w:left="2405" w:hanging="420"/>
      </w:pPr>
    </w:lvl>
    <w:lvl w:ilvl="1">
      <w:start w:val="1"/>
      <w:numFmt w:val="lowerLetter"/>
      <w:lvlText w:val="%2)"/>
      <w:lvlJc w:val="left"/>
      <w:pPr>
        <w:ind w:left="2825" w:hanging="420"/>
      </w:pPr>
    </w:lvl>
    <w:lvl w:ilvl="2">
      <w:start w:val="1"/>
      <w:numFmt w:val="lowerRoman"/>
      <w:lvlText w:val="%3."/>
      <w:lvlJc w:val="right"/>
      <w:pPr>
        <w:ind w:left="3245" w:hanging="420"/>
      </w:pPr>
    </w:lvl>
    <w:lvl w:ilvl="3">
      <w:start w:val="1"/>
      <w:numFmt w:val="decimal"/>
      <w:lvlText w:val="%4."/>
      <w:lvlJc w:val="left"/>
      <w:pPr>
        <w:ind w:left="3665" w:hanging="420"/>
      </w:pPr>
    </w:lvl>
    <w:lvl w:ilvl="4">
      <w:start w:val="1"/>
      <w:numFmt w:val="lowerLetter"/>
      <w:lvlText w:val="%5)"/>
      <w:lvlJc w:val="left"/>
      <w:pPr>
        <w:ind w:left="4085" w:hanging="420"/>
      </w:pPr>
    </w:lvl>
    <w:lvl w:ilvl="5">
      <w:start w:val="1"/>
      <w:numFmt w:val="lowerRoman"/>
      <w:lvlText w:val="%6."/>
      <w:lvlJc w:val="right"/>
      <w:pPr>
        <w:ind w:left="4505" w:hanging="420"/>
      </w:pPr>
    </w:lvl>
    <w:lvl w:ilvl="6">
      <w:start w:val="1"/>
      <w:numFmt w:val="decimal"/>
      <w:lvlText w:val="%7."/>
      <w:lvlJc w:val="left"/>
      <w:pPr>
        <w:ind w:left="4925" w:hanging="420"/>
      </w:pPr>
    </w:lvl>
    <w:lvl w:ilvl="7">
      <w:start w:val="1"/>
      <w:numFmt w:val="lowerLetter"/>
      <w:lvlText w:val="%8)"/>
      <w:lvlJc w:val="left"/>
      <w:pPr>
        <w:ind w:left="5345" w:hanging="420"/>
      </w:pPr>
    </w:lvl>
    <w:lvl w:ilvl="8">
      <w:start w:val="1"/>
      <w:numFmt w:val="lowerRoman"/>
      <w:lvlText w:val="%9."/>
      <w:lvlJc w:val="right"/>
      <w:pPr>
        <w:ind w:left="5765" w:hanging="420"/>
      </w:pPr>
    </w:lvl>
  </w:abstractNum>
  <w:abstractNum w:abstractNumId="25">
    <w:nsid w:val="7009549B"/>
    <w:multiLevelType w:val="multilevel"/>
    <w:tmpl w:val="7009549B"/>
    <w:lvl w:ilvl="0">
      <w:start w:val="1"/>
      <w:numFmt w:val="decimal"/>
      <w:lvlText w:val="%1、"/>
      <w:lvlJc w:val="left"/>
      <w:pPr>
        <w:ind w:left="89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761F4E9D"/>
    <w:multiLevelType w:val="multilevel"/>
    <w:tmpl w:val="761F4E9D"/>
    <w:lvl w:ilvl="0">
      <w:start w:val="1"/>
      <w:numFmt w:val="decimal"/>
      <w:lvlText w:val="%1)"/>
      <w:lvlJc w:val="left"/>
      <w:pPr>
        <w:tabs>
          <w:tab w:val="left" w:pos="420"/>
        </w:tabs>
        <w:ind w:left="1739" w:hanging="420"/>
      </w:p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2159" w:hanging="420"/>
      </w:pPr>
    </w:lvl>
    <w:lvl w:ilvl="2">
      <w:start w:val="1"/>
      <w:numFmt w:val="lowerRoman"/>
      <w:lvlText w:val="%3."/>
      <w:lvlJc w:val="right"/>
      <w:pPr>
        <w:tabs>
          <w:tab w:val="left" w:pos="420"/>
        </w:tabs>
        <w:ind w:left="2579" w:hanging="420"/>
      </w:pPr>
    </w:lvl>
    <w:lvl w:ilvl="3">
      <w:start w:val="1"/>
      <w:numFmt w:val="decimal"/>
      <w:lvlText w:val="%4."/>
      <w:lvlJc w:val="left"/>
      <w:pPr>
        <w:tabs>
          <w:tab w:val="left" w:pos="420"/>
        </w:tabs>
        <w:ind w:left="2999" w:hanging="420"/>
      </w:pPr>
    </w:lvl>
    <w:lvl w:ilvl="4">
      <w:start w:val="1"/>
      <w:numFmt w:val="lowerLetter"/>
      <w:lvlText w:val="%5)"/>
      <w:lvlJc w:val="left"/>
      <w:pPr>
        <w:tabs>
          <w:tab w:val="left" w:pos="420"/>
        </w:tabs>
        <w:ind w:left="3419" w:hanging="420"/>
      </w:pPr>
    </w:lvl>
    <w:lvl w:ilvl="5">
      <w:start w:val="1"/>
      <w:numFmt w:val="lowerRoman"/>
      <w:lvlText w:val="%6."/>
      <w:lvlJc w:val="right"/>
      <w:pPr>
        <w:tabs>
          <w:tab w:val="left" w:pos="420"/>
        </w:tabs>
        <w:ind w:left="3839" w:hanging="420"/>
      </w:pPr>
    </w:lvl>
    <w:lvl w:ilvl="6">
      <w:start w:val="1"/>
      <w:numFmt w:val="decimal"/>
      <w:lvlText w:val="%7."/>
      <w:lvlJc w:val="left"/>
      <w:pPr>
        <w:tabs>
          <w:tab w:val="left" w:pos="420"/>
        </w:tabs>
        <w:ind w:left="4259" w:hanging="420"/>
      </w:pPr>
    </w:lvl>
    <w:lvl w:ilvl="7">
      <w:start w:val="1"/>
      <w:numFmt w:val="lowerLetter"/>
      <w:lvlText w:val="%8)"/>
      <w:lvlJc w:val="left"/>
      <w:pPr>
        <w:tabs>
          <w:tab w:val="left" w:pos="420"/>
        </w:tabs>
        <w:ind w:left="4679" w:hanging="420"/>
      </w:pPr>
    </w:lvl>
    <w:lvl w:ilvl="8">
      <w:start w:val="1"/>
      <w:numFmt w:val="lowerRoman"/>
      <w:lvlText w:val="%9."/>
      <w:lvlJc w:val="right"/>
      <w:pPr>
        <w:tabs>
          <w:tab w:val="left" w:pos="420"/>
        </w:tabs>
        <w:ind w:left="5099" w:hanging="420"/>
      </w:pPr>
    </w:lvl>
  </w:abstractNum>
  <w:num w:numId="1">
    <w:abstractNumId w:val="3"/>
  </w:num>
  <w:num w:numId="2">
    <w:abstractNumId w:val="18"/>
  </w:num>
  <w:num w:numId="3">
    <w:abstractNumId w:val="7"/>
  </w:num>
  <w:num w:numId="4">
    <w:abstractNumId w:val="24"/>
  </w:num>
  <w:num w:numId="5">
    <w:abstractNumId w:val="0"/>
  </w:num>
  <w:num w:numId="6">
    <w:abstractNumId w:val="8"/>
  </w:num>
  <w:num w:numId="7">
    <w:abstractNumId w:val="1"/>
  </w:num>
  <w:num w:numId="8">
    <w:abstractNumId w:val="26"/>
  </w:num>
  <w:num w:numId="9">
    <w:abstractNumId w:val="19"/>
  </w:num>
  <w:num w:numId="10">
    <w:abstractNumId w:val="12"/>
  </w:num>
  <w:num w:numId="11">
    <w:abstractNumId w:val="14"/>
  </w:num>
  <w:num w:numId="12">
    <w:abstractNumId w:val="13"/>
  </w:num>
  <w:num w:numId="13">
    <w:abstractNumId w:val="6"/>
  </w:num>
  <w:num w:numId="14">
    <w:abstractNumId w:val="15"/>
  </w:num>
  <w:num w:numId="15">
    <w:abstractNumId w:val="4"/>
  </w:num>
  <w:num w:numId="16">
    <w:abstractNumId w:val="21"/>
  </w:num>
  <w:num w:numId="17">
    <w:abstractNumId w:val="10"/>
  </w:num>
  <w:num w:numId="18">
    <w:abstractNumId w:val="9"/>
  </w:num>
  <w:num w:numId="19">
    <w:abstractNumId w:val="20"/>
  </w:num>
  <w:num w:numId="20">
    <w:abstractNumId w:val="22"/>
  </w:num>
  <w:num w:numId="21">
    <w:abstractNumId w:val="11"/>
  </w:num>
  <w:num w:numId="22">
    <w:abstractNumId w:val="5"/>
  </w:num>
  <w:num w:numId="23">
    <w:abstractNumId w:val="16"/>
  </w:num>
  <w:num w:numId="24">
    <w:abstractNumId w:val="2"/>
  </w:num>
  <w:num w:numId="25">
    <w:abstractNumId w:val="23"/>
  </w:num>
  <w:num w:numId="26">
    <w:abstractNumId w:val="17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/>
    <w:lsdException w:name="toc 2" w:locked="1" w:semiHidden="0" w:uiPriority="0" w:unhideWhenUsed="0"/>
    <w:lsdException w:name="toc 3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 w:semiHidden="0" w:unhideWhenUsed="0"/>
    <w:lsdException w:name="footnote text"/>
    <w:lsdException w:name="annotation text" w:semiHidden="0"/>
    <w:lsdException w:name="header" w:semiHidden="0" w:unhideWhenUsed="0" w:qFormat="1"/>
    <w:lsdException w:name="footer" w:semiHidden="0" w:uiPriority="0" w:unhideWhenUsed="0" w:qFormat="1"/>
    <w:lsdException w:name="index heading"/>
    <w:lsdException w:name="caption" w:locked="1" w:uiPriority="0" w:qFormat="1"/>
    <w:lsdException w:name="table of figures"/>
    <w:lsdException w:name="envelope address"/>
    <w:lsdException w:name="envelope return"/>
    <w:lsdException w:name="footnote reference"/>
    <w:lsdException w:name="annotation reference" w:semiHidden="0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locked="1" w:semiHidden="0" w:uiPriority="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unhideWhenUsed="0" w:qFormat="1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/>
    <w:lsdException w:name="annotation subject" w:semiHidden="0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unhideWhenUsed="0" w:qFormat="1"/>
    <w:lsdException w:name="Table Grid" w:semiHidden="0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Indent"/>
    <w:link w:val="2"/>
    <w:uiPriority w:val="99"/>
    <w:qFormat/>
    <w:pPr>
      <w:keepNext/>
      <w:keepLines/>
      <w:spacing w:before="240" w:after="240" w:line="440" w:lineRule="exact"/>
      <w:ind w:left="576" w:hanging="576"/>
      <w:jc w:val="left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NormalIndent"/>
    <w:link w:val="3"/>
    <w:uiPriority w:val="99"/>
    <w:qFormat/>
    <w:pPr>
      <w:keepNext/>
      <w:keepLines/>
      <w:tabs>
        <w:tab w:val="left" w:pos="851"/>
      </w:tabs>
      <w:spacing w:before="120" w:after="240" w:line="440" w:lineRule="exact"/>
      <w:ind w:left="720" w:hanging="720"/>
      <w:outlineLvl w:val="2"/>
    </w:pPr>
    <w:rPr>
      <w:b/>
      <w:bCs/>
      <w:kern w:val="0"/>
      <w:sz w:val="32"/>
      <w:szCs w:val="32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uiPriority w:val="99"/>
    <w:pPr>
      <w:spacing w:line="360" w:lineRule="auto"/>
      <w:ind w:firstLine="476"/>
    </w:pPr>
    <w:rPr>
      <w:rFonts w:ascii="宋体" w:cs="宋体"/>
      <w:sz w:val="24"/>
      <w:szCs w:val="24"/>
    </w:rPr>
  </w:style>
  <w:style w:type="paragraph" w:styleId="DocumentMap">
    <w:name w:val="Document Map"/>
    <w:basedOn w:val="Normal"/>
    <w:link w:val="a3"/>
    <w:uiPriority w:val="99"/>
    <w:semiHidden/>
    <w:qFormat/>
    <w:rPr>
      <w:rFonts w:ascii="宋体"/>
      <w:sz w:val="18"/>
      <w:szCs w:val="18"/>
    </w:rPr>
  </w:style>
  <w:style w:type="paragraph" w:styleId="CommentText">
    <w:name w:val="annotation text"/>
    <w:basedOn w:val="Normal"/>
    <w:link w:val="a4"/>
    <w:uiPriority w:val="99"/>
    <w:unhideWhenUsed/>
    <w:pPr>
      <w:jc w:val="left"/>
    </w:pPr>
  </w:style>
  <w:style w:type="paragraph" w:styleId="TOC3">
    <w:name w:val="toc 3"/>
    <w:basedOn w:val="Normal"/>
    <w:next w:val="Normal"/>
    <w:uiPriority w:val="99"/>
    <w:semiHidden/>
    <w:pPr>
      <w:tabs>
        <w:tab w:val="left" w:pos="1680"/>
        <w:tab w:val="right" w:leader="dot" w:pos="9214"/>
      </w:tabs>
      <w:ind w:left="840" w:leftChars="400"/>
    </w:pPr>
  </w:style>
  <w:style w:type="paragraph" w:styleId="BalloonText">
    <w:name w:val="Balloon Text"/>
    <w:basedOn w:val="Normal"/>
    <w:link w:val="a"/>
    <w:uiPriority w:val="99"/>
    <w:semiHidden/>
    <w:qFormat/>
    <w:rPr>
      <w:kern w:val="0"/>
      <w:sz w:val="2"/>
      <w:szCs w:val="2"/>
    </w:rPr>
  </w:style>
  <w:style w:type="paragraph" w:styleId="Footer">
    <w:name w:val="footer"/>
    <w:basedOn w:val="Normal"/>
    <w:link w:val="a0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Header">
    <w:name w:val="header"/>
    <w:basedOn w:val="Normal"/>
    <w:link w:val="a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uiPriority w:val="39"/>
    <w:pPr>
      <w:tabs>
        <w:tab w:val="right" w:leader="dot" w:pos="9344"/>
      </w:tabs>
    </w:pPr>
  </w:style>
  <w:style w:type="paragraph" w:styleId="Subtitle">
    <w:name w:val="Subtitle"/>
    <w:basedOn w:val="Normal"/>
    <w:next w:val="Normal"/>
    <w:link w:val="a2"/>
    <w:uiPriority w:val="99"/>
    <w:qFormat/>
    <w:pPr>
      <w:spacing w:after="200" w:line="276" w:lineRule="auto"/>
    </w:pPr>
    <w:rPr>
      <w:rFonts w:ascii="Cambria" w:hAnsi="Cambria"/>
      <w:b/>
      <w:bCs/>
      <w:kern w:val="28"/>
      <w:sz w:val="32"/>
      <w:szCs w:val="32"/>
    </w:rPr>
  </w:style>
  <w:style w:type="paragraph" w:styleId="CommentSubject">
    <w:name w:val="annotation subject"/>
    <w:basedOn w:val="CommentText"/>
    <w:next w:val="CommentText"/>
    <w:link w:val="a5"/>
    <w:uiPriority w:val="99"/>
    <w:unhideWhenUsed/>
    <w:rPr>
      <w:b/>
      <w:bCs/>
    </w:rPr>
  </w:style>
  <w:style w:type="table" w:styleId="TableGrid">
    <w:name w:val="Table Grid"/>
    <w:basedOn w:val="TableNormal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uiPriority w:val="99"/>
    <w:unhideWhenUsed/>
    <w:rPr>
      <w:sz w:val="21"/>
      <w:szCs w:val="21"/>
    </w:rPr>
  </w:style>
  <w:style w:type="character" w:customStyle="1" w:styleId="1">
    <w:name w:val="标题 1 字符"/>
    <w:link w:val="Heading1"/>
    <w:uiPriority w:val="99"/>
    <w:locked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9"/>
    <w:semiHidden/>
    <w:locked/>
    <w:rPr>
      <w:rFonts w:ascii="Cambria" w:eastAsia="宋体" w:hAnsi="Cambria" w:cs="Cambria"/>
      <w:b/>
      <w:bCs/>
      <w:sz w:val="32"/>
      <w:szCs w:val="32"/>
    </w:rPr>
  </w:style>
  <w:style w:type="character" w:customStyle="1" w:styleId="3">
    <w:name w:val="标题 3 字符"/>
    <w:link w:val="Heading3"/>
    <w:uiPriority w:val="99"/>
    <w:semiHidden/>
    <w:locked/>
    <w:rPr>
      <w:b/>
      <w:bCs/>
      <w:sz w:val="32"/>
      <w:szCs w:val="32"/>
    </w:rPr>
  </w:style>
  <w:style w:type="character" w:customStyle="1" w:styleId="FooterChar">
    <w:name w:val="Footer Char"/>
    <w:uiPriority w:val="99"/>
    <w:locked/>
    <w:rPr>
      <w:kern w:val="2"/>
      <w:sz w:val="18"/>
      <w:szCs w:val="18"/>
    </w:rPr>
  </w:style>
  <w:style w:type="character" w:customStyle="1" w:styleId="HeaderChar">
    <w:name w:val="Header Char"/>
    <w:uiPriority w:val="99"/>
    <w:locked/>
    <w:rPr>
      <w:kern w:val="2"/>
      <w:sz w:val="18"/>
      <w:szCs w:val="18"/>
    </w:rPr>
  </w:style>
  <w:style w:type="character" w:customStyle="1" w:styleId="SubtitleChar">
    <w:name w:val="Subtitle Char"/>
    <w:uiPriority w:val="99"/>
    <w:locked/>
    <w:rPr>
      <w:rFonts w:ascii="Cambria" w:hAnsi="Cambria" w:cs="Cambria"/>
      <w:i/>
      <w:iCs/>
      <w:color w:val="4F81BD"/>
      <w:spacing w:val="15"/>
      <w:kern w:val="2"/>
      <w:sz w:val="21"/>
      <w:szCs w:val="21"/>
    </w:rPr>
  </w:style>
  <w:style w:type="character" w:customStyle="1" w:styleId="BalloonTextChar">
    <w:name w:val="Balloon Text Char"/>
    <w:uiPriority w:val="99"/>
    <w:semiHidden/>
    <w:locked/>
    <w:rPr>
      <w:kern w:val="2"/>
      <w:sz w:val="18"/>
      <w:szCs w:val="18"/>
    </w:rPr>
  </w:style>
  <w:style w:type="character" w:customStyle="1" w:styleId="a">
    <w:name w:val="批注框文本 字符"/>
    <w:link w:val="BalloonText"/>
    <w:uiPriority w:val="99"/>
    <w:semiHidden/>
    <w:locked/>
    <w:rPr>
      <w:sz w:val="2"/>
      <w:szCs w:val="2"/>
    </w:rPr>
  </w:style>
  <w:style w:type="character" w:customStyle="1" w:styleId="a0">
    <w:name w:val="页脚 字符"/>
    <w:link w:val="Footer"/>
    <w:qFormat/>
    <w:locked/>
    <w:rPr>
      <w:sz w:val="18"/>
      <w:szCs w:val="18"/>
    </w:rPr>
  </w:style>
  <w:style w:type="character" w:customStyle="1" w:styleId="a1">
    <w:name w:val="页眉 字符"/>
    <w:link w:val="Header"/>
    <w:uiPriority w:val="99"/>
    <w:qFormat/>
    <w:locked/>
    <w:rPr>
      <w:sz w:val="18"/>
      <w:szCs w:val="18"/>
    </w:rPr>
  </w:style>
  <w:style w:type="character" w:customStyle="1" w:styleId="a2">
    <w:name w:val="副标题 字符"/>
    <w:link w:val="Subtitle"/>
    <w:uiPriority w:val="99"/>
    <w:locked/>
    <w:rPr>
      <w:rFonts w:ascii="Cambria" w:hAnsi="Cambria" w:cs="Cambria"/>
      <w:b/>
      <w:bCs/>
      <w:kern w:val="28"/>
      <w:sz w:val="32"/>
      <w:szCs w:val="32"/>
    </w:rPr>
  </w:style>
  <w:style w:type="paragraph" w:customStyle="1" w:styleId="my">
    <w:name w:val="my正文"/>
    <w:basedOn w:val="Normal"/>
    <w:uiPriority w:val="99"/>
    <w:pPr>
      <w:spacing w:line="360" w:lineRule="auto"/>
      <w:ind w:firstLine="480" w:firstLineChars="200"/>
    </w:pPr>
    <w:rPr>
      <w:sz w:val="24"/>
      <w:szCs w:val="24"/>
    </w:rPr>
  </w:style>
  <w:style w:type="character" w:customStyle="1" w:styleId="a3">
    <w:name w:val="文档结构图 字符"/>
    <w:link w:val="DocumentMap"/>
    <w:uiPriority w:val="99"/>
    <w:semiHidden/>
    <w:qFormat/>
    <w:locked/>
    <w:rPr>
      <w:rFonts w:ascii="宋体" w:cs="宋体"/>
      <w:kern w:val="2"/>
      <w:sz w:val="18"/>
      <w:szCs w:val="18"/>
    </w:rPr>
  </w:style>
  <w:style w:type="character" w:customStyle="1" w:styleId="a4">
    <w:name w:val="批注文字 字符"/>
    <w:link w:val="CommentText"/>
    <w:uiPriority w:val="99"/>
    <w:semiHidden/>
    <w:qFormat/>
    <w:rPr>
      <w:kern w:val="2"/>
      <w:sz w:val="21"/>
      <w:szCs w:val="21"/>
    </w:rPr>
  </w:style>
  <w:style w:type="character" w:customStyle="1" w:styleId="a5">
    <w:name w:val="批注主题 字符"/>
    <w:link w:val="CommentSubject"/>
    <w:uiPriority w:val="99"/>
    <w:semiHidden/>
    <w:qFormat/>
    <w:rPr>
      <w:b/>
      <w:bCs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1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2943</Words>
  <Characters>2994</Characters>
  <Application>Microsoft Office Word</Application>
  <DocSecurity>0</DocSecurity>
  <Lines>27</Lines>
  <Paragraphs>7</Paragraphs>
  <ScaleCrop>false</ScaleCrop>
  <Company>Microsoft</Company>
  <LinksUpToDate>false</LinksUpToDate>
  <CharactersWithSpaces>3079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孙志辉</dc:creator>
  <cp:lastModifiedBy>郝宇</cp:lastModifiedBy>
  <cp:revision>42</cp:revision>
  <dcterms:created xsi:type="dcterms:W3CDTF">2015-11-11T08:55:00Z</dcterms:created>
  <dcterms:modified xsi:type="dcterms:W3CDTF">2025-10-09T03:17:07Z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300E774689064E819E45B956B9970757_12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