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60" w:lineRule="auto"/>
      </w:pPr>
    </w:p>
    <w:p>
      <w:pPr>
        <w:pStyle w:val="BodyText"/>
        <w:spacing w:line="260" w:lineRule="auto"/>
      </w:pPr>
    </w:p>
    <w:p>
      <w:pPr>
        <w:pStyle w:val="BodyText"/>
        <w:spacing w:line="260" w:lineRule="auto"/>
      </w:pPr>
    </w:p>
    <w:p>
      <w:pPr>
        <w:pStyle w:val="BodyText"/>
        <w:spacing w:line="260" w:lineRule="auto"/>
      </w:pPr>
    </w:p>
    <w:p>
      <w:pPr>
        <w:pStyle w:val="BodyText"/>
        <w:spacing w:line="260" w:lineRule="auto"/>
      </w:pPr>
    </w:p>
    <w:p>
      <w:pPr>
        <w:pStyle w:val="BodyText"/>
        <w:spacing w:line="260" w:lineRule="auto"/>
      </w:pPr>
    </w:p>
    <w:p>
      <w:pPr>
        <w:pStyle w:val="BodyText"/>
        <w:spacing w:line="260" w:lineRule="auto"/>
      </w:pPr>
    </w:p>
    <w:p>
      <w:pPr>
        <w:jc w:val="center"/>
        <w:rPr>
          <w:rFonts w:ascii="宋体" w:hAnsi="宋体"/>
        </w:rPr>
      </w:pPr>
      <w:r>
        <w:rPr>
          <w:rFonts w:ascii="宋体" w:hAnsi="宋体" w:hint="eastAsia"/>
          <w:b/>
          <w:sz w:val="52"/>
          <w:szCs w:val="52"/>
        </w:rPr>
        <w:t>南京航之舟数字科技有限公司</w:t>
      </w:r>
    </w:p>
    <w:p>
      <w:pPr>
        <w:jc w:val="center"/>
        <w:rPr>
          <w:rFonts w:ascii="宋体" w:hAnsi="宋体"/>
          <w:b/>
          <w:sz w:val="52"/>
          <w:szCs w:val="52"/>
        </w:rPr>
      </w:pPr>
      <w:r>
        <w:rPr>
          <w:rFonts w:ascii="宋体" w:hAnsi="宋体" w:hint="eastAsia"/>
          <w:b/>
          <w:sz w:val="52"/>
        </w:rPr>
        <w:t>服务台管理制度</w:t>
      </w:r>
    </w:p>
    <w:p>
      <w:pPr>
        <w:rPr>
          <w:rFonts w:ascii="宋体" w:hAnsi="宋体"/>
        </w:rPr>
      </w:pPr>
    </w:p>
    <w:p/>
    <w:p/>
    <w:p/>
    <w:p>
      <w:pPr>
        <w:rPr>
          <w:rFonts w:ascii="Arial"/>
        </w:rPr>
      </w:pPr>
    </w:p>
    <w:p>
      <w:pPr>
        <w:rPr>
          <w:rFonts w:ascii="Arial"/>
        </w:rPr>
      </w:pPr>
    </w:p>
    <w:p>
      <w:pPr>
        <w:rPr>
          <w:rFonts w:ascii="Arial"/>
        </w:rPr>
      </w:pPr>
    </w:p>
    <w:p>
      <w:pPr>
        <w:rPr>
          <w:rFonts w:ascii="Arial"/>
        </w:rPr>
      </w:pPr>
    </w:p>
    <w:p>
      <w:pPr>
        <w:rPr>
          <w:rFonts w:ascii="Arial"/>
        </w:rPr>
      </w:pPr>
    </w:p>
    <w:p/>
    <w:p/>
    <w:p/>
    <w:p/>
    <w:p/>
    <w:p/>
    <w:p/>
    <w:p/>
    <w:p/>
    <w:p/>
    <w:p/>
    <w:p/>
    <w:p/>
    <w:p/>
    <w:p/>
    <w:p/>
    <w:p/>
    <w:p/>
    <w:p/>
    <w:tbl>
      <w:tblPr>
        <w:tblStyle w:val="TableNormal"/>
        <w:tblpPr w:leftFromText="180" w:rightFromText="180" w:vertAnchor="text" w:horzAnchor="page" w:tblpX="1957" w:tblpY="476"/>
        <w:tblOverlap w:val="never"/>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sz w:val="24"/>
              </w:rPr>
            </w:pPr>
            <w:r>
              <w:rPr>
                <w:rFonts w:ascii="微软雅黑" w:eastAsia="微软雅黑" w:hAnsi="微软雅黑" w:hint="eastAsia"/>
                <w:sz w:val="24"/>
              </w:rPr>
              <w:t>秦杰</w:t>
            </w:r>
          </w:p>
        </w:tc>
        <w:tc>
          <w:tcPr>
            <w:tcW w:w="1110" w:type="dxa"/>
          </w:tcPr>
          <w:p>
            <w:pPr>
              <w:jc w:val="center"/>
              <w:rPr>
                <w:rFonts w:ascii="微软雅黑" w:eastAsia="微软雅黑" w:hAnsi="微软雅黑"/>
                <w:b/>
              </w:rPr>
            </w:pPr>
            <w:r>
              <w:rPr>
                <w:rFonts w:ascii="微软雅黑" w:eastAsia="微软雅黑" w:hAnsi="微软雅黑" w:hint="eastAsia"/>
                <w:b/>
              </w:rPr>
              <w:t>审核</w:t>
            </w:r>
          </w:p>
        </w:tc>
        <w:tc>
          <w:tcPr>
            <w:tcW w:w="1664" w:type="dxa"/>
          </w:tcPr>
          <w:p>
            <w:pPr>
              <w:jc w:val="center"/>
              <w:rPr>
                <w:rFonts w:ascii="微软雅黑" w:eastAsia="微软雅黑" w:hAnsi="微软雅黑"/>
                <w:szCs w:val="21"/>
              </w:rPr>
            </w:pPr>
            <w:r>
              <w:rPr>
                <w:rFonts w:ascii="微软雅黑" w:eastAsia="微软雅黑" w:hAnsi="微软雅黑" w:hint="eastAsia"/>
                <w:szCs w:val="21"/>
              </w:rPr>
              <w:t>史志伟</w:t>
            </w:r>
          </w:p>
        </w:tc>
        <w:tc>
          <w:tcPr>
            <w:tcW w:w="1661" w:type="dxa"/>
          </w:tcPr>
          <w:p>
            <w:pPr>
              <w:jc w:val="center"/>
              <w:rPr>
                <w:rFonts w:ascii="微软雅黑" w:eastAsia="微软雅黑" w:hAnsi="微软雅黑"/>
                <w:szCs w:val="21"/>
              </w:rPr>
            </w:pPr>
            <w:r>
              <w:rPr>
                <w:rFonts w:ascii="微软雅黑" w:eastAsia="微软雅黑" w:hAnsi="微软雅黑" w:hint="eastAsia"/>
                <w:b/>
                <w:bCs/>
                <w:szCs w:val="21"/>
              </w:rPr>
              <w:t>审批</w:t>
            </w:r>
          </w:p>
        </w:tc>
        <w:tc>
          <w:tcPr>
            <w:tcW w:w="1659" w:type="dxa"/>
          </w:tcPr>
          <w:p>
            <w:pPr>
              <w:jc w:val="center"/>
              <w:rPr>
                <w:rFonts w:ascii="微软雅黑" w:eastAsia="微软雅黑" w:hAnsi="微软雅黑"/>
                <w:szCs w:val="21"/>
              </w:rPr>
            </w:pPr>
            <w:r>
              <w:rPr>
                <w:rFonts w:ascii="微软雅黑" w:eastAsia="微软雅黑" w:hAnsi="微软雅黑" w:hint="eastAsia"/>
                <w:szCs w:val="21"/>
              </w:rPr>
              <w:t>陈潮华</w:t>
            </w:r>
          </w:p>
        </w:tc>
      </w:tr>
      <w:tr>
        <w:tblPrEx>
          <w:tblW w:w="8526" w:type="dxa"/>
          <w:tblInd w:w="0" w:type="dxa"/>
          <w:tblLayout w:type="fixed"/>
          <w:tblCellMar>
            <w:top w:w="0" w:type="dxa"/>
            <w:left w:w="108" w:type="dxa"/>
            <w:bottom w:w="0" w:type="dxa"/>
            <w:right w:w="108" w:type="dxa"/>
          </w:tblCellMar>
        </w:tblPrEx>
        <w:trPr>
          <w:trHeight w:val="296"/>
        </w:trPr>
        <w:tc>
          <w:tcPr>
            <w:tcW w:w="2432" w:type="dxa"/>
            <w:gridSpan w:val="2"/>
          </w:tcPr>
          <w:p>
            <w:pPr>
              <w:jc w:val="center"/>
              <w:rPr>
                <w:rFonts w:ascii="微软雅黑" w:eastAsia="微软雅黑" w:hAnsi="微软雅黑"/>
                <w:sz w:val="24"/>
              </w:rPr>
            </w:pPr>
            <w:r>
              <w:rPr>
                <w:rFonts w:ascii="微软雅黑" w:eastAsia="微软雅黑" w:hAnsi="微软雅黑" w:hint="eastAsia"/>
                <w:b/>
                <w:bCs/>
                <w:sz w:val="22"/>
                <w:szCs w:val="22"/>
              </w:rPr>
              <w:t>发布日期</w:t>
            </w:r>
          </w:p>
        </w:tc>
        <w:tc>
          <w:tcPr>
            <w:tcW w:w="6094" w:type="dxa"/>
            <w:gridSpan w:val="4"/>
          </w:tcPr>
          <w:p>
            <w:pPr>
              <w:jc w:val="center"/>
              <w:rPr>
                <w:rFonts w:ascii="微软雅黑" w:eastAsia="微软雅黑" w:hAnsi="微软雅黑"/>
                <w:szCs w:val="21"/>
              </w:rPr>
            </w:pPr>
            <w:r>
              <w:rPr>
                <w:rFonts w:ascii="微软雅黑" w:eastAsia="微软雅黑" w:hAnsi="微软雅黑" w:hint="eastAsia"/>
                <w:szCs w:val="21"/>
              </w:rPr>
              <w:t>2025年</w:t>
            </w:r>
            <w:r>
              <w:rPr>
                <w:rFonts w:ascii="微软雅黑" w:eastAsia="微软雅黑" w:hAnsi="微软雅黑" w:hint="eastAsia"/>
                <w:szCs w:val="21"/>
                <w:lang w:val="en-US" w:eastAsia="zh-CN"/>
              </w:rPr>
              <w:t>9</w:t>
            </w:r>
            <w:r>
              <w:rPr>
                <w:rFonts w:ascii="微软雅黑" w:eastAsia="微软雅黑" w:hAnsi="微软雅黑" w:hint="eastAsia"/>
                <w:szCs w:val="21"/>
              </w:rPr>
              <w:t>月</w:t>
            </w:r>
            <w:r>
              <w:rPr>
                <w:rFonts w:ascii="微软雅黑" w:eastAsia="微软雅黑" w:hAnsi="微软雅黑" w:hint="eastAsia"/>
                <w:szCs w:val="21"/>
                <w:lang w:val="en-US" w:eastAsia="zh-CN"/>
              </w:rPr>
              <w:t>30</w:t>
            </w:r>
            <w:r>
              <w:rPr>
                <w:rFonts w:ascii="微软雅黑" w:eastAsia="微软雅黑" w:hAnsi="微软雅黑" w:hint="eastAsia"/>
                <w:szCs w:val="21"/>
              </w:rPr>
              <w:t>日</w:t>
            </w:r>
          </w:p>
        </w:tc>
      </w:tr>
    </w:tbl>
    <w:p>
      <w:pPr>
        <w:spacing w:line="220" w:lineRule="auto"/>
        <w:rPr>
          <w:rFonts w:ascii="宋体" w:eastAsia="宋体" w:hAnsi="宋体" w:cs="宋体"/>
          <w:sz w:val="36"/>
          <w:szCs w:val="36"/>
        </w:rPr>
      </w:pPr>
    </w:p>
    <w:p>
      <w:pPr>
        <w:spacing w:line="220" w:lineRule="auto"/>
        <w:rPr>
          <w:rFonts w:ascii="宋体" w:eastAsia="宋体" w:hAnsi="宋体" w:cs="宋体"/>
          <w:sz w:val="36"/>
          <w:szCs w:val="36"/>
        </w:rPr>
      </w:pPr>
    </w:p>
    <w:p>
      <w:pPr>
        <w:spacing w:line="220" w:lineRule="auto"/>
        <w:rPr>
          <w:rFonts w:ascii="宋体" w:eastAsia="宋体" w:hAnsi="宋体" w:cs="宋体"/>
          <w:sz w:val="36"/>
          <w:szCs w:val="36"/>
        </w:rPr>
      </w:pPr>
    </w:p>
    <w:p>
      <w:pPr>
        <w:spacing w:line="220" w:lineRule="auto"/>
        <w:rPr>
          <w:rFonts w:ascii="宋体" w:eastAsia="宋体" w:hAnsi="宋体" w:cs="宋体"/>
          <w:sz w:val="36"/>
          <w:szCs w:val="36"/>
        </w:rPr>
        <w:sectPr>
          <w:headerReference w:type="default" r:id="rId5"/>
          <w:pgSz w:w="11906" w:h="16839"/>
          <w:pgMar w:top="1097" w:right="1767" w:bottom="0" w:left="1768" w:header="1082" w:footer="0" w:gutter="0"/>
          <w:cols w:num="1" w:space="720"/>
        </w:sectPr>
      </w:pPr>
    </w:p>
    <w:p>
      <w:pPr>
        <w:pStyle w:val="BodyText"/>
        <w:spacing w:line="297" w:lineRule="auto"/>
      </w:pPr>
    </w:p>
    <w:p>
      <w:pPr>
        <w:spacing w:line="360" w:lineRule="auto"/>
        <w:jc w:val="center"/>
        <w:rPr>
          <w:rFonts w:ascii="宋体" w:hAnsi="宋体"/>
          <w:b/>
          <w:sz w:val="28"/>
          <w:szCs w:val="28"/>
        </w:rPr>
      </w:pPr>
      <w:r>
        <w:rPr>
          <w:rFonts w:ascii="宋体" w:hAnsi="宋体" w:hint="eastAsia"/>
          <w:b/>
          <w:sz w:val="28"/>
          <w:szCs w:val="28"/>
        </w:rPr>
        <w:t>发布、修订记录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ascii="宋体" w:hAnsi="宋体" w:hint="eastAsia"/>
              </w:rPr>
              <w:t>版本号</w:t>
            </w:r>
          </w:p>
        </w:tc>
        <w:tc>
          <w:tcPr>
            <w:tcW w:w="1479" w:type="dxa"/>
            <w:vAlign w:val="center"/>
          </w:tcPr>
          <w:p>
            <w:pPr>
              <w:spacing w:line="360" w:lineRule="auto"/>
              <w:jc w:val="center"/>
              <w:rPr>
                <w:rFonts w:ascii="宋体" w:hAnsi="宋体"/>
              </w:rPr>
            </w:pPr>
            <w:r>
              <w:rPr>
                <w:rFonts w:ascii="宋体" w:hAnsi="宋体" w:hint="eastAsia"/>
              </w:rPr>
              <w:t>发布日期</w:t>
            </w:r>
          </w:p>
        </w:tc>
        <w:tc>
          <w:tcPr>
            <w:tcW w:w="1550" w:type="dxa"/>
            <w:vAlign w:val="center"/>
          </w:tcPr>
          <w:p>
            <w:pPr>
              <w:spacing w:line="360" w:lineRule="auto"/>
              <w:jc w:val="center"/>
              <w:rPr>
                <w:rFonts w:ascii="宋体" w:hAnsi="宋体"/>
              </w:rPr>
            </w:pPr>
            <w:r>
              <w:rPr>
                <w:rFonts w:ascii="宋体" w:hAnsi="宋体" w:hint="eastAsia"/>
              </w:rPr>
              <w:t>修改人/</w:t>
            </w:r>
          </w:p>
          <w:p>
            <w:pPr>
              <w:spacing w:line="360" w:lineRule="auto"/>
              <w:jc w:val="center"/>
              <w:rPr>
                <w:rFonts w:ascii="宋体" w:hAnsi="宋体"/>
              </w:rPr>
            </w:pPr>
            <w:r>
              <w:rPr>
                <w:rFonts w:ascii="宋体" w:hAnsi="宋体" w:hint="eastAsia"/>
              </w:rPr>
              <w:t>修改日期</w:t>
            </w:r>
          </w:p>
        </w:tc>
        <w:tc>
          <w:tcPr>
            <w:tcW w:w="1459" w:type="dxa"/>
            <w:vAlign w:val="center"/>
          </w:tcPr>
          <w:p>
            <w:pPr>
              <w:spacing w:line="360" w:lineRule="auto"/>
              <w:jc w:val="center"/>
              <w:rPr>
                <w:rFonts w:ascii="宋体" w:hAnsi="宋体"/>
              </w:rPr>
            </w:pPr>
            <w:r>
              <w:rPr>
                <w:rFonts w:ascii="宋体" w:hAnsi="宋体" w:hint="eastAsia"/>
              </w:rPr>
              <w:t>审核人/</w:t>
            </w:r>
          </w:p>
          <w:p>
            <w:pPr>
              <w:spacing w:line="360" w:lineRule="auto"/>
              <w:jc w:val="center"/>
              <w:rPr>
                <w:rFonts w:ascii="宋体" w:hAnsi="宋体"/>
              </w:rPr>
            </w:pPr>
            <w:r>
              <w:rPr>
                <w:rFonts w:ascii="宋体" w:hAnsi="宋体" w:hint="eastAsia"/>
              </w:rPr>
              <w:t>审核日期</w:t>
            </w:r>
          </w:p>
        </w:tc>
        <w:tc>
          <w:tcPr>
            <w:tcW w:w="1566" w:type="dxa"/>
            <w:vAlign w:val="center"/>
          </w:tcPr>
          <w:p>
            <w:pPr>
              <w:spacing w:line="360" w:lineRule="auto"/>
              <w:jc w:val="center"/>
              <w:rPr>
                <w:rFonts w:ascii="宋体" w:hAnsi="宋体"/>
              </w:rPr>
            </w:pPr>
            <w:r>
              <w:rPr>
                <w:rFonts w:ascii="宋体" w:hAnsi="宋体" w:hint="eastAsia"/>
              </w:rPr>
              <w:t>批准人/</w:t>
            </w:r>
          </w:p>
          <w:p>
            <w:pPr>
              <w:spacing w:line="360" w:lineRule="auto"/>
              <w:jc w:val="center"/>
              <w:rPr>
                <w:rFonts w:ascii="宋体" w:hAnsi="宋体"/>
              </w:rPr>
            </w:pPr>
            <w:r>
              <w:rPr>
                <w:rFonts w:ascii="宋体" w:hAnsi="宋体" w:hint="eastAsia"/>
              </w:rPr>
              <w:t>批准日期</w:t>
            </w:r>
          </w:p>
        </w:tc>
        <w:tc>
          <w:tcPr>
            <w:tcW w:w="2118" w:type="dxa"/>
            <w:vAlign w:val="center"/>
          </w:tcPr>
          <w:p>
            <w:pPr>
              <w:spacing w:line="360" w:lineRule="auto"/>
              <w:jc w:val="center"/>
              <w:rPr>
                <w:rFonts w:ascii="宋体" w:hAnsi="宋体"/>
              </w:rPr>
            </w:pPr>
            <w:r>
              <w:rPr>
                <w:rFonts w:ascii="宋体" w:hAnsi="宋体" w:hint="eastAsia"/>
              </w:rPr>
              <w:t>修订原因</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eastAsia="宋体" w:hAnsi="宋体" w:cs="宋体" w:hint="eastAsia"/>
                <w:lang w:val="en-US" w:eastAsia="zh-CN"/>
              </w:rPr>
            </w:pPr>
            <w:r>
              <w:rPr>
                <w:rFonts w:ascii="宋体" w:hAnsi="宋体" w:cs="宋体" w:hint="eastAsia"/>
                <w:lang w:val="en-US" w:eastAsia="zh-CN"/>
              </w:rPr>
              <w:t>V1.0</w:t>
            </w:r>
          </w:p>
        </w:tc>
        <w:tc>
          <w:tcPr>
            <w:tcW w:w="1479" w:type="dxa"/>
            <w:vAlign w:val="center"/>
          </w:tcPr>
          <w:p>
            <w:pPr>
              <w:jc w:val="center"/>
              <w:rPr>
                <w:rFonts w:ascii="宋体" w:eastAsia="宋体" w:hAnsi="宋体" w:cs="宋体" w:hint="default"/>
                <w:lang w:val="en-US" w:eastAsia="zh-CN"/>
              </w:rPr>
            </w:pPr>
            <w:r>
              <w:rPr>
                <w:rFonts w:ascii="宋体" w:hAnsi="宋体" w:cs="宋体" w:hint="eastAsia"/>
              </w:rPr>
              <w:t>2025.</w:t>
            </w:r>
            <w:r>
              <w:rPr>
                <w:rFonts w:ascii="宋体" w:eastAsia="宋体" w:hAnsi="宋体" w:cs="宋体" w:hint="eastAsia"/>
                <w:lang w:val="en-US" w:eastAsia="zh-CN"/>
              </w:rPr>
              <w:t>9</w:t>
            </w:r>
            <w:r>
              <w:rPr>
                <w:rFonts w:ascii="宋体" w:hAnsi="宋体" w:cs="宋体" w:hint="eastAsia"/>
              </w:rPr>
              <w:t>.</w:t>
            </w:r>
            <w:r>
              <w:rPr>
                <w:rFonts w:ascii="宋体" w:eastAsia="宋体" w:hAnsi="宋体" w:cs="宋体" w:hint="eastAsia"/>
                <w:lang w:val="en-US" w:eastAsia="zh-CN"/>
              </w:rPr>
              <w:t>30</w:t>
            </w:r>
          </w:p>
        </w:tc>
        <w:tc>
          <w:tcPr>
            <w:tcW w:w="1550" w:type="dxa"/>
            <w:vAlign w:val="center"/>
          </w:tcPr>
          <w:p>
            <w:pPr>
              <w:spacing w:after="0" w:afterLines="0"/>
              <w:jc w:val="center"/>
              <w:rPr>
                <w:rFonts w:ascii="宋体" w:hAnsi="宋体" w:cs="宋体" w:hint="default"/>
                <w:lang w:val="en-US"/>
              </w:rPr>
            </w:pPr>
            <w:r>
              <w:rPr>
                <w:rFonts w:ascii="宋体" w:hAnsi="宋体" w:cs="宋体" w:hint="eastAsia"/>
                <w:szCs w:val="22"/>
                <w:lang w:eastAsia="zh-CN"/>
              </w:rPr>
              <w:t>秦杰</w:t>
            </w:r>
            <w:r>
              <w:rPr>
                <w:rFonts w:ascii="宋体" w:hAnsi="宋体" w:cs="宋体" w:hint="eastAsia"/>
                <w:lang w:val="en-US" w:eastAsia="zh-CN"/>
              </w:rPr>
              <w:t>/2025.9.30</w:t>
            </w:r>
          </w:p>
        </w:tc>
        <w:tc>
          <w:tcPr>
            <w:tcW w:w="1459" w:type="dxa"/>
            <w:vAlign w:val="center"/>
          </w:tcPr>
          <w:p>
            <w:pPr>
              <w:spacing w:after="0" w:afterLines="0"/>
              <w:jc w:val="center"/>
              <w:rPr>
                <w:rFonts w:ascii="宋体" w:hAnsi="宋体" w:cs="宋体"/>
              </w:rPr>
            </w:pPr>
            <w:r>
              <w:rPr>
                <w:rFonts w:ascii="宋体" w:hAnsi="宋体" w:cs="宋体" w:hint="eastAsia"/>
                <w:lang w:eastAsia="zh-CN"/>
              </w:rPr>
              <w:t>史志伟</w:t>
            </w:r>
            <w:r>
              <w:rPr>
                <w:rFonts w:ascii="宋体" w:hAnsi="宋体" w:cs="宋体" w:hint="eastAsia"/>
                <w:lang w:val="en-US" w:eastAsia="zh-CN"/>
              </w:rPr>
              <w:t>/2025.9.30</w:t>
            </w:r>
          </w:p>
        </w:tc>
        <w:tc>
          <w:tcPr>
            <w:tcW w:w="1566" w:type="dxa"/>
            <w:vAlign w:val="center"/>
          </w:tcPr>
          <w:p>
            <w:pPr>
              <w:spacing w:after="0" w:afterLines="0"/>
              <w:jc w:val="center"/>
              <w:rPr>
                <w:rFonts w:ascii="宋体" w:hAnsi="宋体"/>
              </w:rPr>
            </w:pPr>
            <w:r>
              <w:rPr>
                <w:rFonts w:ascii="宋体" w:hAnsi="宋体" w:cs="宋体" w:hint="eastAsia"/>
                <w:lang w:val="en-US" w:eastAsia="zh-CN"/>
              </w:rPr>
              <w:t>陈潮华/2025.9.30</w:t>
            </w:r>
          </w:p>
        </w:tc>
        <w:tc>
          <w:tcPr>
            <w:tcW w:w="2118" w:type="dxa"/>
            <w:vAlign w:val="center"/>
          </w:tcPr>
          <w:p>
            <w:pPr>
              <w:spacing w:line="360" w:lineRule="auto"/>
              <w:jc w:val="center"/>
              <w:rPr>
                <w:rFonts w:ascii="宋体" w:hAnsi="宋体"/>
              </w:rPr>
            </w:pPr>
            <w:r>
              <w:rPr>
                <w:rFonts w:ascii="宋体" w:hAnsi="宋体" w:hint="eastAsia"/>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spacing w:after="0" w:afterLines="0"/>
              <w:jc w:val="center"/>
              <w:rPr>
                <w:rFonts w:ascii="宋体" w:hAnsi="宋体"/>
              </w:rPr>
            </w:pPr>
          </w:p>
        </w:tc>
        <w:tc>
          <w:tcPr>
            <w:tcW w:w="1550" w:type="dxa"/>
            <w:vAlign w:val="center"/>
          </w:tcPr>
          <w:p>
            <w:pPr>
              <w:spacing w:after="0" w:afterLines="0"/>
              <w:jc w:val="center"/>
              <w:rPr>
                <w:rFonts w:ascii="宋体" w:hAnsi="宋体"/>
              </w:rPr>
            </w:pPr>
          </w:p>
        </w:tc>
        <w:tc>
          <w:tcPr>
            <w:tcW w:w="1459" w:type="dxa"/>
            <w:vAlign w:val="center"/>
          </w:tcPr>
          <w:p>
            <w:pPr>
              <w:spacing w:after="0" w:afterLines="0"/>
              <w:jc w:val="center"/>
              <w:rPr>
                <w:rFonts w:ascii="宋体" w:hAnsi="宋体"/>
              </w:rPr>
            </w:pPr>
          </w:p>
        </w:tc>
        <w:tc>
          <w:tcPr>
            <w:tcW w:w="1566" w:type="dxa"/>
            <w:vAlign w:val="center"/>
          </w:tcPr>
          <w:p>
            <w:pPr>
              <w:spacing w:after="0" w:afterLines="0"/>
              <w:jc w:val="center"/>
              <w:rPr>
                <w:rFonts w:ascii="宋体" w:hAnsi="宋体"/>
              </w:rPr>
            </w:pPr>
          </w:p>
        </w:tc>
        <w:tc>
          <w:tcPr>
            <w:tcW w:w="2118" w:type="dxa"/>
            <w:vAlign w:val="center"/>
          </w:tcPr>
          <w:p>
            <w:pPr>
              <w:spacing w:after="0" w:afterLines="0" w:line="360" w:lineRule="auto"/>
              <w:jc w:val="center"/>
              <w:rPr>
                <w:rFonts w:ascii="宋体" w:hAnsi="宋体" w:cs="宋体"/>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r>
        <w:br w:type="page"/>
      </w: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sdt>
      <w:sdtPr>
        <w:rPr>
          <w:rFonts w:ascii="宋体" w:eastAsia="宋体" w:hAnsi="宋体" w:cs="Arial"/>
          <w:snapToGrid w:val="0"/>
          <w:color w:val="000000"/>
          <w:kern w:val="0"/>
          <w:sz w:val="21"/>
          <w:szCs w:val="21"/>
          <w:lang w:val="en-US" w:eastAsia="en-US" w:bidi="ar-SA"/>
        </w:rPr>
        <w:id w:val="147467022"/>
        <w:docPartObj>
          <w:docPartGallery w:val="Table of Contents"/>
          <w:docPartUnique/>
        </w:docPartObj>
      </w:sdtPr>
      <w:sdtEndPr>
        <w:rPr>
          <w:rFonts w:ascii="Cambria" w:eastAsia="Cambria" w:hAnsi="Cambria" w:cs="Cambria"/>
          <w:snapToGrid w:val="0"/>
          <w:color w:val="000000"/>
          <w:kern w:val="0"/>
          <w:sz w:val="21"/>
          <w:szCs w:val="24"/>
          <w:lang w:val="en-US" w:eastAsia="en-US" w:bidi="ar-SA"/>
        </w:rPr>
      </w:sdtEndPr>
      <w:sdtContent>
        <w:p>
          <w:pPr>
            <w:spacing w:before="0" w:beforeLines="0" w:after="0" w:afterLines="0" w:line="240" w:lineRule="auto"/>
            <w:ind w:left="0" w:right="0" w:firstLine="0" w:leftChars="0" w:rightChars="0" w:firstLineChars="0"/>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9724"/>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_Toc21669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8"/>
              <w:sz w:val="24"/>
              <w:szCs w:val="24"/>
            </w:rPr>
            <w:t>服务台应用提升情况说明</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_Toc21669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724"/>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_Toc2622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pacing w:val="-3"/>
              <w:sz w:val="24"/>
              <w:szCs w:val="24"/>
            </w:rPr>
            <w:t>文档信息</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_Toc2622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724"/>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_Toc17367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 服务台概况</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_Toc17367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724"/>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_Toc16843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 严格要求服务台工作</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_Toc16843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724"/>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_Toc23012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2.1. 提升服务台工作效率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_Toc23012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724"/>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_Toc25901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2.2. 服务台录入事件的完整率稳步提升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_Toc25901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724"/>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_Toc27717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2.3. 回访用户满意度考核</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_Toc27717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724"/>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_Toc12571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2.4. 客户满意度有效提升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_Toc12571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spacing w:line="220" w:lineRule="auto"/>
            <w:rPr>
              <w:rFonts w:ascii="Cambria" w:eastAsia="Cambria" w:hAnsi="Cambria" w:cs="Cambria"/>
              <w:snapToGrid w:val="0"/>
              <w:color w:val="000000"/>
              <w:kern w:val="0"/>
              <w:sz w:val="21"/>
              <w:szCs w:val="24"/>
              <w:lang w:val="en-US" w:eastAsia="en-US" w:bidi="ar-SA"/>
            </w:rPr>
          </w:pPr>
          <w:r>
            <w:rPr>
              <w:rFonts w:ascii="Microsoft JhengHei" w:eastAsia="Microsoft JhengHei" w:hAnsi="Microsoft JhengHei" w:cs="Microsoft JhengHei" w:hint="eastAsia"/>
              <w:sz w:val="24"/>
              <w:szCs w:val="24"/>
            </w:rPr>
            <w:fldChar w:fldCharType="end"/>
          </w:r>
        </w:p>
      </w:sdtContent>
    </w:sdt>
    <w:p>
      <w:pPr>
        <w:spacing w:line="220" w:lineRule="auto"/>
        <w:rPr>
          <w:rFonts w:ascii="Cambria" w:eastAsia="Cambria" w:hAnsi="Cambria" w:cs="Cambria"/>
          <w:snapToGrid w:val="0"/>
          <w:color w:val="000000"/>
          <w:kern w:val="0"/>
          <w:sz w:val="21"/>
          <w:szCs w:val="24"/>
          <w:lang w:val="en-US" w:eastAsia="en-US" w:bidi="ar-SA"/>
        </w:rPr>
        <w:sectPr>
          <w:headerReference w:type="default" r:id="rId6"/>
          <w:footerReference w:type="default" r:id="rId7"/>
          <w:pgSz w:w="11906" w:h="16839"/>
          <w:pgMar w:top="400" w:right="1090" w:bottom="1157" w:left="1092" w:header="0" w:footer="990" w:gutter="0"/>
          <w:cols w:num="1" w:space="720"/>
        </w:sectPr>
      </w:pPr>
    </w:p>
    <w:p>
      <w:pPr>
        <w:pStyle w:val="1"/>
        <w:bidi w:val="0"/>
      </w:pPr>
      <w:bookmarkStart w:id="0" w:name="bookmark1"/>
      <w:bookmarkEnd w:id="0"/>
      <w:bookmarkStart w:id="1" w:name="_Toc17367"/>
      <w:r>
        <w:t>服务台概况</w:t>
      </w:r>
      <w:bookmarkEnd w:id="1"/>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pacing w:val="-2"/>
          <w:sz w:val="24"/>
          <w:szCs w:val="24"/>
        </w:rPr>
        <w:t>服务台是与客户进行沟通和提供服务的重要途径之一，更是未来实现公司</w:t>
      </w:r>
      <w:r>
        <w:rPr>
          <w:rFonts w:ascii="宋体" w:eastAsia="宋体" w:hAnsi="宋体" w:cs="宋体"/>
          <w:sz w:val="24"/>
          <w:szCs w:val="24"/>
        </w:rPr>
        <w:t>业绩成长的重要渠道。所以为了提高客服水平，特制</w:t>
      </w:r>
      <w:r>
        <w:rPr>
          <w:rFonts w:ascii="宋体" w:eastAsia="宋体" w:hAnsi="宋体" w:cs="宋体"/>
          <w:spacing w:val="-1"/>
          <w:sz w:val="24"/>
          <w:szCs w:val="24"/>
        </w:rPr>
        <w:t>定服务台运行服务管理制</w:t>
      </w:r>
      <w:r>
        <w:rPr>
          <w:rFonts w:ascii="宋体" w:eastAsia="宋体" w:hAnsi="宋体" w:cs="宋体"/>
          <w:sz w:val="24"/>
          <w:szCs w:val="24"/>
        </w:rPr>
        <w:t>度，对所提供服务的产品或业务，交付和交付后的活</w:t>
      </w:r>
      <w:r>
        <w:rPr>
          <w:rFonts w:ascii="宋体" w:eastAsia="宋体" w:hAnsi="宋体" w:cs="宋体"/>
          <w:spacing w:val="-1"/>
          <w:sz w:val="24"/>
          <w:szCs w:val="24"/>
        </w:rPr>
        <w:t>动进行管理，</w:t>
      </w:r>
      <w:r>
        <w:rPr>
          <w:rFonts w:ascii="宋体" w:eastAsia="宋体" w:hAnsi="宋体" w:cs="宋体" w:hint="eastAsia"/>
          <w:spacing w:val="-1"/>
          <w:sz w:val="24"/>
          <w:szCs w:val="24"/>
          <w:lang w:val="en-US" w:eastAsia="zh-CN"/>
        </w:rPr>
        <w:t>将客户问题记录到《问题反馈单》</w:t>
      </w:r>
      <w:r>
        <w:rPr>
          <w:rFonts w:ascii="宋体" w:eastAsia="宋体" w:hAnsi="宋体" w:cs="宋体"/>
          <w:spacing w:val="-3"/>
          <w:sz w:val="24"/>
          <w:szCs w:val="24"/>
        </w:rPr>
        <w:t>，为客户提供专业化和规范化的服务。</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pacing w:val="-1"/>
          <w:sz w:val="24"/>
          <w:szCs w:val="24"/>
        </w:rPr>
        <w:t>公司设置统一对外服务电话（电话：15951768341），</w:t>
      </w:r>
      <w:r>
        <w:rPr>
          <w:rFonts w:ascii="宋体" w:eastAsia="宋体" w:hAnsi="宋体" w:cs="宋体"/>
          <w:spacing w:val="-2"/>
          <w:sz w:val="24"/>
          <w:szCs w:val="24"/>
        </w:rPr>
        <w:t>设置专职客户专员</w:t>
      </w:r>
      <w:r>
        <w:rPr>
          <w:rFonts w:ascii="宋体" w:eastAsia="宋体" w:hAnsi="宋体" w:cs="宋体"/>
          <w:sz w:val="24"/>
          <w:szCs w:val="24"/>
        </w:rPr>
        <w:t>担任服务台，实现5*8小时的电话接听，并在其</w:t>
      </w:r>
      <w:r>
        <w:rPr>
          <w:rFonts w:ascii="宋体" w:eastAsia="宋体" w:hAnsi="宋体" w:cs="宋体"/>
          <w:spacing w:val="-1"/>
          <w:sz w:val="24"/>
          <w:szCs w:val="24"/>
        </w:rPr>
        <w:t>他时间转接到服务台的手机，达</w:t>
      </w:r>
      <w:r>
        <w:rPr>
          <w:rFonts w:ascii="宋体" w:eastAsia="宋体" w:hAnsi="宋体" w:cs="宋体"/>
          <w:spacing w:val="-4"/>
          <w:sz w:val="24"/>
          <w:szCs w:val="24"/>
        </w:rPr>
        <w:t>到7*24小时的远程服务支持。</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8"/>
          <w:szCs w:val="28"/>
        </w:rPr>
      </w:pPr>
      <w:r>
        <w:rPr>
          <w:rFonts w:ascii="宋体" w:eastAsia="宋体" w:hAnsi="宋体" w:cs="宋体"/>
          <w:sz w:val="24"/>
          <w:szCs w:val="24"/>
        </w:rPr>
        <w:t>服务台的基本功能是接收用户的各类使用问题</w:t>
      </w:r>
      <w:r>
        <w:rPr>
          <w:rFonts w:ascii="宋体" w:eastAsia="宋体" w:hAnsi="宋体" w:cs="宋体"/>
          <w:spacing w:val="-1"/>
          <w:sz w:val="24"/>
          <w:szCs w:val="24"/>
        </w:rPr>
        <w:t>请求，并在规定时间内为用</w:t>
      </w:r>
      <w:r>
        <w:rPr>
          <w:rFonts w:ascii="宋体" w:eastAsia="宋体" w:hAnsi="宋体" w:cs="宋体"/>
          <w:sz w:val="24"/>
          <w:szCs w:val="24"/>
        </w:rPr>
        <w:t>户直接远程解决相关问题，如遇复杂问题则转</w:t>
      </w:r>
      <w:r>
        <w:rPr>
          <w:rFonts w:ascii="宋体" w:eastAsia="宋体" w:hAnsi="宋体" w:cs="宋体"/>
          <w:spacing w:val="-1"/>
          <w:sz w:val="24"/>
          <w:szCs w:val="24"/>
        </w:rPr>
        <w:t>交二线支持，同时还需跟踪解决</w:t>
      </w:r>
      <w:r>
        <w:rPr>
          <w:rFonts w:ascii="宋体" w:eastAsia="宋体" w:hAnsi="宋体" w:cs="宋体"/>
          <w:sz w:val="24"/>
          <w:szCs w:val="24"/>
        </w:rPr>
        <w:t>情况并及时反馈以便最终解决用户问题。在此</w:t>
      </w:r>
      <w:r>
        <w:rPr>
          <w:rFonts w:ascii="宋体" w:eastAsia="宋体" w:hAnsi="宋体" w:cs="宋体"/>
          <w:spacing w:val="-1"/>
          <w:sz w:val="24"/>
          <w:szCs w:val="24"/>
        </w:rPr>
        <w:t>基础上，服务台还要对服务过程和结果进行记录，以便分析总结，提高问题解决速度，保证</w:t>
      </w:r>
      <w:r>
        <w:rPr>
          <w:rFonts w:ascii="宋体" w:eastAsia="宋体" w:hAnsi="宋体" w:cs="宋体"/>
          <w:spacing w:val="-2"/>
          <w:sz w:val="24"/>
          <w:szCs w:val="24"/>
        </w:rPr>
        <w:t>服务SLA的达成。</w:t>
      </w:r>
    </w:p>
    <w:p>
      <w:pPr>
        <w:pStyle w:val="1"/>
        <w:bidi w:val="0"/>
      </w:pPr>
      <w:bookmarkStart w:id="2" w:name="_Toc16843"/>
      <w:r>
        <w:t>严格要求服务台工作</w:t>
      </w:r>
      <w:bookmarkEnd w:id="2"/>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hint="eastAsia"/>
          <w:sz w:val="24"/>
          <w:szCs w:val="24"/>
          <w:lang w:val="en-US" w:eastAsia="zh-CN"/>
        </w:rPr>
        <w:t>通过严格执行《服务台操作手册》、《服务台管理制度》明确客服的操作职责，结合公司往年的运行情况，</w:t>
      </w:r>
      <w:r>
        <w:rPr>
          <w:rFonts w:ascii="宋体" w:eastAsia="宋体" w:hAnsi="宋体" w:cs="宋体"/>
          <w:sz w:val="24"/>
          <w:szCs w:val="24"/>
        </w:rPr>
        <w:t>2025年服务台</w:t>
      </w:r>
      <w:r>
        <w:rPr>
          <w:rFonts w:ascii="宋体" w:eastAsia="宋体" w:hAnsi="宋体" w:cs="宋体" w:hint="eastAsia"/>
          <w:sz w:val="24"/>
          <w:szCs w:val="24"/>
          <w:lang w:val="en-US" w:eastAsia="zh-CN"/>
        </w:rPr>
        <w:t>电话接通率</w:t>
      </w:r>
      <w:r>
        <w:rPr>
          <w:rFonts w:ascii="宋体" w:eastAsia="宋体" w:hAnsi="宋体" w:cs="宋体"/>
          <w:sz w:val="24"/>
          <w:szCs w:val="24"/>
        </w:rPr>
        <w:t>目标值</w:t>
      </w:r>
      <w:r>
        <w:rPr>
          <w:rFonts w:ascii="宋体" w:eastAsia="宋体" w:hAnsi="宋体" w:cs="宋体" w:hint="eastAsia"/>
          <w:sz w:val="24"/>
          <w:szCs w:val="24"/>
          <w:lang w:val="en-US" w:eastAsia="zh-CN"/>
        </w:rPr>
        <w:t>要求达到</w:t>
      </w:r>
      <w:r>
        <w:rPr>
          <w:rFonts w:ascii="宋体" w:eastAsia="宋体" w:hAnsi="宋体" w:cs="宋体"/>
          <w:sz w:val="24"/>
          <w:szCs w:val="24"/>
        </w:rPr>
        <w:t>95%</w:t>
      </w:r>
      <w:r>
        <w:rPr>
          <w:rFonts w:ascii="宋体" w:eastAsia="宋体" w:hAnsi="宋体" w:cs="宋体" w:hint="eastAsia"/>
          <w:sz w:val="24"/>
          <w:szCs w:val="24"/>
          <w:lang w:eastAsia="zh-CN"/>
        </w:rPr>
        <w:t>，</w:t>
      </w:r>
      <w:r>
        <w:rPr>
          <w:rFonts w:asciiTheme="minorEastAsia" w:eastAsiaTheme="minorEastAsia" w:hAnsiTheme="minorEastAsia" w:hint="eastAsia"/>
          <w:szCs w:val="21"/>
        </w:rPr>
        <w:t>无旷工；</w:t>
      </w:r>
      <w:r>
        <w:rPr>
          <w:rFonts w:asciiTheme="minorEastAsia" w:eastAsiaTheme="minorEastAsia" w:hAnsiTheme="minorEastAsia" w:hint="eastAsia"/>
          <w:szCs w:val="21"/>
          <w:lang w:val="en-US" w:eastAsia="zh-CN"/>
        </w:rPr>
        <w:t>每季度</w:t>
      </w:r>
      <w:r>
        <w:rPr>
          <w:rFonts w:asciiTheme="minorEastAsia" w:eastAsiaTheme="minorEastAsia" w:hAnsiTheme="minorEastAsia" w:hint="eastAsia"/>
          <w:szCs w:val="21"/>
        </w:rPr>
        <w:t>其他违规小于5件</w:t>
      </w:r>
      <w:r>
        <w:rPr>
          <w:rFonts w:asciiTheme="minorEastAsia" w:eastAsiaTheme="minorEastAsia" w:hAnsiTheme="minorEastAsia" w:hint="eastAsia"/>
          <w:szCs w:val="21"/>
          <w:lang w:eastAsia="zh-CN"/>
        </w:rPr>
        <w:t>，</w:t>
      </w:r>
      <w:r>
        <w:rPr>
          <w:rFonts w:asciiTheme="minorEastAsia" w:eastAsiaTheme="minorEastAsia" w:hAnsiTheme="minorEastAsia" w:hint="eastAsia"/>
          <w:szCs w:val="21"/>
          <w:lang w:val="en-US" w:eastAsia="zh-CN"/>
        </w:rPr>
        <w:t>每月有效投诉不超过1件</w:t>
      </w:r>
      <w:r>
        <w:rPr>
          <w:rFonts w:ascii="宋体" w:eastAsia="宋体" w:hAnsi="宋体" w:cs="宋体"/>
          <w:sz w:val="24"/>
          <w:szCs w:val="24"/>
        </w:rPr>
        <w:t>。</w:t>
      </w:r>
    </w:p>
    <w:p>
      <w:pPr>
        <w:pStyle w:val="2"/>
        <w:bidi w:val="0"/>
      </w:pPr>
      <w:bookmarkStart w:id="3" w:name="_Toc23012"/>
      <w:r>
        <w:t>提升服务台工作效率</w:t>
      </w:r>
      <w:bookmarkEnd w:id="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实现运维服务入口的统一，并达到服务台的标准化和规范化:所有运维请求，都需通过服务台，由服务台首先接单，然后统一分派人员解决问题，使服务台成为真正的唯一联系点，方便为客户提供服务。通过建立服务台规范和制度，明确服务台的首问责任制，并采取标准化用语和处理流程，大幅提升服务台的规范化和标准化，提升公司的服务形象。</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实现服务水平协议(SLA)的标准化管理:在运维项目立项或签订合同时，就与用户商定好各类故障和问题的不同级别和响应时间，根据服务级别来有序解决。在明确双方要求的基础上，大幅提高客户满意度，并为运维团队提供考核依据。</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随着运维项目的增加，客户需求与问题增多，为提升服务效率，增加坐席人员。</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实现流程、运维软件和人员的集成:服务台承担起监控管理和主动改善IT现状的职责，结合运维管理平台实现整个运维过程的可视化和可追溯管理。在运维管理平台的辅助下，结合服务台记录的数据和专家团队的经验可快速给出服务台运营报告，并提出改进建议，避免常见问题重复发生，主动防患运维风险，使运维服务变被动为主动改善。</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总体来说，服务台首先实现统一规范管理并同时处理大量的服务请求，避免了因找不到特定技术人员而耽误时间，降低运营成本;其次通过对服务台的管理，结合建立知识库，明确服务人员绩效考核等。</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实现运维服务入口的统一，并达到服务台的标准化和规范化:所有运维请求，都需通过服务台，由服务台首先接单，然后统一分派人员解决问题，使服务台 成为真正的唯一联系点，方便为客户提供服务。</w:t>
      </w:r>
    </w:p>
    <w:p>
      <w:pPr>
        <w:pStyle w:val="2"/>
        <w:bidi w:val="0"/>
      </w:pPr>
      <w:bookmarkStart w:id="4" w:name="_Toc25901"/>
      <w:r>
        <w:t>服务台录入事件的完整率稳步提升</w:t>
      </w:r>
      <w:bookmarkEnd w:id="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由于实现了服务台的标准化及制度化，并将运维人员分级管理，方便服务台人员对派单，因此服务台录入事件的完整率逐年提升，2025年设定的目标均为93%，经过2025年第一、二、三季度的KPI跟踪，2025年第一、二、三季度服务台电话接通率达到100%。</w:t>
      </w:r>
    </w:p>
    <w:p>
      <w:pPr>
        <w:pStyle w:val="2"/>
        <w:bidi w:val="0"/>
      </w:pPr>
      <w:bookmarkStart w:id="5" w:name="_Toc27717"/>
      <w:r>
        <w:t>回访用户满意度考核</w:t>
      </w:r>
      <w:bookmarkEnd w:id="5"/>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由于持续在服务台进行标准化作业的宣贯，公司对于服务台回访用户满意度的考核很重要，可以推动运维工程师高效的给客户提供服务。</w:t>
      </w:r>
      <w:bookmarkStart w:id="6" w:name="_GoBack"/>
      <w:bookmarkEnd w:id="6"/>
    </w:p>
    <w:sectPr>
      <w:headerReference w:type="default" r:id="rId8"/>
      <w:footerReference w:type="default" r:id="rId9"/>
      <w:pgSz w:w="11906" w:h="16839"/>
      <w:pgMar w:top="400" w:right="1305" w:bottom="885" w:left="1088" w:header="0" w:footer="72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8" w:lineRule="auto"/>
      <w:ind w:left="4822"/>
      <w:rPr>
        <w:rFonts w:ascii="Cambria" w:eastAsia="Cambria" w:hAnsi="Cambria" w:cs="Cambria"/>
        <w:sz w:val="18"/>
        <w:szCs w:val="18"/>
      </w:rPr>
    </w:pPr>
    <w:r>
      <w:rPr>
        <w:rFonts w:ascii="Cambria" w:eastAsia="Cambria" w:hAnsi="Cambria" w:cs="Cambria"/>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7" w:lineRule="auto"/>
      <w:ind w:left="4827"/>
      <w:rPr>
        <w:rFonts w:ascii="Cambria" w:eastAsia="Cambria" w:hAnsi="Cambria" w:cs="Cambria"/>
        <w:sz w:val="18"/>
        <w:szCs w:val="18"/>
      </w:rPr>
    </w:pPr>
    <w:r>
      <w:rPr>
        <w:rFonts w:ascii="Cambria" w:eastAsia="Cambria" w:hAnsi="Cambria" w:cs="Cambria"/>
        <w:sz w:val="18"/>
        <w:szCs w:val="18"/>
      </w:rPr>
      <w:t>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52" w:lineRule="auto"/>
      <w:rPr>
        <w:sz w:val="2"/>
      </w:rPr>
    </w:pPr>
    <w:r>
      <w:pict>
        <v:shape id="_x0000_s4097" o:spid="_x0000_s2049" style="height:0.75pt;margin-left:88.4pt;margin-top:54.1pt;mso-height-relative:page;mso-position-horizontal-relative:page;mso-position-vertical-relative:page;mso-width-relative:page;position:absolute;width:418.5pt;z-index:251658240" coordsize="8370,15" o:allowincell="f" path="m,7l8369,7e" filled="f" stroked="t">
          <v:stroke joinstyle="mi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Normal"/>
    <w:qFormat/>
    <w:pPr>
      <w:spacing w:before="100" w:after="90" w:line="360" w:lineRule="auto"/>
    </w:pPr>
    <w:rPr>
      <w:rFonts w:ascii="Arial" w:eastAsia="宋体" w:hAnsi="Arial"/>
      <w:sz w:val="32"/>
    </w:rPr>
  </w:style>
  <w:style w:type="paragraph" w:customStyle="1" w:styleId="2">
    <w:name w:val="柴_标题2"/>
    <w:basedOn w:val="Heading2"/>
    <w:next w:val="Normal"/>
    <w:qFormat/>
    <w:pPr>
      <w:spacing w:line="360" w:lineRule="auto"/>
    </w:pPr>
    <w:rPr>
      <w:rFonts w:ascii="Arial" w:eastAsia="宋体" w:hAnsi="Arial"/>
      <w:sz w:val="28"/>
    </w:rPr>
  </w:style>
  <w:style w:type="paragraph" w:customStyle="1" w:styleId="3">
    <w:name w:val="柴_标题3"/>
    <w:basedOn w:val="Heading3"/>
    <w:next w:val="Normal"/>
    <w:qFormat/>
    <w:pPr>
      <w:spacing w:line="360" w:lineRule="auto"/>
      <w:ind w:left="0" w:firstLine="472" w:firstLineChars="200"/>
    </w:pPr>
    <w:rPr>
      <w:rFonts w:ascii="宋体" w:eastAsia="宋体" w:hAnsi="宋体" w:cs="宋体"/>
      <w:spacing w:val="-2"/>
      <w:sz w:val="24"/>
      <w:szCs w:val="24"/>
    </w:rPr>
  </w:style>
  <w:style w:type="paragraph" w:customStyle="1" w:styleId="a">
    <w:name w:val="柴_目录"/>
    <w:basedOn w:val="Normal"/>
    <w:next w:val="BodyText"/>
    <w:qFormat/>
    <w:pPr>
      <w:tabs>
        <w:tab w:val="right" w:leader="dot" w:pos="8442"/>
      </w:tabs>
      <w:ind w:left="0" w:leftChars="0"/>
    </w:pPr>
    <w:rPr>
      <w:rFonts w:ascii="Arial" w:eastAsia="Microsoft JhengHei"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header" Target="header3.xml" /><Relationship Id="rId9" Type="http://schemas.openxmlformats.org/officeDocument/2006/relationships/footer" Target="footer2.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5</Pages>
  <Words>99</Words>
  <Characters>113</Characters>
  <Application>Microsoft Office Word</Application>
  <DocSecurity>0</DocSecurity>
  <Lines>0</Lines>
  <Paragraphs>0</Paragraphs>
  <ScaleCrop>false</ScaleCrop>
  <Company/>
  <LinksUpToDate>false</LinksUpToDate>
  <CharactersWithSpaces>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健 张</dc:creator>
  <cp:lastModifiedBy>郝宇</cp:lastModifiedBy>
  <cp:revision>0</cp:revision>
  <dcterms:created xsi:type="dcterms:W3CDTF">2025-08-19T17:02:00Z</dcterms:created>
  <dcterms:modified xsi:type="dcterms:W3CDTF">2025-10-15T17:16:14Z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2025-08-21T23:19:59Z</vt:filetime>
  </property>
  <property fmtid="{D5CDD505-2E9C-101B-9397-08002B2CF9AE}" pid="3" name="CRO">
    <vt:lpwstr>wqlLaW5nc29mdCBQREYgdG8gV1BTIDExNQ</vt:lpwstr>
  </property>
  <property fmtid="{D5CDD505-2E9C-101B-9397-08002B2CF9AE}" pid="4" name="ICV">
    <vt:lpwstr>8F2E0A1DFA5B4908BF438CFA6DB17F83_12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