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ackground w:color="ffffff">
    <v:background id="_x0000_s1025" filled="t"/>
  </w:background>
  <w:body>
    <w:p>
      <w:pPr>
        <w:rPr>
          <w:rFonts w:asciiTheme="minorEastAsia" w:eastAsiaTheme="minorEastAsia" w:hAnsiTheme="minorEastAsia"/>
          <w:sz w:val="52"/>
          <w:szCs w:val="52"/>
        </w:rPr>
      </w:pPr>
    </w:p>
    <w:p>
      <w:pPr>
        <w:jc w:val="center"/>
        <w:rPr>
          <w:rFonts w:ascii="宋体" w:hAnsi="宋体"/>
          <w:b/>
          <w:sz w:val="52"/>
          <w:szCs w:val="52"/>
        </w:rPr>
      </w:pPr>
      <w:r>
        <w:rPr>
          <w:rFonts w:ascii="宋体" w:hAnsi="宋体" w:hint="eastAsia"/>
          <w:b/>
          <w:sz w:val="52"/>
          <w:szCs w:val="52"/>
        </w:rPr>
        <w:t>南京航之舟数字科技有限公司</w:t>
      </w:r>
    </w:p>
    <w:p>
      <w:pPr>
        <w:jc w:val="center"/>
        <w:rPr>
          <w:rFonts w:ascii="宋体" w:hAnsi="宋体"/>
          <w:b/>
          <w:sz w:val="52"/>
          <w:szCs w:val="52"/>
        </w:rPr>
      </w:pPr>
      <w:r>
        <w:rPr>
          <w:rFonts w:ascii="宋体" w:hAnsi="宋体" w:hint="eastAsia"/>
          <w:b/>
          <w:sz w:val="52"/>
          <w:szCs w:val="52"/>
        </w:rPr>
        <w:t>运维服务管理体系</w:t>
      </w:r>
    </w:p>
    <w:p>
      <w:pPr>
        <w:jc w:val="center"/>
        <w:rPr>
          <w:rFonts w:ascii="宋体" w:hAnsi="宋体"/>
          <w:b/>
          <w:sz w:val="36"/>
          <w:szCs w:val="36"/>
        </w:rPr>
      </w:pPr>
      <w:r>
        <w:rPr>
          <w:rFonts w:ascii="宋体" w:hAnsi="宋体" w:hint="eastAsia"/>
          <w:b/>
          <w:sz w:val="36"/>
          <w:szCs w:val="36"/>
        </w:rPr>
        <w:t>(运维服务管理指标体系)</w:t>
      </w:r>
    </w:p>
    <w:p>
      <w:pPr>
        <w:tabs>
          <w:tab w:val="left" w:pos="2775"/>
        </w:tabs>
        <w:rPr>
          <w:rFonts w:ascii="Times New Roman" w:eastAsia="黑体"/>
        </w:rPr>
      </w:pPr>
    </w:p>
    <w:p>
      <w:pPr>
        <w:tabs>
          <w:tab w:val="left" w:pos="2775"/>
        </w:tabs>
        <w:rPr>
          <w:rFonts w:ascii="Times New Roman" w:eastAsia="黑体"/>
        </w:rPr>
      </w:pPr>
    </w:p>
    <w:p>
      <w:pPr>
        <w:tabs>
          <w:tab w:val="left" w:pos="2775"/>
        </w:tabs>
        <w:rPr>
          <w:rFonts w:ascii="Times New Roman" w:eastAsia="黑体"/>
        </w:rPr>
      </w:pPr>
    </w:p>
    <w:p>
      <w:pPr>
        <w:tabs>
          <w:tab w:val="left" w:pos="2775"/>
        </w:tabs>
        <w:rPr>
          <w:rFonts w:ascii="Times New Roman" w:eastAsia="黑体"/>
        </w:rPr>
      </w:pPr>
    </w:p>
    <w:p>
      <w:pPr>
        <w:tabs>
          <w:tab w:val="left" w:pos="2775"/>
        </w:tabs>
        <w:rPr>
          <w:rFonts w:ascii="Times New Roman" w:eastAsia="黑体"/>
        </w:rPr>
      </w:pPr>
    </w:p>
    <w:p>
      <w:pPr>
        <w:tabs>
          <w:tab w:val="left" w:pos="2775"/>
        </w:tabs>
        <w:rPr>
          <w:rFonts w:ascii="Times New Roman" w:eastAsia="黑体"/>
        </w:rPr>
      </w:pPr>
    </w:p>
    <w:p>
      <w:pPr>
        <w:tabs>
          <w:tab w:val="left" w:pos="2775"/>
        </w:tabs>
        <w:rPr>
          <w:rFonts w:ascii="Times New Roman" w:eastAsia="黑体"/>
        </w:rPr>
      </w:pPr>
    </w:p>
    <w:p>
      <w:pPr>
        <w:tabs>
          <w:tab w:val="left" w:pos="2775"/>
        </w:tabs>
        <w:rPr>
          <w:rFonts w:ascii="Times New Roman" w:eastAsia="黑体"/>
        </w:rPr>
      </w:pPr>
    </w:p>
    <w:p>
      <w:pPr>
        <w:tabs>
          <w:tab w:val="left" w:pos="2775"/>
        </w:tabs>
        <w:rPr>
          <w:rFonts w:ascii="Times New Roman" w:eastAsia="黑体"/>
        </w:rPr>
      </w:pPr>
    </w:p>
    <w:p>
      <w:pPr>
        <w:tabs>
          <w:tab w:val="left" w:pos="2775"/>
        </w:tabs>
        <w:rPr>
          <w:rFonts w:ascii="Times New Roman" w:eastAsia="黑体"/>
        </w:rPr>
      </w:pPr>
    </w:p>
    <w:p>
      <w:pPr>
        <w:tabs>
          <w:tab w:val="left" w:pos="2775"/>
        </w:tabs>
        <w:rPr>
          <w:rFonts w:ascii="Times New Roman" w:eastAsia="黑体"/>
        </w:rPr>
      </w:pPr>
    </w:p>
    <w:p>
      <w:pPr>
        <w:tabs>
          <w:tab w:val="left" w:pos="2775"/>
        </w:tabs>
        <w:rPr>
          <w:rFonts w:ascii="Times New Roman" w:eastAsia="黑体"/>
        </w:rPr>
      </w:pPr>
    </w:p>
    <w:p>
      <w:pPr>
        <w:tabs>
          <w:tab w:val="left" w:pos="2775"/>
        </w:tabs>
        <w:rPr>
          <w:rFonts w:ascii="Times New Roman" w:eastAsia="黑体"/>
        </w:rPr>
      </w:pPr>
    </w:p>
    <w:p>
      <w:pPr>
        <w:spacing w:line="360" w:lineRule="auto"/>
        <w:ind w:firstLine="888" w:firstLineChars="423"/>
        <w:jc w:val="left"/>
        <w:rPr>
          <w:rFonts w:ascii="Times New Roman"/>
          <w:b/>
          <w:bCs/>
          <w:spacing w:val="8"/>
          <w:sz w:val="30"/>
        </w:rPr>
      </w:pPr>
    </w:p>
    <w:tbl>
      <w:tblPr>
        <w:tblStyle w:val="TableNormal"/>
        <w:tblW w:w="85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2"/>
        <w:gridCol w:w="1450"/>
        <w:gridCol w:w="1110"/>
        <w:gridCol w:w="1664"/>
        <w:gridCol w:w="1661"/>
        <w:gridCol w:w="1659"/>
      </w:tblGrid>
      <w:tr>
        <w:tblPrEx>
          <w:tblW w:w="8526" w:type="dxa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1"/>
          <w:jc w:val="center"/>
        </w:trPr>
        <w:tc>
          <w:tcPr>
            <w:tcW w:w="982" w:type="dxa"/>
          </w:tcPr>
          <w:p>
            <w:pPr>
              <w:jc w:val="center"/>
              <w:rPr>
                <w:rFonts w:ascii="微软雅黑" w:eastAsia="微软雅黑" w:hAnsi="微软雅黑"/>
                <w:b/>
              </w:rPr>
            </w:pPr>
            <w:r>
              <w:rPr>
                <w:rFonts w:ascii="微软雅黑" w:eastAsia="微软雅黑" w:hAnsi="微软雅黑" w:hint="eastAsia"/>
                <w:b/>
              </w:rPr>
              <w:t>编制</w:t>
            </w:r>
          </w:p>
        </w:tc>
        <w:tc>
          <w:tcPr>
            <w:tcW w:w="1450" w:type="dxa"/>
          </w:tcPr>
          <w:p>
            <w:pPr>
              <w:jc w:val="center"/>
              <w:rPr>
                <w:rFonts w:ascii="微软雅黑" w:eastAsia="微软雅黑" w:hAnsi="微软雅黑" w:hint="eastAsia"/>
                <w:sz w:val="24"/>
                <w:szCs w:val="24"/>
                <w:lang w:eastAsia="zh-CN"/>
              </w:rPr>
            </w:pPr>
            <w:r>
              <w:rPr>
                <w:rFonts w:ascii="微软雅黑" w:eastAsia="微软雅黑" w:hAnsi="微软雅黑" w:hint="eastAsia"/>
                <w:sz w:val="21"/>
                <w:szCs w:val="21"/>
                <w:lang w:eastAsia="zh-CN"/>
              </w:rPr>
              <w:t>唐旭</w:t>
            </w:r>
          </w:p>
        </w:tc>
        <w:tc>
          <w:tcPr>
            <w:tcW w:w="1110" w:type="dxa"/>
          </w:tcPr>
          <w:p>
            <w:pPr>
              <w:jc w:val="center"/>
              <w:rPr>
                <w:rFonts w:ascii="微软雅黑" w:eastAsia="微软雅黑" w:hAnsi="微软雅黑" w:hint="eastAsia"/>
                <w:b/>
                <w:lang w:eastAsia="zh-CN"/>
              </w:rPr>
            </w:pPr>
            <w:r>
              <w:rPr>
                <w:rFonts w:ascii="微软雅黑" w:eastAsia="微软雅黑" w:hAnsi="微软雅黑" w:hint="eastAsia"/>
                <w:b/>
                <w:lang w:eastAsia="zh-CN"/>
              </w:rPr>
              <w:t>审核</w:t>
            </w:r>
          </w:p>
        </w:tc>
        <w:tc>
          <w:tcPr>
            <w:tcW w:w="1664" w:type="dxa"/>
          </w:tcPr>
          <w:p>
            <w:pPr>
              <w:jc w:val="center"/>
              <w:rPr>
                <w:rFonts w:ascii="微软雅黑" w:eastAsia="微软雅黑" w:hAnsi="微软雅黑" w:hint="default"/>
                <w:szCs w:val="21"/>
                <w:lang w:val="en-US" w:eastAsia="zh-CN"/>
              </w:rPr>
            </w:pPr>
            <w:r>
              <w:rPr>
                <w:rFonts w:ascii="微软雅黑" w:eastAsia="微软雅黑" w:hAnsi="微软雅黑" w:hint="eastAsia"/>
                <w:szCs w:val="21"/>
                <w:lang w:val="en-US" w:eastAsia="zh-CN"/>
              </w:rPr>
              <w:t>吴克</w:t>
            </w:r>
          </w:p>
        </w:tc>
        <w:tc>
          <w:tcPr>
            <w:tcW w:w="1661" w:type="dxa"/>
          </w:tcPr>
          <w:p>
            <w:pPr>
              <w:jc w:val="center"/>
              <w:rPr>
                <w:rFonts w:ascii="微软雅黑" w:eastAsia="微软雅黑" w:hAnsi="微软雅黑" w:hint="eastAsia"/>
                <w:szCs w:val="21"/>
                <w:lang w:val="en-US" w:eastAsia="zh-CN"/>
              </w:rPr>
            </w:pPr>
            <w:r>
              <w:rPr>
                <w:rFonts w:ascii="微软雅黑" w:eastAsia="微软雅黑" w:hAnsi="微软雅黑" w:hint="eastAsia"/>
                <w:b/>
                <w:bCs/>
                <w:szCs w:val="21"/>
                <w:lang w:val="en-US" w:eastAsia="zh-CN"/>
              </w:rPr>
              <w:t>审批</w:t>
            </w:r>
          </w:p>
        </w:tc>
        <w:tc>
          <w:tcPr>
            <w:tcW w:w="1659" w:type="dxa"/>
          </w:tcPr>
          <w:p>
            <w:pPr>
              <w:jc w:val="center"/>
              <w:rPr>
                <w:rFonts w:ascii="微软雅黑" w:eastAsia="微软雅黑" w:hAnsi="微软雅黑" w:hint="eastAsia"/>
                <w:szCs w:val="21"/>
                <w:lang w:val="en-US" w:eastAsia="zh-CN"/>
              </w:rPr>
            </w:pPr>
            <w:r>
              <w:rPr>
                <w:rFonts w:ascii="微软雅黑" w:eastAsia="微软雅黑" w:hAnsi="微软雅黑" w:hint="eastAsia"/>
                <w:szCs w:val="21"/>
                <w:lang w:val="en-US" w:eastAsia="zh-CN"/>
              </w:rPr>
              <w:t>陈潮华</w:t>
            </w:r>
          </w:p>
        </w:tc>
      </w:tr>
      <w:tr>
        <w:tblPrEx>
          <w:tblW w:w="8526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/>
          <w:jc w:val="center"/>
        </w:trPr>
        <w:tc>
          <w:tcPr>
            <w:tcW w:w="2432" w:type="dxa"/>
            <w:gridSpan w:val="2"/>
          </w:tcPr>
          <w:p>
            <w:pPr>
              <w:jc w:val="center"/>
              <w:rPr>
                <w:rFonts w:ascii="微软雅黑" w:eastAsia="微软雅黑" w:hAnsi="微软雅黑" w:hint="eastAsia"/>
                <w:sz w:val="24"/>
                <w:szCs w:val="24"/>
                <w:lang w:eastAsia="zh-CN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22"/>
                <w:szCs w:val="22"/>
                <w:lang w:eastAsia="zh-CN"/>
              </w:rPr>
              <w:t>发布日期</w:t>
            </w:r>
          </w:p>
        </w:tc>
        <w:tc>
          <w:tcPr>
            <w:tcW w:w="6094" w:type="dxa"/>
            <w:gridSpan w:val="4"/>
          </w:tcPr>
          <w:p>
            <w:pPr>
              <w:jc w:val="center"/>
              <w:rPr>
                <w:rFonts w:ascii="微软雅黑" w:eastAsia="微软雅黑" w:hAnsi="微软雅黑" w:hint="default"/>
                <w:szCs w:val="21"/>
                <w:lang w:val="en-US" w:eastAsia="zh-CN"/>
              </w:rPr>
            </w:pPr>
            <w:r>
              <w:rPr>
                <w:rFonts w:ascii="微软雅黑" w:eastAsia="微软雅黑" w:hAnsi="微软雅黑" w:hint="eastAsia"/>
                <w:szCs w:val="21"/>
                <w:lang w:val="en-US" w:eastAsia="zh-CN"/>
              </w:rPr>
              <w:t>2025年9月30日</w:t>
            </w:r>
          </w:p>
        </w:tc>
      </w:tr>
    </w:tbl>
    <w:p>
      <w:pPr>
        <w:spacing w:line="360" w:lineRule="auto"/>
        <w:ind w:firstLine="1260" w:firstLineChars="600"/>
        <w:rPr>
          <w:rFonts w:ascii="宋体" w:hAnsi="宋体"/>
          <w:b/>
          <w:bCs/>
          <w:spacing w:val="8"/>
          <w:sz w:val="30"/>
        </w:rPr>
      </w:pPr>
    </w:p>
    <w:p>
      <w:pPr>
        <w:rPr>
          <w:rFonts w:hAnsi="宋体"/>
        </w:rPr>
      </w:pPr>
      <w:bookmarkStart w:id="0" w:name="_Hlk493235846"/>
    </w:p>
    <w:p>
      <w:pPr>
        <w:rPr>
          <w:rFonts w:hAnsi="宋体"/>
        </w:rPr>
      </w:pPr>
    </w:p>
    <w:p>
      <w:pPr>
        <w:rPr>
          <w:rFonts w:hAnsi="宋体"/>
        </w:rPr>
      </w:pPr>
    </w:p>
    <w:p>
      <w:pPr>
        <w:rPr>
          <w:rFonts w:hAnsi="宋体"/>
        </w:rPr>
      </w:pPr>
    </w:p>
    <w:p>
      <w:pPr>
        <w:rPr>
          <w:rFonts w:hAnsi="宋体"/>
        </w:rPr>
      </w:pPr>
    </w:p>
    <w:p>
      <w:pPr>
        <w:rPr>
          <w:rFonts w:hAnsi="宋体"/>
        </w:rPr>
      </w:pPr>
    </w:p>
    <w:p>
      <w:pPr>
        <w:rPr>
          <w:rFonts w:hAnsi="宋体"/>
        </w:rPr>
      </w:pPr>
    </w:p>
    <w:p>
      <w:pPr>
        <w:rPr>
          <w:rFonts w:hAnsi="宋体"/>
        </w:rPr>
      </w:pPr>
    </w:p>
    <w:p>
      <w:pPr>
        <w:rPr>
          <w:rFonts w:hAnsi="宋体"/>
        </w:rPr>
      </w:pPr>
    </w:p>
    <w:p>
      <w:pPr>
        <w:rPr>
          <w:rFonts w:hAnsi="宋体"/>
        </w:rPr>
      </w:pPr>
    </w:p>
    <w:p>
      <w:pPr>
        <w:jc w:val="center"/>
        <w:rPr>
          <w:rFonts w:asciiTheme="minorEastAsia" w:eastAsiaTheme="minorEastAsia" w:hAnsiTheme="minorEastAsia"/>
          <w:b/>
          <w:sz w:val="28"/>
          <w:szCs w:val="28"/>
        </w:rPr>
      </w:pPr>
      <w:bookmarkEnd w:id="0"/>
      <w:bookmarkStart w:id="1" w:name="_Hlk493236729"/>
      <w:r>
        <w:rPr>
          <w:rFonts w:asciiTheme="minorEastAsia" w:eastAsiaTheme="minorEastAsia" w:hAnsiTheme="minorEastAsia" w:hint="eastAsia"/>
          <w:b/>
          <w:sz w:val="28"/>
          <w:szCs w:val="28"/>
        </w:rPr>
        <w:t>发布、修订记录</w:t>
      </w:r>
    </w:p>
    <w:tbl>
      <w:tblPr>
        <w:tblStyle w:val="TableNormal"/>
        <w:tblpPr w:leftFromText="180" w:rightFromText="180" w:vertAnchor="text" w:horzAnchor="margin" w:tblpY="59"/>
        <w:tblW w:w="928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1479"/>
        <w:gridCol w:w="1550"/>
        <w:gridCol w:w="1459"/>
        <w:gridCol w:w="1566"/>
        <w:gridCol w:w="2118"/>
      </w:tblGrid>
      <w:tr>
        <w:tblPrEx>
          <w:tblW w:w="9288" w:type="dxa"/>
          <w:tblInd w:w="0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6" w:type="dxa"/>
            <w:vAlign w:val="center"/>
          </w:tcPr>
          <w:p>
            <w:pPr>
              <w:spacing w:line="360" w:lineRule="auto"/>
              <w:jc w:val="center"/>
              <w:rPr>
                <w:rFonts w:ascii="宋体"/>
              </w:rPr>
            </w:pPr>
            <w:bookmarkStart w:id="2" w:name="_Hlk493234539"/>
            <w:r>
              <w:rPr>
                <w:rFonts w:ascii="宋体" w:hAnsi="宋体" w:hint="eastAsia"/>
              </w:rPr>
              <w:t>版本号</w:t>
            </w:r>
          </w:p>
        </w:tc>
        <w:tc>
          <w:tcPr>
            <w:tcW w:w="1479" w:type="dxa"/>
            <w:vAlign w:val="center"/>
          </w:tcPr>
          <w:p>
            <w:pPr>
              <w:spacing w:line="360" w:lineRule="auto"/>
              <w:jc w:val="center"/>
              <w:rPr>
                <w:rFonts w:ascii="宋体"/>
              </w:rPr>
            </w:pPr>
            <w:r>
              <w:rPr>
                <w:rFonts w:ascii="宋体" w:hAnsi="宋体" w:hint="eastAsia"/>
              </w:rPr>
              <w:t>发布日期</w:t>
            </w:r>
          </w:p>
        </w:tc>
        <w:tc>
          <w:tcPr>
            <w:tcW w:w="1550" w:type="dxa"/>
            <w:vAlign w:val="center"/>
          </w:tcPr>
          <w:p>
            <w:pPr>
              <w:spacing w:line="360" w:lineRule="auto"/>
              <w:jc w:val="center"/>
              <w:rPr>
                <w:rFonts w:ascii="宋体"/>
              </w:rPr>
            </w:pPr>
            <w:r>
              <w:rPr>
                <w:rFonts w:ascii="宋体" w:hAnsi="宋体" w:hint="eastAsia"/>
              </w:rPr>
              <w:t>修改人/</w:t>
            </w:r>
          </w:p>
          <w:p>
            <w:pPr>
              <w:spacing w:line="360" w:lineRule="auto"/>
              <w:jc w:val="center"/>
              <w:rPr>
                <w:rFonts w:ascii="宋体"/>
              </w:rPr>
            </w:pPr>
            <w:r>
              <w:rPr>
                <w:rFonts w:ascii="宋体" w:hAnsi="宋体" w:hint="eastAsia"/>
              </w:rPr>
              <w:t>修改日期</w:t>
            </w:r>
          </w:p>
        </w:tc>
        <w:tc>
          <w:tcPr>
            <w:tcW w:w="1459" w:type="dxa"/>
            <w:vAlign w:val="center"/>
          </w:tcPr>
          <w:p>
            <w:pPr>
              <w:spacing w:line="360" w:lineRule="auto"/>
              <w:jc w:val="center"/>
              <w:rPr>
                <w:rFonts w:ascii="宋体"/>
              </w:rPr>
            </w:pPr>
            <w:r>
              <w:rPr>
                <w:rFonts w:ascii="宋体" w:hAnsi="宋体" w:hint="eastAsia"/>
              </w:rPr>
              <w:t>审核人/</w:t>
            </w:r>
          </w:p>
          <w:p>
            <w:pPr>
              <w:spacing w:line="360" w:lineRule="auto"/>
              <w:jc w:val="center"/>
              <w:rPr>
                <w:rFonts w:ascii="宋体"/>
              </w:rPr>
            </w:pPr>
            <w:r>
              <w:rPr>
                <w:rFonts w:ascii="宋体" w:hAnsi="宋体" w:hint="eastAsia"/>
              </w:rPr>
              <w:t>审核日期</w:t>
            </w:r>
          </w:p>
        </w:tc>
        <w:tc>
          <w:tcPr>
            <w:tcW w:w="1566" w:type="dxa"/>
            <w:vAlign w:val="center"/>
          </w:tcPr>
          <w:p>
            <w:pPr>
              <w:spacing w:line="360" w:lineRule="auto"/>
              <w:jc w:val="center"/>
              <w:rPr>
                <w:rFonts w:ascii="宋体"/>
              </w:rPr>
            </w:pPr>
            <w:r>
              <w:rPr>
                <w:rFonts w:ascii="宋体" w:hAnsi="宋体" w:hint="eastAsia"/>
              </w:rPr>
              <w:t>批准人/</w:t>
            </w:r>
          </w:p>
          <w:p>
            <w:pPr>
              <w:spacing w:line="360" w:lineRule="auto"/>
              <w:jc w:val="center"/>
              <w:rPr>
                <w:rFonts w:ascii="宋体"/>
              </w:rPr>
            </w:pPr>
            <w:r>
              <w:rPr>
                <w:rFonts w:ascii="宋体" w:hAnsi="宋体" w:hint="eastAsia"/>
              </w:rPr>
              <w:t>批准日期</w:t>
            </w:r>
          </w:p>
        </w:tc>
        <w:tc>
          <w:tcPr>
            <w:tcW w:w="2118" w:type="dxa"/>
            <w:vAlign w:val="center"/>
          </w:tcPr>
          <w:p>
            <w:pPr>
              <w:spacing w:line="360" w:lineRule="auto"/>
              <w:jc w:val="center"/>
              <w:rPr>
                <w:rFonts w:ascii="宋体"/>
              </w:rPr>
            </w:pPr>
            <w:r>
              <w:rPr>
                <w:rFonts w:ascii="宋体" w:hAnsi="宋体" w:hint="eastAsia"/>
              </w:rPr>
              <w:t>备   注</w:t>
            </w: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  <w:r>
              <w:rPr>
                <w:rFonts w:ascii="宋体" w:cs="宋体" w:hint="eastAsia"/>
                <w:szCs w:val="22"/>
                <w:lang w:val="en-US" w:eastAsia="zh-CN"/>
              </w:rPr>
              <w:t>V1.0</w:t>
            </w:r>
          </w:p>
        </w:tc>
        <w:tc>
          <w:tcPr>
            <w:tcW w:w="1479" w:type="dxa"/>
            <w:vAlign w:val="center"/>
          </w:tcPr>
          <w:p>
            <w:pPr>
              <w:spacing w:after="0" w:afterLines="0"/>
              <w:jc w:val="center"/>
              <w:rPr>
                <w:rFonts w:ascii="宋体-PUA" w:eastAsia="宋体-PUA"/>
              </w:rPr>
            </w:pPr>
            <w:r>
              <w:rPr>
                <w:rFonts w:ascii="宋体" w:hAnsi="宋体" w:cs="宋体" w:hint="eastAsia"/>
              </w:rPr>
              <w:t>2025</w:t>
            </w:r>
            <w:r>
              <w:rPr>
                <w:rFonts w:ascii="宋体" w:hAnsi="宋体" w:cs="宋体" w:hint="eastAsia"/>
                <w:lang w:val="en-US" w:eastAsia="zh-CN"/>
              </w:rPr>
              <w:t>.9.30</w:t>
            </w:r>
          </w:p>
        </w:tc>
        <w:tc>
          <w:tcPr>
            <w:tcW w:w="1550" w:type="dxa"/>
            <w:vAlign w:val="center"/>
          </w:tcPr>
          <w:p>
            <w:pPr>
              <w:spacing w:after="0" w:afterLines="0"/>
              <w:jc w:val="center"/>
              <w:rPr>
                <w:rFonts w:ascii="宋体-PUA" w:eastAsia="宋体-PUA"/>
              </w:rPr>
            </w:pPr>
            <w:r>
              <w:rPr>
                <w:rFonts w:ascii="宋体" w:hAnsi="宋体" w:cs="宋体" w:hint="eastAsia"/>
                <w:lang w:eastAsia="zh-CN"/>
              </w:rPr>
              <w:t>唐旭</w:t>
            </w:r>
            <w:r>
              <w:rPr>
                <w:rFonts w:ascii="宋体" w:hAnsi="宋体" w:cs="宋体" w:hint="eastAsia"/>
                <w:lang w:val="en-US" w:eastAsia="zh-CN"/>
              </w:rPr>
              <w:t>/</w:t>
            </w:r>
            <w:r>
              <w:rPr>
                <w:rFonts w:ascii="宋体" w:hAnsi="宋体" w:cs="宋体" w:hint="eastAsia"/>
              </w:rPr>
              <w:t>2025</w:t>
            </w:r>
            <w:r>
              <w:rPr>
                <w:rFonts w:ascii="宋体" w:hAnsi="宋体" w:cs="宋体" w:hint="eastAsia"/>
                <w:lang w:val="en-US" w:eastAsia="zh-CN"/>
              </w:rPr>
              <w:t>.9.30</w:t>
            </w:r>
          </w:p>
        </w:tc>
        <w:tc>
          <w:tcPr>
            <w:tcW w:w="1459" w:type="dxa"/>
            <w:vAlign w:val="center"/>
          </w:tcPr>
          <w:p>
            <w:pPr>
              <w:spacing w:after="0" w:afterLines="0"/>
              <w:jc w:val="center"/>
              <w:rPr>
                <w:rFonts w:ascii="宋体-PUA" w:eastAsia="宋体-PUA"/>
              </w:rPr>
            </w:pPr>
            <w:r>
              <w:rPr>
                <w:rFonts w:ascii="宋体" w:hAnsi="宋体" w:cs="宋体" w:hint="eastAsia"/>
                <w:lang w:eastAsia="zh-CN"/>
              </w:rPr>
              <w:t>吴克</w:t>
            </w:r>
            <w:r>
              <w:rPr>
                <w:rFonts w:ascii="宋体" w:hAnsi="宋体" w:cs="宋体" w:hint="eastAsia"/>
                <w:lang w:val="en-US" w:eastAsia="zh-CN"/>
              </w:rPr>
              <w:t>/</w:t>
            </w:r>
            <w:r>
              <w:rPr>
                <w:rFonts w:ascii="宋体" w:hAnsi="宋体" w:cs="宋体" w:hint="eastAsia"/>
              </w:rPr>
              <w:t>2025</w:t>
            </w:r>
            <w:r>
              <w:rPr>
                <w:rFonts w:ascii="宋体" w:hAnsi="宋体" w:cs="宋体" w:hint="eastAsia"/>
                <w:lang w:val="en-US" w:eastAsia="zh-CN"/>
              </w:rPr>
              <w:t>.9.30</w:t>
            </w:r>
          </w:p>
        </w:tc>
        <w:tc>
          <w:tcPr>
            <w:tcW w:w="1566" w:type="dxa"/>
            <w:vAlign w:val="center"/>
          </w:tcPr>
          <w:p>
            <w:pPr>
              <w:spacing w:after="0" w:afterLines="0"/>
              <w:jc w:val="center"/>
              <w:rPr>
                <w:rFonts w:ascii="宋体-PUA" w:eastAsia="宋体-PUA"/>
              </w:rPr>
            </w:pPr>
            <w:r>
              <w:rPr>
                <w:rFonts w:ascii="宋体" w:hAnsi="宋体" w:cs="宋体" w:hint="eastAsia"/>
                <w:lang w:val="en-US" w:eastAsia="zh-CN"/>
              </w:rPr>
              <w:t>陈潮华/</w:t>
            </w:r>
            <w:r>
              <w:rPr>
                <w:rFonts w:ascii="宋体" w:hAnsi="宋体" w:cs="宋体" w:hint="eastAsia"/>
              </w:rPr>
              <w:t>2025</w:t>
            </w:r>
            <w:r>
              <w:rPr>
                <w:rFonts w:ascii="宋体" w:hAnsi="宋体" w:cs="宋体" w:hint="eastAsia"/>
                <w:lang w:val="en-US" w:eastAsia="zh-CN"/>
              </w:rPr>
              <w:t>.9.30</w:t>
            </w:r>
          </w:p>
        </w:tc>
        <w:tc>
          <w:tcPr>
            <w:tcW w:w="2118" w:type="dxa"/>
            <w:vAlign w:val="center"/>
          </w:tcPr>
          <w:p>
            <w:pPr>
              <w:spacing w:after="0" w:afterLines="0"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hint="eastAsia"/>
                <w:lang w:eastAsia="zh-CN"/>
              </w:rPr>
              <w:t>修订</w:t>
            </w: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0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</w:tr>
    </w:tbl>
    <w:p>
      <w:pPr>
        <w:rPr>
          <w:b/>
          <w:bCs/>
        </w:rPr>
      </w:pPr>
      <w:bookmarkEnd w:id="1"/>
      <w:bookmarkEnd w:id="2"/>
    </w:p>
    <w:p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48" w:after="48" w:line="360" w:lineRule="auto"/>
        <w:jc w:val="center"/>
        <w:rPr>
          <w:rFonts w:asciiTheme="minorEastAsia" w:eastAsiaTheme="minorEastAsia" w:hAnsiTheme="minorEastAsia" w:cs="宋体"/>
          <w:b/>
          <w:bCs/>
          <w:sz w:val="44"/>
          <w:szCs w:val="44"/>
        </w:rPr>
      </w:pPr>
      <w:bookmarkStart w:id="3" w:name="_Hlk493236379"/>
      <w:bookmarkStart w:id="4" w:name="_GoBack"/>
      <w:bookmarkEnd w:id="4"/>
      <w:r>
        <w:rPr>
          <w:rFonts w:asciiTheme="minorEastAsia" w:eastAsiaTheme="minorEastAsia" w:hAnsiTheme="minorEastAsia" w:cs="宋体" w:hint="eastAsia"/>
          <w:b/>
          <w:bCs/>
          <w:sz w:val="44"/>
          <w:szCs w:val="44"/>
        </w:rPr>
        <w:t>目  录</w:t>
      </w:r>
      <w:bookmarkEnd w:id="3"/>
    </w:p>
    <w:p>
      <w:pPr>
        <w:pStyle w:val="TOC1"/>
        <w:rPr>
          <w:rFonts w:asciiTheme="minorHAnsi" w:eastAsiaTheme="minorEastAsia" w:hAnsiTheme="minorHAnsi" w:cstheme="minorBidi"/>
          <w:szCs w:val="22"/>
        </w:rPr>
      </w:pPr>
      <w:r>
        <w:rPr>
          <w:rFonts w:asciiTheme="minorEastAsia" w:eastAsiaTheme="minorEastAsia" w:hAnsiTheme="minorEastAsia"/>
          <w:b/>
          <w:bCs/>
        </w:rPr>
        <w:fldChar w:fldCharType="begin"/>
      </w:r>
      <w:r>
        <w:rPr>
          <w:rFonts w:asciiTheme="minorEastAsia" w:eastAsiaTheme="minorEastAsia" w:hAnsiTheme="minorEastAsia"/>
          <w:b/>
          <w:bCs/>
        </w:rPr>
        <w:instrText xml:space="preserve"> TOC \o "1-3" \h \z \u </w:instrText>
      </w:r>
      <w:r>
        <w:rPr>
          <w:rFonts w:asciiTheme="minorEastAsia" w:eastAsiaTheme="minorEastAsia" w:hAnsiTheme="minorEastAsia"/>
          <w:b/>
          <w:bCs/>
        </w:rPr>
        <w:fldChar w:fldCharType="separate"/>
      </w:r>
      <w:r>
        <w:fldChar w:fldCharType="begin"/>
      </w:r>
      <w:r>
        <w:instrText xml:space="preserve"> HYPERLINK \l "_Toc494266686" </w:instrText>
      </w:r>
      <w:r>
        <w:fldChar w:fldCharType="separate"/>
      </w:r>
      <w:r>
        <w:rPr>
          <w:rStyle w:val="Hyperlink"/>
          <w:rFonts w:ascii="宋体" w:hAnsi="宋体"/>
        </w:rPr>
        <w:t>一、服务管理方针</w:t>
      </w:r>
      <w:r>
        <w:tab/>
      </w:r>
      <w:r>
        <w:fldChar w:fldCharType="begin"/>
      </w:r>
      <w:r>
        <w:instrText xml:space="preserve"> PAGEREF _Toc494266686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>
      <w:pPr>
        <w:pStyle w:val="TOC1"/>
        <w:rPr>
          <w:rFonts w:asciiTheme="minorHAnsi" w:eastAsiaTheme="minorEastAsia" w:hAnsiTheme="minorHAnsi" w:cstheme="minorBidi"/>
          <w:szCs w:val="22"/>
        </w:rPr>
      </w:pPr>
      <w:r>
        <w:fldChar w:fldCharType="begin"/>
      </w:r>
      <w:r>
        <w:instrText xml:space="preserve"> HYPERLINK \l "_Toc494266687" </w:instrText>
      </w:r>
      <w:r>
        <w:fldChar w:fldCharType="separate"/>
      </w:r>
      <w:r>
        <w:rPr>
          <w:rStyle w:val="Hyperlink"/>
        </w:rPr>
        <w:t>二、</w:t>
      </w:r>
      <w:r>
        <w:rPr>
          <w:rStyle w:val="Hyperlink"/>
          <w:rFonts w:ascii="宋体" w:hAnsi="宋体"/>
        </w:rPr>
        <w:t>服务管理目标</w:t>
      </w:r>
      <w:r>
        <w:tab/>
      </w:r>
      <w:r>
        <w:fldChar w:fldCharType="begin"/>
      </w:r>
      <w:r>
        <w:instrText xml:space="preserve"> PAGEREF _Toc494266687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>
      <w:pPr>
        <w:pStyle w:val="TOC1"/>
        <w:rPr>
          <w:rFonts w:asciiTheme="minorHAnsi" w:eastAsiaTheme="minorEastAsia" w:hAnsiTheme="minorHAnsi" w:cstheme="minorBidi"/>
          <w:szCs w:val="22"/>
        </w:rPr>
      </w:pPr>
      <w:r>
        <w:fldChar w:fldCharType="begin"/>
      </w:r>
      <w:r>
        <w:instrText xml:space="preserve"> HYPERLINK \l "_Toc494266688" </w:instrText>
      </w:r>
      <w:r>
        <w:fldChar w:fldCharType="separate"/>
      </w:r>
      <w:r>
        <w:rPr>
          <w:rStyle w:val="Hyperlink"/>
        </w:rPr>
        <w:t>三、人员达成指标</w:t>
      </w:r>
      <w:r>
        <w:tab/>
      </w:r>
      <w:r>
        <w:fldChar w:fldCharType="begin"/>
      </w:r>
      <w:r>
        <w:instrText xml:space="preserve"> PAGEREF _Toc494266688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>
      <w:pPr>
        <w:pStyle w:val="TOC1"/>
        <w:rPr>
          <w:rFonts w:asciiTheme="minorHAnsi" w:eastAsiaTheme="minorEastAsia" w:hAnsiTheme="minorHAnsi" w:cstheme="minorBidi"/>
          <w:szCs w:val="22"/>
        </w:rPr>
      </w:pPr>
      <w:r>
        <w:fldChar w:fldCharType="begin"/>
      </w:r>
      <w:r>
        <w:instrText xml:space="preserve"> HYPERLINK \l "_Toc494266689" </w:instrText>
      </w:r>
      <w:r>
        <w:fldChar w:fldCharType="separate"/>
      </w:r>
      <w:r>
        <w:rPr>
          <w:rStyle w:val="Hyperlink"/>
        </w:rPr>
        <w:t>四、资源达成指标</w:t>
      </w:r>
      <w:r>
        <w:tab/>
      </w:r>
      <w:r>
        <w:fldChar w:fldCharType="begin"/>
      </w:r>
      <w:r>
        <w:instrText xml:space="preserve"> PAGEREF _Toc494266689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>
      <w:pPr>
        <w:pStyle w:val="TOC1"/>
        <w:rPr>
          <w:rFonts w:asciiTheme="minorHAnsi" w:eastAsiaTheme="minorEastAsia" w:hAnsiTheme="minorHAnsi" w:cstheme="minorBidi"/>
          <w:szCs w:val="22"/>
        </w:rPr>
      </w:pPr>
      <w:r>
        <w:fldChar w:fldCharType="begin"/>
      </w:r>
      <w:r>
        <w:instrText xml:space="preserve"> HYPERLINK \l "_Toc494266690" </w:instrText>
      </w:r>
      <w:r>
        <w:fldChar w:fldCharType="separate"/>
      </w:r>
      <w:r>
        <w:rPr>
          <w:rStyle w:val="Hyperlink"/>
        </w:rPr>
        <w:t>五、技术达成指标</w:t>
      </w:r>
      <w:r>
        <w:tab/>
      </w:r>
      <w:r>
        <w:fldChar w:fldCharType="begin"/>
      </w:r>
      <w:r>
        <w:instrText xml:space="preserve"> PAGEREF _Toc494266690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>
      <w:pPr>
        <w:pStyle w:val="TOC1"/>
        <w:rPr>
          <w:rFonts w:asciiTheme="minorHAnsi" w:eastAsiaTheme="minorEastAsia" w:hAnsiTheme="minorHAnsi" w:cstheme="minorBidi"/>
          <w:szCs w:val="22"/>
        </w:rPr>
      </w:pPr>
      <w:r>
        <w:fldChar w:fldCharType="begin"/>
      </w:r>
      <w:r>
        <w:instrText xml:space="preserve"> HYPERLINK \l "_Toc494266691" </w:instrText>
      </w:r>
      <w:r>
        <w:fldChar w:fldCharType="separate"/>
      </w:r>
      <w:r>
        <w:rPr>
          <w:rStyle w:val="Hyperlink"/>
        </w:rPr>
        <w:t>六、过程达成指标</w:t>
      </w:r>
      <w:r>
        <w:tab/>
      </w:r>
      <w:r>
        <w:fldChar w:fldCharType="begin"/>
      </w:r>
      <w:r>
        <w:instrText xml:space="preserve"> PAGEREF _Toc494266691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>
      <w:pPr>
        <w:pStyle w:val="TOC1"/>
        <w:rPr>
          <w:rFonts w:asciiTheme="minorHAnsi" w:eastAsiaTheme="minorEastAsia" w:hAnsiTheme="minorHAnsi" w:cstheme="minorBidi"/>
          <w:szCs w:val="22"/>
        </w:rPr>
      </w:pPr>
      <w:r>
        <w:fldChar w:fldCharType="begin"/>
      </w:r>
      <w:r>
        <w:instrText xml:space="preserve"> HYPERLINK \l "_Toc494266692" </w:instrText>
      </w:r>
      <w:r>
        <w:fldChar w:fldCharType="separate"/>
      </w:r>
      <w:r>
        <w:rPr>
          <w:rStyle w:val="Hyperlink"/>
        </w:rPr>
        <w:t>七、质量达成指标</w:t>
      </w:r>
      <w:r>
        <w:tab/>
      </w:r>
      <w:r>
        <w:t>6</w:t>
      </w:r>
      <w:r>
        <w:fldChar w:fldCharType="end"/>
      </w:r>
    </w:p>
    <w:p>
      <w:pPr>
        <w:rPr>
          <w:b/>
          <w:bCs/>
        </w:rPr>
      </w:pPr>
      <w:r>
        <w:rPr>
          <w:rFonts w:asciiTheme="minorEastAsia" w:eastAsiaTheme="minorEastAsia" w:hAnsiTheme="minorEastAsia"/>
          <w:b/>
          <w:bCs/>
        </w:rPr>
        <w:fldChar w:fldCharType="end"/>
      </w: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widowControl/>
        <w:jc w:val="left"/>
        <w:rPr>
          <w:rFonts w:ascii="Times New Roman" w:hAnsi="Times New Roman"/>
          <w:b/>
          <w:bCs/>
          <w:kern w:val="44"/>
          <w:sz w:val="20"/>
          <w:szCs w:val="44"/>
        </w:rPr>
      </w:pPr>
    </w:p>
    <w:p>
      <w:pPr>
        <w:pStyle w:val="Heading1"/>
        <w:pageBreakBefore/>
        <w:numPr>
          <w:ilvl w:val="0"/>
          <w:numId w:val="0"/>
        </w:numPr>
        <w:rPr>
          <w:rFonts w:ascii="宋体" w:hAnsi="宋体" w:hint="eastAsia"/>
          <w:sz w:val="28"/>
          <w:szCs w:val="24"/>
        </w:rPr>
        <w:sectPr>
          <w:headerReference w:type="default" r:id="rId6"/>
          <w:headerReference w:type="first" r:id="rId7"/>
          <w:pgSz w:w="11906" w:h="16838"/>
          <w:pgMar w:top="851" w:right="1800" w:bottom="993" w:left="1800" w:header="851" w:footer="992" w:gutter="0"/>
          <w:pgNumType w:start="0"/>
          <w:cols w:num="1" w:space="720"/>
          <w:titlePg/>
          <w:docGrid w:type="lines" w:linePitch="312" w:charSpace="0"/>
        </w:sectPr>
      </w:pPr>
      <w:bookmarkStart w:id="5" w:name="_Toc280096040"/>
      <w:bookmarkStart w:id="6" w:name="_Toc25725"/>
      <w:bookmarkStart w:id="7" w:name="_Toc493236468"/>
      <w:bookmarkStart w:id="8" w:name="_Toc493237461"/>
      <w:bookmarkStart w:id="9" w:name="_Toc494266686"/>
    </w:p>
    <w:p>
      <w:pPr>
        <w:pStyle w:val="Heading1"/>
        <w:pageBreakBefore/>
        <w:numPr>
          <w:ilvl w:val="0"/>
          <w:numId w:val="0"/>
        </w:numPr>
        <w:rPr>
          <w:sz w:val="28"/>
          <w:szCs w:val="28"/>
        </w:rPr>
      </w:pPr>
      <w:r>
        <w:rPr>
          <w:rFonts w:ascii="宋体" w:hAnsi="宋体" w:hint="eastAsia"/>
          <w:sz w:val="28"/>
          <w:szCs w:val="24"/>
        </w:rPr>
        <w:t>一</w:t>
      </w:r>
      <w:bookmarkEnd w:id="5"/>
      <w:r>
        <w:rPr>
          <w:rFonts w:ascii="宋体" w:hAnsi="宋体" w:hint="eastAsia"/>
          <w:sz w:val="28"/>
          <w:szCs w:val="24"/>
        </w:rPr>
        <w:t>、</w:t>
      </w:r>
      <w:bookmarkEnd w:id="6"/>
      <w:r>
        <w:rPr>
          <w:rFonts w:ascii="宋体" w:hAnsi="宋体" w:hint="eastAsia"/>
          <w:sz w:val="28"/>
          <w:szCs w:val="24"/>
        </w:rPr>
        <w:t>服务管理方针</w:t>
      </w:r>
      <w:bookmarkEnd w:id="7"/>
      <w:bookmarkEnd w:id="8"/>
      <w:bookmarkEnd w:id="9"/>
    </w:p>
    <w:p>
      <w:pPr>
        <w:spacing w:line="360" w:lineRule="auto"/>
        <w:ind w:firstLine="420" w:firstLineChars="200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1、提高公司自身的IT运维管理水平；</w:t>
      </w:r>
    </w:p>
    <w:p>
      <w:pPr>
        <w:spacing w:line="360" w:lineRule="auto"/>
        <w:ind w:firstLine="420" w:firstLineChars="200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2、不断提高公司IT运维服务能力，提升用户满意度；</w:t>
      </w:r>
    </w:p>
    <w:p>
      <w:pPr>
        <w:spacing w:line="360" w:lineRule="auto"/>
        <w:ind w:firstLine="420" w:firstLineChars="200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3、实现IT运维服务业务收入持续增长。</w:t>
      </w:r>
    </w:p>
    <w:p>
      <w:pPr>
        <w:pStyle w:val="Heading1"/>
        <w:numPr>
          <w:ilvl w:val="0"/>
          <w:numId w:val="0"/>
        </w:numPr>
        <w:ind w:firstLine="309" w:firstLineChars="147"/>
        <w:rPr>
          <w:sz w:val="21"/>
          <w:szCs w:val="24"/>
        </w:rPr>
      </w:pPr>
      <w:bookmarkStart w:id="10" w:name="_Toc493237462"/>
      <w:bookmarkStart w:id="11" w:name="_Toc494266687"/>
      <w:bookmarkStart w:id="12" w:name="_Toc493236469"/>
      <w:r>
        <w:rPr>
          <w:rStyle w:val="1"/>
          <w:rFonts w:hint="eastAsia"/>
          <w:b w:val="0"/>
          <w:bCs w:val="0"/>
          <w:sz w:val="28"/>
          <w:szCs w:val="24"/>
        </w:rPr>
        <w:t>二、</w:t>
      </w:r>
      <w:r>
        <w:rPr>
          <w:rFonts w:ascii="宋体" w:hAnsi="宋体" w:hint="eastAsia"/>
          <w:sz w:val="28"/>
          <w:szCs w:val="24"/>
        </w:rPr>
        <w:t>服务管理目标</w:t>
      </w:r>
      <w:bookmarkEnd w:id="10"/>
      <w:bookmarkEnd w:id="11"/>
      <w:bookmarkEnd w:id="12"/>
    </w:p>
    <w:p>
      <w:pPr>
        <w:numPr>
          <w:ilvl w:val="0"/>
          <w:numId w:val="2"/>
        </w:numPr>
        <w:spacing w:line="360" w:lineRule="auto"/>
        <w:ind w:firstLine="480"/>
        <w:rPr>
          <w:rFonts w:ascii="宋体" w:hAnsi="宋体"/>
          <w:sz w:val="24"/>
          <w:szCs w:val="24"/>
        </w:rPr>
      </w:pPr>
      <w:bookmarkStart w:id="13" w:name="_Toc5373"/>
      <w:r>
        <w:rPr>
          <w:rFonts w:ascii="宋体" w:hAnsi="宋体" w:hint="eastAsia"/>
          <w:sz w:val="24"/>
          <w:szCs w:val="24"/>
        </w:rPr>
        <w:t>用户满意率≥90％</w:t>
      </w:r>
    </w:p>
    <w:p>
      <w:pPr>
        <w:spacing w:line="360" w:lineRule="auto"/>
        <w:ind w:left="480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2、服务报告及时率≥9</w:t>
      </w:r>
      <w:r>
        <w:rPr>
          <w:rFonts w:ascii="宋体" w:hAnsi="宋体"/>
          <w:sz w:val="24"/>
          <w:szCs w:val="24"/>
        </w:rPr>
        <w:t>5</w:t>
      </w:r>
      <w:r>
        <w:rPr>
          <w:rFonts w:ascii="宋体" w:hAnsi="宋体" w:hint="eastAsia"/>
          <w:sz w:val="24"/>
          <w:szCs w:val="24"/>
        </w:rPr>
        <w:t>％</w:t>
      </w:r>
    </w:p>
    <w:p>
      <w:pPr>
        <w:spacing w:line="360" w:lineRule="auto"/>
        <w:ind w:left="480"/>
        <w:rPr>
          <w:rFonts w:ascii="宋体" w:hAnsi="宋体"/>
          <w:color w:val="FF0000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3、服务级别达成率≥90％</w:t>
      </w:r>
    </w:p>
    <w:p>
      <w:pPr>
        <w:pStyle w:val="Heading1"/>
        <w:numPr>
          <w:ilvl w:val="0"/>
          <w:numId w:val="0"/>
        </w:numPr>
        <w:ind w:firstLine="309" w:firstLineChars="147"/>
        <w:rPr>
          <w:rStyle w:val="1"/>
          <w:b/>
          <w:bCs w:val="0"/>
          <w:sz w:val="28"/>
          <w:szCs w:val="24"/>
        </w:rPr>
      </w:pPr>
      <w:bookmarkStart w:id="14" w:name="_Toc493237463"/>
      <w:bookmarkStart w:id="15" w:name="_Toc493236470"/>
      <w:bookmarkStart w:id="16" w:name="_Toc494266688"/>
      <w:r>
        <w:rPr>
          <w:rStyle w:val="1"/>
          <w:rFonts w:hint="eastAsia"/>
          <w:b/>
          <w:bCs w:val="0"/>
          <w:sz w:val="28"/>
          <w:szCs w:val="24"/>
        </w:rPr>
        <w:t>三、人员</w:t>
      </w:r>
      <w:bookmarkEnd w:id="13"/>
      <w:r>
        <w:rPr>
          <w:rStyle w:val="1"/>
          <w:rFonts w:hint="eastAsia"/>
          <w:b/>
          <w:bCs w:val="0"/>
          <w:sz w:val="28"/>
          <w:szCs w:val="24"/>
        </w:rPr>
        <w:t>达成指标</w:t>
      </w:r>
      <w:bookmarkEnd w:id="14"/>
      <w:bookmarkEnd w:id="15"/>
      <w:bookmarkEnd w:id="16"/>
    </w:p>
    <w:tbl>
      <w:tblPr>
        <w:tblStyle w:val="TableNormal"/>
        <w:tblW w:w="10774" w:type="dxa"/>
        <w:tblInd w:w="-11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"/>
        <w:gridCol w:w="1277"/>
        <w:gridCol w:w="900"/>
        <w:gridCol w:w="1226"/>
        <w:gridCol w:w="1134"/>
        <w:gridCol w:w="992"/>
        <w:gridCol w:w="992"/>
        <w:gridCol w:w="1134"/>
        <w:gridCol w:w="2127"/>
      </w:tblGrid>
      <w:tr>
        <w:tblPrEx>
          <w:tblW w:w="10774" w:type="dxa"/>
          <w:tblInd w:w="-1168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0"/>
        </w:trPr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  <w:lang w:eastAsia="zh-CN"/>
              </w:rPr>
              <w:t>类别</w:t>
            </w: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　</w:t>
            </w:r>
          </w:p>
        </w:tc>
        <w:tc>
          <w:tcPr>
            <w:tcW w:w="12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目标名称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目标值</w:t>
            </w:r>
          </w:p>
        </w:tc>
        <w:tc>
          <w:tcPr>
            <w:tcW w:w="12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数据来源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负责人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上报频次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填报人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上报形式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计算方法</w:t>
            </w:r>
          </w:p>
        </w:tc>
      </w:tr>
      <w:tr>
        <w:tblPrEx>
          <w:tblW w:w="10774" w:type="dxa"/>
          <w:tblInd w:w="-1168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/>
        </w:trPr>
        <w:tc>
          <w:tcPr>
            <w:tcW w:w="99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人员</w:t>
            </w:r>
          </w:p>
        </w:tc>
        <w:tc>
          <w:tcPr>
            <w:tcW w:w="1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人员储备率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≥</w:t>
            </w:r>
            <w:r>
              <w:rPr>
                <w:rFonts w:ascii="宋体" w:hAnsi="宋体" w:cs="宋体" w:hint="eastAsia"/>
                <w:kern w:val="0"/>
                <w:sz w:val="20"/>
              </w:rPr>
              <w:t>10%</w:t>
            </w: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《运维人员储备计划》</w:t>
            </w:r>
            <w:r>
              <w:rPr>
                <w:rFonts w:ascii="宋体" w:hAnsi="宋体" w:cs="宋体" w:hint="eastAsia"/>
                <w:kern w:val="0"/>
                <w:sz w:val="20"/>
              </w:rPr>
              <w:br/>
            </w:r>
            <w:r>
              <w:rPr>
                <w:rFonts w:ascii="宋体" w:hAnsi="宋体" w:cs="宋体" w:hint="eastAsia"/>
                <w:kern w:val="0"/>
                <w:sz w:val="20"/>
              </w:rPr>
              <w:t>《201</w:t>
            </w:r>
            <w:r>
              <w:rPr>
                <w:rFonts w:ascii="宋体" w:hAnsi="宋体" w:cs="宋体" w:hint="eastAsia"/>
                <w:kern w:val="0"/>
                <w:sz w:val="20"/>
                <w:lang w:val="en-US" w:eastAsia="zh-CN"/>
              </w:rPr>
              <w:t>8</w:t>
            </w:r>
            <w:r>
              <w:rPr>
                <w:rFonts w:ascii="宋体" w:hAnsi="宋体" w:cs="宋体" w:hint="eastAsia"/>
                <w:kern w:val="0"/>
                <w:sz w:val="20"/>
              </w:rPr>
              <w:t>年IT运维人员储备结果》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人力资源部经理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eastAsia="宋体" w:hAnsi="宋体" w:cs="宋体" w:hint="eastAsia"/>
                <w:kern w:val="0"/>
                <w:sz w:val="20"/>
                <w:lang w:eastAsia="zh-CN"/>
              </w:rPr>
            </w:pPr>
            <w:r>
              <w:rPr>
                <w:rFonts w:ascii="宋体" w:hAnsi="宋体" w:cs="宋体" w:hint="eastAsia"/>
                <w:kern w:val="0"/>
                <w:sz w:val="20"/>
                <w:lang w:eastAsia="zh-CN"/>
              </w:rPr>
              <w:t>每年度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人力资源部经理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《人力资源部总结报告》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运维人员储备率=运维储备人数/运维人员总人数*100%</w:t>
            </w:r>
          </w:p>
        </w:tc>
      </w:tr>
      <w:tr>
        <w:tblPrEx>
          <w:tblW w:w="10774" w:type="dxa"/>
          <w:tblInd w:w="-1168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5"/>
        </w:trPr>
        <w:tc>
          <w:tcPr>
            <w:tcW w:w="99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kern w:val="0"/>
                <w:sz w:val="24"/>
                <w:szCs w:val="24"/>
              </w:rPr>
            </w:pPr>
          </w:p>
        </w:tc>
        <w:tc>
          <w:tcPr>
            <w:tcW w:w="1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人均培训课时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≥</w:t>
            </w:r>
            <w:r>
              <w:rPr>
                <w:rFonts w:ascii="宋体" w:hAnsi="宋体" w:cs="宋体" w:hint="eastAsia"/>
                <w:kern w:val="0"/>
                <w:sz w:val="20"/>
              </w:rPr>
              <w:t>20学时</w:t>
            </w: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《培训记录表》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人力资源部经理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每年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人力资源部经理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《人力资源部总结报告》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运维人员完成培训时长总和/年度平均运维人数</w:t>
            </w:r>
          </w:p>
        </w:tc>
      </w:tr>
    </w:tbl>
    <w:p>
      <w:pPr>
        <w:spacing w:line="360" w:lineRule="auto"/>
        <w:rPr>
          <w:rFonts w:ascii="宋体" w:hAnsi="宋体"/>
          <w:sz w:val="24"/>
          <w:szCs w:val="24"/>
        </w:rPr>
      </w:pPr>
    </w:p>
    <w:p>
      <w:pPr>
        <w:pStyle w:val="Heading1"/>
        <w:numPr>
          <w:ilvl w:val="0"/>
          <w:numId w:val="0"/>
        </w:numPr>
        <w:ind w:firstLine="309" w:firstLineChars="147"/>
        <w:rPr>
          <w:rStyle w:val="1"/>
          <w:b/>
          <w:bCs w:val="0"/>
          <w:sz w:val="28"/>
          <w:szCs w:val="24"/>
        </w:rPr>
      </w:pPr>
      <w:bookmarkStart w:id="17" w:name="_Toc494266689"/>
      <w:bookmarkStart w:id="18" w:name="_Toc493237464"/>
      <w:bookmarkStart w:id="19" w:name="_Toc493236471"/>
      <w:r>
        <w:rPr>
          <w:rStyle w:val="1"/>
          <w:rFonts w:hint="eastAsia"/>
          <w:b/>
          <w:bCs w:val="0"/>
          <w:sz w:val="28"/>
          <w:szCs w:val="24"/>
        </w:rPr>
        <w:t>四、资源达成指标</w:t>
      </w:r>
      <w:bookmarkEnd w:id="17"/>
      <w:bookmarkEnd w:id="18"/>
      <w:bookmarkEnd w:id="19"/>
    </w:p>
    <w:tbl>
      <w:tblPr>
        <w:tblStyle w:val="TableNormal"/>
        <w:tblW w:w="10774" w:type="dxa"/>
        <w:tblInd w:w="-11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"/>
        <w:gridCol w:w="1277"/>
        <w:gridCol w:w="850"/>
        <w:gridCol w:w="1276"/>
        <w:gridCol w:w="1276"/>
        <w:gridCol w:w="860"/>
        <w:gridCol w:w="1124"/>
        <w:gridCol w:w="962"/>
        <w:gridCol w:w="2157"/>
      </w:tblGrid>
      <w:tr>
        <w:tblPrEx>
          <w:tblW w:w="10774" w:type="dxa"/>
          <w:tblInd w:w="-1168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0"/>
        </w:trPr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  <w:lang w:eastAsia="zh-CN"/>
              </w:rPr>
              <w:t>类别</w:t>
            </w: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　</w:t>
            </w:r>
          </w:p>
        </w:tc>
        <w:tc>
          <w:tcPr>
            <w:tcW w:w="12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目标名称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目标值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数据来源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负责人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上报频次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填报人</w:t>
            </w:r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上报形式</w:t>
            </w:r>
          </w:p>
        </w:tc>
        <w:tc>
          <w:tcPr>
            <w:tcW w:w="21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计算方法</w:t>
            </w:r>
          </w:p>
        </w:tc>
      </w:tr>
      <w:tr>
        <w:tblPrEx>
          <w:tblW w:w="10774" w:type="dxa"/>
          <w:tblInd w:w="-1168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/>
        </w:trPr>
        <w:tc>
          <w:tcPr>
            <w:tcW w:w="9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运维工具</w:t>
            </w:r>
          </w:p>
        </w:tc>
        <w:tc>
          <w:tcPr>
            <w:tcW w:w="1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Cs w:val="21"/>
              </w:rPr>
              <w:t>运维过程管理工具优化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新增一个功能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运维管理部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运维管理部经理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每年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运维管理部经理</w:t>
            </w:r>
          </w:p>
        </w:tc>
        <w:tc>
          <w:tcPr>
            <w:tcW w:w="9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评估报告</w:t>
            </w:r>
          </w:p>
        </w:tc>
        <w:tc>
          <w:tcPr>
            <w:tcW w:w="21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软件功能测试</w:t>
            </w:r>
          </w:p>
        </w:tc>
      </w:tr>
      <w:tr>
        <w:tblPrEx>
          <w:tblW w:w="10774" w:type="dxa"/>
          <w:tblInd w:w="-1168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/>
        </w:trPr>
        <w:tc>
          <w:tcPr>
            <w:tcW w:w="9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服务台</w:t>
            </w:r>
          </w:p>
        </w:tc>
        <w:tc>
          <w:tcPr>
            <w:tcW w:w="1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电话接通率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≥</w:t>
            </w:r>
            <w:r>
              <w:rPr>
                <w:rFonts w:ascii="宋体" w:hAnsi="宋体" w:cs="宋体" w:hint="eastAsia"/>
                <w:kern w:val="0"/>
                <w:sz w:val="20"/>
              </w:rPr>
              <w:t>93%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eastAsia="宋体" w:hAnsi="宋体" w:cs="宋体" w:hint="eastAsia"/>
                <w:kern w:val="0"/>
                <w:sz w:val="20"/>
                <w:lang w:eastAsia="zh-CN"/>
              </w:rPr>
            </w:pPr>
            <w:r>
              <w:rPr>
                <w:rFonts w:ascii="宋体" w:hAnsi="宋体" w:cs="宋体" w:hint="eastAsia"/>
                <w:kern w:val="0"/>
                <w:sz w:val="20"/>
                <w:lang w:eastAsia="zh-CN"/>
              </w:rPr>
              <w:t>统计分析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both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2"/>
              </w:rPr>
              <w:t>运维管理部经理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eastAsia="宋体" w:hAnsi="宋体" w:cs="宋体" w:hint="eastAsia"/>
                <w:kern w:val="0"/>
                <w:sz w:val="20"/>
                <w:lang w:eastAsia="zh-CN"/>
              </w:rPr>
            </w:pPr>
            <w:r>
              <w:rPr>
                <w:rFonts w:ascii="宋体" w:hAnsi="宋体" w:cs="宋体" w:hint="eastAsia"/>
                <w:kern w:val="0"/>
                <w:sz w:val="20"/>
                <w:lang w:eastAsia="zh-CN"/>
              </w:rPr>
              <w:t>每季度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服务台人员</w:t>
            </w:r>
          </w:p>
        </w:tc>
        <w:tc>
          <w:tcPr>
            <w:tcW w:w="9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《服务台总结报告》</w:t>
            </w:r>
          </w:p>
        </w:tc>
        <w:tc>
          <w:tcPr>
            <w:tcW w:w="21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电话接通数量/来电总数╳100%</w:t>
            </w:r>
          </w:p>
        </w:tc>
      </w:tr>
      <w:tr>
        <w:tblPrEx>
          <w:tblW w:w="10774" w:type="dxa"/>
          <w:tblInd w:w="-1168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0"/>
        </w:trPr>
        <w:tc>
          <w:tcPr>
            <w:tcW w:w="9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知识库</w:t>
            </w:r>
          </w:p>
        </w:tc>
        <w:tc>
          <w:tcPr>
            <w:tcW w:w="1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新增知识条目数量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微软雅黑" w:eastAsia="微软雅黑" w:hAnsi="微软雅黑" w:cs="宋体"/>
                <w:kern w:val="0"/>
                <w:sz w:val="18"/>
                <w:szCs w:val="18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≥</w:t>
            </w:r>
            <w:r>
              <w:rPr>
                <w:rFonts w:ascii="微软雅黑" w:eastAsia="微软雅黑" w:hAnsi="微软雅黑" w:cs="宋体" w:hint="eastAsia"/>
                <w:kern w:val="0"/>
                <w:sz w:val="18"/>
                <w:szCs w:val="18"/>
              </w:rPr>
              <w:t>60条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《知识库审计报告》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部门经理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每半年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知识库管理员</w:t>
            </w:r>
          </w:p>
        </w:tc>
        <w:tc>
          <w:tcPr>
            <w:tcW w:w="9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《总结报告》</w:t>
            </w:r>
          </w:p>
        </w:tc>
        <w:tc>
          <w:tcPr>
            <w:tcW w:w="21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每年实际新增知识条目数量</w:t>
            </w:r>
          </w:p>
        </w:tc>
      </w:tr>
    </w:tbl>
    <w:p>
      <w:pPr>
        <w:pStyle w:val="Heading1"/>
        <w:numPr>
          <w:ilvl w:val="0"/>
          <w:numId w:val="0"/>
        </w:numPr>
        <w:ind w:firstLine="309" w:firstLineChars="147"/>
        <w:rPr>
          <w:rStyle w:val="1"/>
          <w:b/>
          <w:bCs w:val="0"/>
          <w:sz w:val="28"/>
          <w:szCs w:val="24"/>
        </w:rPr>
      </w:pPr>
      <w:bookmarkStart w:id="20" w:name="_Toc494266690"/>
      <w:bookmarkStart w:id="21" w:name="_Toc493236472"/>
      <w:bookmarkStart w:id="22" w:name="_Toc493237465"/>
      <w:r>
        <w:rPr>
          <w:rStyle w:val="1"/>
          <w:rFonts w:hint="eastAsia"/>
          <w:b/>
          <w:bCs w:val="0"/>
          <w:sz w:val="28"/>
          <w:szCs w:val="24"/>
        </w:rPr>
        <w:t>五、技术达成指标</w:t>
      </w:r>
      <w:bookmarkEnd w:id="20"/>
      <w:bookmarkEnd w:id="21"/>
      <w:bookmarkEnd w:id="22"/>
    </w:p>
    <w:p>
      <w:pPr>
        <w:spacing w:line="360" w:lineRule="auto"/>
        <w:ind w:firstLine="420" w:firstLineChars="200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1、本年内完成</w:t>
      </w:r>
      <w:r>
        <w:rPr>
          <w:rFonts w:ascii="宋体" w:hAnsi="宋体" w:hint="eastAsia"/>
          <w:sz w:val="24"/>
          <w:szCs w:val="24"/>
          <w:lang w:val="en-US" w:eastAsia="zh-CN"/>
        </w:rPr>
        <w:t>1</w:t>
      </w:r>
      <w:r>
        <w:rPr>
          <w:rFonts w:ascii="宋体" w:hAnsi="宋体" w:hint="eastAsia"/>
          <w:sz w:val="24"/>
          <w:szCs w:val="24"/>
        </w:rPr>
        <w:t>个重点运维技术研发项目的升级研发；</w:t>
      </w:r>
    </w:p>
    <w:tbl>
      <w:tblPr>
        <w:tblStyle w:val="TableNormal"/>
        <w:tblW w:w="11057" w:type="dxa"/>
        <w:tblInd w:w="-11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419"/>
        <w:gridCol w:w="900"/>
        <w:gridCol w:w="2218"/>
        <w:gridCol w:w="1276"/>
        <w:gridCol w:w="860"/>
        <w:gridCol w:w="841"/>
        <w:gridCol w:w="1276"/>
        <w:gridCol w:w="1417"/>
      </w:tblGrid>
      <w:tr>
        <w:tblPrEx>
          <w:tblW w:w="11057" w:type="dxa"/>
          <w:tblInd w:w="-1168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0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eastAsia="宋体" w:hAnsi="宋体" w:cs="宋体" w:hint="eastAsia"/>
                <w:kern w:val="0"/>
                <w:sz w:val="24"/>
                <w:szCs w:val="24"/>
                <w:lang w:eastAsia="zh-CN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  <w:lang w:eastAsia="zh-CN"/>
              </w:rPr>
              <w:t>类别</w:t>
            </w:r>
          </w:p>
        </w:tc>
        <w:tc>
          <w:tcPr>
            <w:tcW w:w="14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目标名称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目标值</w:t>
            </w:r>
          </w:p>
        </w:tc>
        <w:tc>
          <w:tcPr>
            <w:tcW w:w="22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数据来源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负责人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上报频次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填报人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上报形式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计算方法</w:t>
            </w:r>
          </w:p>
        </w:tc>
      </w:tr>
      <w:tr>
        <w:tblPrEx>
          <w:tblW w:w="11057" w:type="dxa"/>
          <w:tblInd w:w="-1168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/>
        </w:trPr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技术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研发投入比率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≥</w:t>
            </w:r>
            <w:r>
              <w:rPr>
                <w:rFonts w:ascii="宋体" w:hAnsi="宋体" w:cs="宋体" w:hint="eastAsia"/>
                <w:kern w:val="0"/>
                <w:sz w:val="20"/>
              </w:rPr>
              <w:t>5%</w:t>
            </w:r>
          </w:p>
        </w:tc>
        <w:tc>
          <w:tcPr>
            <w:tcW w:w="2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《运维服务研发成果说明》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开发负责人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每年</w:t>
            </w:r>
          </w:p>
        </w:tc>
        <w:tc>
          <w:tcPr>
            <w:tcW w:w="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开发负责人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《总结报告》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本年度研发投入/上年度运维服务收入╳100%</w:t>
            </w:r>
          </w:p>
        </w:tc>
      </w:tr>
    </w:tbl>
    <w:p>
      <w:pPr>
        <w:widowControl/>
        <w:jc w:val="left"/>
        <w:rPr>
          <w:rStyle w:val="1"/>
          <w:rFonts w:ascii="Times New Roman" w:hAnsi="Times New Roman"/>
          <w:b w:val="0"/>
          <w:bCs w:val="0"/>
          <w:sz w:val="28"/>
          <w:szCs w:val="24"/>
        </w:rPr>
      </w:pPr>
    </w:p>
    <w:p>
      <w:pPr>
        <w:pStyle w:val="Heading1"/>
        <w:numPr>
          <w:ilvl w:val="0"/>
          <w:numId w:val="0"/>
        </w:numPr>
        <w:ind w:firstLine="309" w:firstLineChars="147"/>
        <w:rPr>
          <w:rStyle w:val="1"/>
          <w:b/>
          <w:bCs/>
          <w:sz w:val="28"/>
          <w:szCs w:val="24"/>
        </w:rPr>
        <w:sectPr>
          <w:footerReference w:type="default" r:id="rId8"/>
          <w:footerReference w:type="first" r:id="rId9"/>
          <w:pgSz w:w="11906" w:h="16838"/>
          <w:pgMar w:top="851" w:right="1800" w:bottom="993" w:left="1800" w:header="851" w:footer="992" w:gutter="0"/>
          <w:pgNumType w:fmt="decimal" w:start="1"/>
          <w:cols w:num="1" w:space="720"/>
          <w:titlePg/>
          <w:docGrid w:type="lines" w:linePitch="312" w:charSpace="0"/>
        </w:sectPr>
      </w:pPr>
    </w:p>
    <w:p>
      <w:pPr>
        <w:pStyle w:val="Heading1"/>
        <w:numPr>
          <w:ilvl w:val="0"/>
          <w:numId w:val="0"/>
        </w:numPr>
        <w:ind w:firstLine="309" w:firstLineChars="147"/>
        <w:rPr>
          <w:rStyle w:val="1"/>
          <w:b/>
          <w:bCs w:val="0"/>
          <w:sz w:val="28"/>
          <w:szCs w:val="24"/>
        </w:rPr>
      </w:pPr>
      <w:bookmarkStart w:id="23" w:name="_Toc493236473"/>
      <w:bookmarkStart w:id="24" w:name="_Toc493237466"/>
      <w:bookmarkStart w:id="25" w:name="_Toc494266691"/>
      <w:r>
        <w:rPr>
          <w:rStyle w:val="1"/>
          <w:rFonts w:hint="eastAsia"/>
          <w:b/>
          <w:bCs w:val="0"/>
          <w:sz w:val="28"/>
          <w:szCs w:val="24"/>
        </w:rPr>
        <w:t>六、过程达成指标</w:t>
      </w:r>
      <w:bookmarkEnd w:id="23"/>
      <w:bookmarkEnd w:id="24"/>
      <w:bookmarkEnd w:id="25"/>
    </w:p>
    <w:p>
      <w:pPr>
        <w:spacing w:line="360" w:lineRule="auto"/>
        <w:ind w:firstLine="372" w:firstLineChars="177"/>
        <w:rPr>
          <w:sz w:val="24"/>
          <w:szCs w:val="24"/>
        </w:rPr>
      </w:pPr>
    </w:p>
    <w:tbl>
      <w:tblPr>
        <w:tblStyle w:val="TableNormal"/>
        <w:tblW w:w="15877" w:type="dxa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1701"/>
        <w:gridCol w:w="900"/>
        <w:gridCol w:w="2219"/>
        <w:gridCol w:w="1134"/>
        <w:gridCol w:w="860"/>
        <w:gridCol w:w="1580"/>
        <w:gridCol w:w="2300"/>
        <w:gridCol w:w="3907"/>
      </w:tblGrid>
      <w:tr>
        <w:tblPrEx>
          <w:tblW w:w="15877" w:type="dxa"/>
          <w:tblInd w:w="-60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  <w:lang w:eastAsia="zh-CN"/>
              </w:rPr>
              <w:t>类别</w:t>
            </w: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　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目标名称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目标值</w:t>
            </w:r>
          </w:p>
        </w:tc>
        <w:tc>
          <w:tcPr>
            <w:tcW w:w="22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数据来源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负责人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上报频次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填报人</w:t>
            </w:r>
          </w:p>
        </w:tc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上报形式</w:t>
            </w:r>
          </w:p>
        </w:tc>
        <w:tc>
          <w:tcPr>
            <w:tcW w:w="3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计算方法</w:t>
            </w:r>
          </w:p>
        </w:tc>
      </w:tr>
      <w:tr>
        <w:tblPrEx>
          <w:tblW w:w="15877" w:type="dxa"/>
          <w:tblInd w:w="-60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5"/>
        </w:trPr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服务级别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SLA的达成率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≥</w:t>
            </w:r>
            <w:r>
              <w:rPr>
                <w:rFonts w:ascii="宋体" w:hAnsi="宋体" w:cs="宋体"/>
                <w:kern w:val="0"/>
                <w:sz w:val="20"/>
              </w:rPr>
              <w:t>90</w:t>
            </w:r>
            <w:r>
              <w:rPr>
                <w:rFonts w:ascii="宋体" w:hAnsi="宋体" w:cs="宋体" w:hint="eastAsia"/>
                <w:kern w:val="0"/>
                <w:sz w:val="20"/>
              </w:rPr>
              <w:t>%</w:t>
            </w:r>
          </w:p>
        </w:tc>
        <w:tc>
          <w:tcPr>
            <w:tcW w:w="22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《SLA执行跟踪表 》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部门经理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</w:rPr>
              <w:t>每季度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服务级别经理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《总结报告》</w:t>
            </w:r>
          </w:p>
        </w:tc>
        <w:tc>
          <w:tcPr>
            <w:tcW w:w="3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公司SLA的达成率=SLA中达标的指标个数/SLA中总的指标数*100%</w:t>
            </w:r>
          </w:p>
        </w:tc>
      </w:tr>
      <w:tr>
        <w:tblPrEx>
          <w:tblW w:w="15877" w:type="dxa"/>
          <w:tblInd w:w="-60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5"/>
        </w:trPr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服务报告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服务报告及时率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≥</w:t>
            </w:r>
            <w:r>
              <w:rPr>
                <w:rFonts w:ascii="宋体" w:hAnsi="宋体" w:cs="宋体" w:hint="eastAsia"/>
                <w:kern w:val="0"/>
                <w:sz w:val="20"/>
              </w:rPr>
              <w:t>95%</w:t>
            </w:r>
          </w:p>
        </w:tc>
        <w:tc>
          <w:tcPr>
            <w:tcW w:w="22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《服务报告》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部门经理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</w:rPr>
              <w:t>每季度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服务经理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《总结报告》</w:t>
            </w:r>
          </w:p>
        </w:tc>
        <w:tc>
          <w:tcPr>
            <w:tcW w:w="3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提交及时率=及时提交的服务报告数量/应该提交的服务报告总数*100%</w:t>
            </w:r>
          </w:p>
        </w:tc>
      </w:tr>
      <w:tr>
        <w:tblPrEx>
          <w:tblW w:w="15877" w:type="dxa"/>
          <w:tblInd w:w="-60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/>
        </w:trPr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事件管理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事件解决及时率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≥</w:t>
            </w:r>
            <w:r>
              <w:rPr>
                <w:rFonts w:ascii="宋体" w:hAnsi="宋体" w:cs="宋体" w:hint="eastAsia"/>
                <w:kern w:val="0"/>
                <w:sz w:val="20"/>
              </w:rPr>
              <w:t>90%</w:t>
            </w:r>
          </w:p>
        </w:tc>
        <w:tc>
          <w:tcPr>
            <w:tcW w:w="22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《事件列表》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部门经理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</w:rPr>
              <w:t>每季度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事件经理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《总结报告》</w:t>
            </w:r>
          </w:p>
        </w:tc>
        <w:tc>
          <w:tcPr>
            <w:tcW w:w="3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事件解决及时率=周期内部门及时解决的事件个数/周期内事件总数*100%</w:t>
            </w:r>
          </w:p>
        </w:tc>
      </w:tr>
      <w:tr>
        <w:tblPrEx>
          <w:tblW w:w="15877" w:type="dxa"/>
          <w:tblInd w:w="-60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/>
        </w:trPr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问题管理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问题解决率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≥</w:t>
            </w:r>
            <w:r>
              <w:rPr>
                <w:rFonts w:ascii="宋体" w:hAnsi="宋体" w:cs="宋体" w:hint="eastAsia"/>
                <w:kern w:val="0"/>
                <w:sz w:val="20"/>
              </w:rPr>
              <w:t>90%</w:t>
            </w:r>
          </w:p>
        </w:tc>
        <w:tc>
          <w:tcPr>
            <w:tcW w:w="22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《问题列表》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部门经理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</w:rPr>
              <w:t>每季度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问题经理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《总结报告》</w:t>
            </w:r>
          </w:p>
        </w:tc>
        <w:tc>
          <w:tcPr>
            <w:tcW w:w="3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问题解决率=周期内已解决问题个数/周期内问题总数*100%</w:t>
            </w:r>
          </w:p>
        </w:tc>
      </w:tr>
      <w:tr>
        <w:tblPrEx>
          <w:tblW w:w="15877" w:type="dxa"/>
          <w:tblInd w:w="-60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5"/>
        </w:trPr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配置管理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审计数据准确率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≥</w:t>
            </w:r>
            <w:r>
              <w:rPr>
                <w:rFonts w:ascii="宋体" w:hAnsi="宋体" w:cs="宋体" w:hint="eastAsia"/>
                <w:kern w:val="0"/>
                <w:sz w:val="20"/>
              </w:rPr>
              <w:t>98%</w:t>
            </w:r>
          </w:p>
        </w:tc>
        <w:tc>
          <w:tcPr>
            <w:tcW w:w="22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《配置列表》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部门经理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</w:rPr>
              <w:t>每季度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配置经理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《总结报告》</w:t>
            </w:r>
          </w:p>
        </w:tc>
        <w:tc>
          <w:tcPr>
            <w:tcW w:w="3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审计数据准确率=审计中完全匹配的CI数量/实际抽查的CI总数量*100%</w:t>
            </w:r>
          </w:p>
        </w:tc>
      </w:tr>
      <w:tr>
        <w:tblPrEx>
          <w:tblW w:w="15877" w:type="dxa"/>
          <w:tblInd w:w="-60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/>
        </w:trPr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变更管理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变更成功率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≥</w:t>
            </w:r>
            <w:r>
              <w:rPr>
                <w:rFonts w:ascii="宋体" w:hAnsi="宋体" w:cs="宋体" w:hint="eastAsia"/>
                <w:kern w:val="0"/>
                <w:sz w:val="20"/>
              </w:rPr>
              <w:t>95%</w:t>
            </w:r>
          </w:p>
        </w:tc>
        <w:tc>
          <w:tcPr>
            <w:tcW w:w="22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《变更列表》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部门经理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</w:rPr>
              <w:t>每季度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变更经理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《总结报告》</w:t>
            </w:r>
          </w:p>
        </w:tc>
        <w:tc>
          <w:tcPr>
            <w:tcW w:w="3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变更成功的数量/变更总数*100%</w:t>
            </w:r>
          </w:p>
        </w:tc>
      </w:tr>
      <w:tr>
        <w:tblPrEx>
          <w:tblW w:w="15877" w:type="dxa"/>
          <w:tblInd w:w="-60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/>
        </w:trPr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发布管理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发布成功率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≥</w:t>
            </w:r>
            <w:r>
              <w:rPr>
                <w:rFonts w:ascii="宋体" w:hAnsi="宋体" w:cs="宋体" w:hint="eastAsia"/>
                <w:kern w:val="0"/>
                <w:sz w:val="20"/>
              </w:rPr>
              <w:t>90%</w:t>
            </w:r>
          </w:p>
        </w:tc>
        <w:tc>
          <w:tcPr>
            <w:tcW w:w="22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《发布列表》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部门经理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</w:rPr>
              <w:t>每季度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发布经理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《总结报告》</w:t>
            </w:r>
          </w:p>
        </w:tc>
        <w:tc>
          <w:tcPr>
            <w:tcW w:w="3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发布成功率=成功发布的数量/发布总数*100%</w:t>
            </w:r>
          </w:p>
        </w:tc>
      </w:tr>
      <w:tr>
        <w:tblPrEx>
          <w:tblW w:w="15877" w:type="dxa"/>
          <w:tblInd w:w="-60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5"/>
        </w:trPr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信息安全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安全事件次数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0次</w:t>
            </w:r>
          </w:p>
        </w:tc>
        <w:tc>
          <w:tcPr>
            <w:tcW w:w="22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《信息安全事件列表》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部门经理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eastAsia="宋体" w:hAnsi="宋体" w:cs="宋体" w:hint="eastAsia"/>
                <w:kern w:val="0"/>
                <w:sz w:val="20"/>
                <w:lang w:eastAsia="zh-CN"/>
              </w:rPr>
            </w:pPr>
            <w:r>
              <w:rPr>
                <w:rFonts w:ascii="宋体" w:hAnsi="宋体" w:cs="宋体" w:hint="eastAsia"/>
                <w:kern w:val="0"/>
                <w:sz w:val="20"/>
                <w:lang w:eastAsia="zh-CN"/>
              </w:rPr>
              <w:t>每年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信息安全管理员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《总结报告》</w:t>
            </w:r>
          </w:p>
        </w:tc>
        <w:tc>
          <w:tcPr>
            <w:tcW w:w="3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安全事件次数</w:t>
            </w:r>
          </w:p>
        </w:tc>
      </w:tr>
    </w:tbl>
    <w:p>
      <w:pPr>
        <w:spacing w:line="360" w:lineRule="auto"/>
        <w:ind w:firstLine="372" w:firstLineChars="177"/>
        <w:rPr>
          <w:sz w:val="24"/>
          <w:szCs w:val="24"/>
        </w:rPr>
      </w:pPr>
    </w:p>
    <w:p>
      <w:pPr>
        <w:spacing w:line="360" w:lineRule="auto"/>
        <w:ind w:firstLine="372" w:firstLineChars="177"/>
        <w:rPr>
          <w:rFonts w:ascii="宋体" w:hAnsi="宋体"/>
          <w:sz w:val="24"/>
          <w:szCs w:val="24"/>
        </w:rPr>
      </w:pPr>
    </w:p>
    <w:p>
      <w:pPr>
        <w:spacing w:line="360" w:lineRule="auto"/>
        <w:ind w:firstLine="372" w:firstLineChars="177"/>
        <w:rPr>
          <w:rFonts w:ascii="宋体" w:hAnsi="宋体"/>
          <w:sz w:val="24"/>
          <w:szCs w:val="24"/>
        </w:rPr>
      </w:pPr>
    </w:p>
    <w:p>
      <w:pPr>
        <w:pStyle w:val="Heading1"/>
        <w:numPr>
          <w:ilvl w:val="0"/>
          <w:numId w:val="0"/>
        </w:numPr>
        <w:ind w:firstLine="309" w:firstLineChars="147"/>
        <w:rPr>
          <w:rStyle w:val="1"/>
          <w:b/>
          <w:bCs/>
          <w:sz w:val="28"/>
          <w:szCs w:val="24"/>
        </w:rPr>
        <w:sectPr>
          <w:pgSz w:w="16838" w:h="11906" w:orient="landscape"/>
          <w:pgMar w:top="1797" w:right="851" w:bottom="1797" w:left="992" w:header="851" w:footer="992" w:gutter="0"/>
          <w:pgNumType w:fmt="decimal"/>
          <w:cols w:num="1" w:space="720"/>
          <w:titlePg/>
          <w:docGrid w:type="linesAndChars" w:linePitch="312" w:charSpace="0"/>
        </w:sectPr>
      </w:pPr>
    </w:p>
    <w:p>
      <w:pPr>
        <w:pStyle w:val="Heading1"/>
        <w:numPr>
          <w:ilvl w:val="0"/>
          <w:numId w:val="0"/>
        </w:numPr>
        <w:ind w:firstLine="309" w:firstLineChars="147"/>
        <w:rPr>
          <w:rStyle w:val="1"/>
          <w:b/>
          <w:bCs w:val="0"/>
          <w:sz w:val="28"/>
          <w:szCs w:val="24"/>
        </w:rPr>
      </w:pPr>
      <w:bookmarkStart w:id="26" w:name="_Toc493236474"/>
      <w:bookmarkStart w:id="27" w:name="_Toc494266692"/>
      <w:bookmarkStart w:id="28" w:name="_Toc493237467"/>
      <w:r>
        <w:rPr>
          <w:rStyle w:val="1"/>
          <w:b/>
          <w:bCs w:val="0"/>
          <w:sz w:val="28"/>
          <w:szCs w:val="24"/>
        </w:rPr>
        <w:t>七、质量达成指标</w:t>
      </w:r>
      <w:bookmarkEnd w:id="26"/>
      <w:bookmarkEnd w:id="27"/>
      <w:bookmarkEnd w:id="28"/>
    </w:p>
    <w:tbl>
      <w:tblPr>
        <w:tblStyle w:val="TableNormal"/>
        <w:tblW w:w="11057" w:type="dxa"/>
        <w:tblInd w:w="-13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1"/>
        <w:gridCol w:w="1276"/>
        <w:gridCol w:w="900"/>
        <w:gridCol w:w="1793"/>
        <w:gridCol w:w="993"/>
        <w:gridCol w:w="860"/>
        <w:gridCol w:w="1024"/>
        <w:gridCol w:w="1287"/>
        <w:gridCol w:w="2073"/>
      </w:tblGrid>
      <w:tr>
        <w:tblPrEx>
          <w:tblW w:w="11057" w:type="dxa"/>
          <w:tblInd w:w="-131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0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　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目标名称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目标值</w:t>
            </w:r>
          </w:p>
        </w:tc>
        <w:tc>
          <w:tcPr>
            <w:tcW w:w="17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数据来源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负责人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上报频次</w:t>
            </w:r>
          </w:p>
        </w:tc>
        <w:tc>
          <w:tcPr>
            <w:tcW w:w="1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填报人</w:t>
            </w:r>
          </w:p>
        </w:tc>
        <w:tc>
          <w:tcPr>
            <w:tcW w:w="1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上报形式</w:t>
            </w:r>
          </w:p>
        </w:tc>
        <w:tc>
          <w:tcPr>
            <w:tcW w:w="2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4"/>
                <w:szCs w:val="24"/>
              </w:rPr>
              <w:t>计算方法</w:t>
            </w:r>
          </w:p>
        </w:tc>
      </w:tr>
      <w:tr>
        <w:tblPrEx>
          <w:tblW w:w="11057" w:type="dxa"/>
          <w:tblInd w:w="-131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/>
        </w:trPr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质量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客户满意率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90%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《客户满意度调查表》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项目管理部经理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每年</w:t>
            </w: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项目管理部经理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《总结报告》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ascii="宋体" w:hAnsi="宋体" w:cs="宋体" w:hint="eastAsia"/>
                <w:kern w:val="0"/>
                <w:sz w:val="20"/>
              </w:rPr>
              <w:t>公司级客户满意率=客户满意的问卷数/收回的问卷总数</w:t>
            </w:r>
          </w:p>
        </w:tc>
      </w:tr>
    </w:tbl>
    <w:p>
      <w:pPr>
        <w:spacing w:line="360" w:lineRule="auto"/>
        <w:ind w:firstLine="372" w:firstLineChars="177"/>
        <w:rPr>
          <w:rFonts w:ascii="宋体" w:hAnsi="宋体"/>
          <w:sz w:val="24"/>
          <w:szCs w:val="24"/>
        </w:rPr>
      </w:pPr>
    </w:p>
    <w:sectPr>
      <w:pgSz w:w="11906" w:h="16838"/>
      <w:pgMar w:top="851" w:right="1797" w:bottom="992" w:left="1797" w:header="851" w:footer="992" w:gutter="0"/>
      <w:pgNumType w:fmt="decimal"/>
      <w:cols w:num="1" w:space="720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长城楷体">
    <w:altName w:val="黑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宋体-PUA">
    <w:altName w:val="宋体"/>
    <w:panose1 w:val="00000000000000000000"/>
    <w:charset w:val="86"/>
    <w:family w:val="auto"/>
    <w:pitch w:val="default"/>
    <w:sig w:usb0="00000000" w:usb1="00000000" w:usb2="00000010" w:usb3="00000000" w:csb0="0004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  <w:r>
      <w:rPr>
        <w:sz w:val="18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49" o:spid="_x0000_s2050" type="#_x0000_t202" style="height:2in;margin-left:0;margin-top:0;mso-height-relative:page;mso-position-horizontal:center;mso-position-horizontal-relative:margin;mso-width-relative:page;mso-wrap-style:none;position:absolute;width:2in;z-index:251658240" coordsize="21600,21600" filled="f" stroked="f">
          <v:stroke joinstyle="miter"/>
          <o:lock v:ext="edit" aspectratio="f"/>
          <v:textbox style="mso-fit-shape-to-text:t" inset="0,0,0,0">
            <w:txbxContent>
              <w:p>
                <w:pPr>
                  <w:pStyle w:val="Footer"/>
                  <w:rPr>
                    <w:rFonts w:eastAsia="宋体" w:hint="eastAsia"/>
                    <w:lang w:eastAsia="zh-CN"/>
                  </w:rPr>
                </w:pPr>
                <w:r>
                  <w:rPr>
                    <w:rFonts w:hint="eastAsia"/>
                    <w:lang w:eastAsia="zh-CN"/>
                  </w:rPr>
                  <w:fldChar w:fldCharType="begin"/>
                </w:r>
                <w:r>
                  <w:rPr>
                    <w:rFonts w:hint="eastAsia"/>
                    <w:lang w:eastAsia="zh-CN"/>
                  </w:rPr>
                  <w:instrText xml:space="preserve"> PAGE  \* MERGEFORMAT </w:instrText>
                </w:r>
                <w:r>
                  <w:rPr>
                    <w:rFonts w:hint="eastAsia"/>
                    <w:lang w:eastAsia="zh-CN"/>
                  </w:rPr>
                  <w:fldChar w:fldCharType="separate"/>
                </w:r>
                <w:r>
                  <w:rPr>
                    <w:rFonts w:hint="eastAsia"/>
                    <w:lang w:eastAsia="zh-CN"/>
                  </w:rPr>
                  <w:t>1</w:t>
                </w:r>
                <w:r>
                  <w:rPr>
                    <w:rFonts w:hint="eastAsia"/>
                    <w:lang w:eastAsia="zh-CN"/>
                  </w:rPr>
                  <w:fldChar w:fldCharType="end"/>
                </w:r>
              </w:p>
            </w:txbxContent>
          </v:textbox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  <w:r>
      <w:rPr>
        <w:sz w:val="18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0" o:spid="_x0000_s2049" type="#_x0000_t202" style="height:2in;margin-left:0;margin-top:0;mso-height-relative:page;mso-position-horizontal:center;mso-position-horizontal-relative:margin;mso-width-relative:page;mso-wrap-style:none;position:absolute;width:2in;z-index:251659264" coordsize="21600,21600" filled="f" stroked="f">
          <v:stroke joinstyle="miter"/>
          <o:lock v:ext="edit" aspectratio="f"/>
          <v:textbox style="mso-fit-shape-to-text:t" inset="0,0,0,0">
            <w:txbxContent>
              <w:p>
                <w:pPr>
                  <w:pStyle w:val="Footer"/>
                  <w:rPr>
                    <w:rFonts w:eastAsia="宋体" w:hint="eastAsia"/>
                    <w:lang w:eastAsia="zh-CN"/>
                  </w:rPr>
                </w:pPr>
                <w:r>
                  <w:rPr>
                    <w:rFonts w:hint="eastAsia"/>
                    <w:lang w:eastAsia="zh-CN"/>
                  </w:rPr>
                  <w:fldChar w:fldCharType="begin"/>
                </w:r>
                <w:r>
                  <w:rPr>
                    <w:rFonts w:hint="eastAsia"/>
                    <w:lang w:eastAsia="zh-CN"/>
                  </w:rPr>
                  <w:instrText xml:space="preserve"> PAGE  \* MERGEFORMAT </w:instrText>
                </w:r>
                <w:r>
                  <w:rPr>
                    <w:rFonts w:hint="eastAsia"/>
                    <w:lang w:eastAsia="zh-CN"/>
                  </w:rPr>
                  <w:fldChar w:fldCharType="separate"/>
                </w:r>
                <w:r>
                  <w:rPr>
                    <w:rFonts w:hint="eastAsia"/>
                    <w:lang w:eastAsia="zh-CN"/>
                  </w:rPr>
                  <w:t>1</w:t>
                </w:r>
                <w:r>
                  <w:rPr>
                    <w:rFonts w:hint="eastAsia"/>
                    <w:lang w:eastAsia="zh-CN"/>
                  </w:rPr>
                  <w:fldChar w:fldCharType="end"/>
                </w:r>
              </w:p>
            </w:txbxContent>
          </v:textbox>
        </v:shape>
      </w:pic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0" w:color="auto"/>
      </w:pBdr>
      <w:jc w:val="center"/>
      <w:rPr>
        <w:rFonts w:eastAsia="宋体" w:hint="eastAsia"/>
        <w:sz w:val="21"/>
        <w:szCs w:val="21"/>
        <w:lang w:eastAsia="zh-CN"/>
      </w:rPr>
    </w:pPr>
    <w:r>
      <w:rPr>
        <w:rFonts w:hint="eastAsia"/>
        <w:sz w:val="21"/>
        <w:szCs w:val="21"/>
        <w:lang w:eastAsia="zh-CN"/>
      </w:rPr>
      <w:t>南京航之舟数字科技有限公司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0" w:color="auto"/>
      </w:pBdr>
      <w:jc w:val="center"/>
      <w:rPr>
        <w:rFonts w:eastAsia="宋体" w:hint="eastAsia"/>
        <w:sz w:val="21"/>
        <w:szCs w:val="21"/>
        <w:lang w:val="en-US" w:eastAsia="zh-CN"/>
      </w:rPr>
    </w:pPr>
    <w:r>
      <w:rPr>
        <w:rFonts w:hint="eastAsia"/>
        <w:sz w:val="21"/>
        <w:szCs w:val="21"/>
        <w:lang w:val="en-US" w:eastAsia="zh-CN"/>
      </w:rPr>
      <w:t>南京航之舟数字科技有限公司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0000003"/>
    <w:multiLevelType w:val="multilevel"/>
    <w:tmpl w:val="00000003"/>
    <w:lvl w:ilvl="0">
      <w:start w:val="1"/>
      <w:numFmt w:val="decimal"/>
      <w:pStyle w:val="Heading1"/>
      <w:lvlText w:val="%1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</w:lvl>
  </w:abstractNum>
  <w:abstractNum w:abstractNumId="1">
    <w:nsid w:val="00000004"/>
    <w:multiLevelType w:val="singleLevel"/>
    <w:tmpl w:val="00000004"/>
    <w:lvl w:ilvl="0">
      <w:start w:val="1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3"/>
  <w:bordersDoNotSurroundHeader/>
  <w:bordersDoNotSurroundFooter/>
  <w:doNotTrackMove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宋体" w:hAnsi="Calibri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semiHidden="0" w:uiPriority="39" w:qFormat="1"/>
    <w:lsdException w:name="toc 2" w:semiHidden="0" w:uiPriority="39" w:qFormat="1"/>
    <w:lsdException w:name="toc 3" w:semiHidden="0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 w:semiHidden="0" w:qFormat="1"/>
    <w:lsdException w:name="header" w:semiHidden="0" w:uiPriority="0" w:unhideWhenUsed="0" w:qFormat="1"/>
    <w:lsdException w:name="footer" w:semiHidden="0" w:unhideWhenUsed="0" w:qFormat="1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 w:semiHidden="0" w:qFormat="1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semiHidden="0" w:uiPriority="1" w:qFormat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Body Text 2"/>
    <w:lsdException w:name="Body Text 3"/>
    <w:lsdException w:name="Body Text Indent 2"/>
    <w:lsdException w:name="Body Text Indent 3"/>
    <w:lsdException w:name="Block Text"/>
    <w:lsdException w:name="Hyperlink" w:semiHidden="0" w:qFormat="1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 w:semiHidden="0" w:qFormat="1"/>
    <w:lsdException w:name="Plain Text"/>
    <w:lsdException w:name="E-mail Signature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 w:semiHidden="0" w:qFormat="1"/>
    <w:lsdException w:name="annotation subject" w:semiHidden="0" w:qFormat="1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 w:semiHidden="0" w:qFormat="1"/>
    <w:lsdException w:name="Table Grid" w:semiHidden="0" w:uiPriority="59" w:unhideWhenUsed="0"/>
    <w:lsdException w:name="Table Theme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widowControl w:val="0"/>
      <w:spacing w:after="200" w:line="276" w:lineRule="auto"/>
      <w:jc w:val="both"/>
    </w:pPr>
    <w:rPr>
      <w:rFonts w:ascii="Calibri" w:eastAsia="宋体" w:hAnsi="Calibri" w:cs="Times New Roman"/>
      <w:kern w:val="2"/>
      <w:sz w:val="21"/>
      <w:lang w:val="en-US" w:eastAsia="zh-CN" w:bidi="ar-SA"/>
    </w:rPr>
  </w:style>
  <w:style w:type="paragraph" w:styleId="Heading1">
    <w:name w:val="heading 1"/>
    <w:basedOn w:val="Normal"/>
    <w:next w:val="Normal"/>
    <w:link w:val="1"/>
    <w:qFormat/>
    <w:pPr>
      <w:keepNext/>
      <w:keepLines/>
      <w:numPr>
        <w:ilvl w:val="0"/>
        <w:numId w:val="1"/>
      </w:numPr>
      <w:spacing w:before="120" w:after="120" w:line="360" w:lineRule="auto"/>
      <w:outlineLvl w:val="0"/>
    </w:pPr>
    <w:rPr>
      <w:rFonts w:ascii="Times New Roman" w:hAnsi="Times New Roman"/>
      <w:b/>
      <w:bCs/>
      <w:kern w:val="44"/>
      <w:sz w:val="20"/>
      <w:szCs w:val="44"/>
    </w:rPr>
  </w:style>
  <w:style w:type="character" w:default="1" w:styleId="DefaultParagraphFont">
    <w:name w:val="Default Paragraph Font"/>
    <w:uiPriority w:val="1"/>
    <w:unhideWhenUsed/>
    <w:qFormat/>
  </w:style>
  <w:style w:type="table" w:default="1" w:styleId="TableNormal">
    <w:name w:val="Normal Table"/>
    <w:uiPriority w:val="99"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a2"/>
    <w:uiPriority w:val="99"/>
    <w:unhideWhenUsed/>
    <w:qFormat/>
    <w:rPr>
      <w:rFonts w:ascii="宋体"/>
      <w:sz w:val="18"/>
      <w:szCs w:val="18"/>
    </w:rPr>
  </w:style>
  <w:style w:type="paragraph" w:styleId="CommentText">
    <w:name w:val="annotation text"/>
    <w:basedOn w:val="Normal"/>
    <w:link w:val="a"/>
    <w:uiPriority w:val="99"/>
    <w:unhideWhenUsed/>
    <w:qFormat/>
    <w:pPr>
      <w:jc w:val="left"/>
    </w:pPr>
  </w:style>
  <w:style w:type="paragraph" w:styleId="TOC3">
    <w:name w:val="toc 3"/>
    <w:basedOn w:val="Normal"/>
    <w:next w:val="Normal"/>
    <w:uiPriority w:val="39"/>
    <w:unhideWhenUsed/>
    <w:qFormat/>
    <w:pPr>
      <w:widowControl/>
      <w:spacing w:after="100" w:line="259" w:lineRule="auto"/>
      <w:ind w:left="440"/>
      <w:jc w:val="left"/>
    </w:pPr>
    <w:rPr>
      <w:rFonts w:asciiTheme="minorHAnsi" w:eastAsiaTheme="minorEastAsia" w:hAnsiTheme="minorHAnsi"/>
      <w:kern w:val="0"/>
      <w:sz w:val="22"/>
      <w:szCs w:val="22"/>
    </w:rPr>
  </w:style>
  <w:style w:type="paragraph" w:styleId="BalloonText">
    <w:name w:val="Balloon Text"/>
    <w:basedOn w:val="Normal"/>
    <w:link w:val="a1"/>
    <w:uiPriority w:val="99"/>
    <w:unhideWhenUsed/>
    <w:qFormat/>
    <w:rPr>
      <w:sz w:val="18"/>
      <w:szCs w:val="18"/>
    </w:rPr>
  </w:style>
  <w:style w:type="paragraph" w:styleId="Footer">
    <w:name w:val="footer"/>
    <w:basedOn w:val="Normal"/>
    <w:link w:val="a3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</w:pPr>
    <w:rPr>
      <w:rFonts w:ascii="Times New Roman" w:hAnsi="Times New Roman"/>
      <w:sz w:val="18"/>
    </w:rPr>
  </w:style>
  <w:style w:type="paragraph" w:styleId="TOC1">
    <w:name w:val="toc 1"/>
    <w:basedOn w:val="Normal"/>
    <w:next w:val="Normal"/>
    <w:uiPriority w:val="39"/>
    <w:unhideWhenUsed/>
    <w:qFormat/>
    <w:pPr>
      <w:tabs>
        <w:tab w:val="right" w:leader="dot" w:pos="8296"/>
      </w:tabs>
      <w:spacing w:before="62" w:beforeLines="20"/>
    </w:pPr>
  </w:style>
  <w:style w:type="paragraph" w:styleId="TOC2">
    <w:name w:val="toc 2"/>
    <w:basedOn w:val="Normal"/>
    <w:next w:val="Normal"/>
    <w:uiPriority w:val="39"/>
    <w:unhideWhenUsed/>
    <w:qFormat/>
    <w:pPr>
      <w:widowControl/>
      <w:spacing w:after="100" w:line="259" w:lineRule="auto"/>
      <w:ind w:left="220"/>
      <w:jc w:val="left"/>
    </w:pPr>
    <w:rPr>
      <w:rFonts w:asciiTheme="minorHAnsi" w:eastAsiaTheme="minorEastAsia" w:hAnsiTheme="minorHAnsi"/>
      <w:kern w:val="0"/>
      <w:sz w:val="22"/>
      <w:szCs w:val="22"/>
    </w:rPr>
  </w:style>
  <w:style w:type="paragraph" w:styleId="CommentSubject">
    <w:name w:val="annotation subject"/>
    <w:basedOn w:val="CommentText"/>
    <w:next w:val="CommentText"/>
    <w:link w:val="a0"/>
    <w:uiPriority w:val="99"/>
    <w:unhideWhenUsed/>
    <w:qFormat/>
    <w:rPr>
      <w:b/>
      <w:bCs/>
    </w:r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character" w:styleId="CommentReference">
    <w:name w:val="annotation reference"/>
    <w:uiPriority w:val="99"/>
    <w:unhideWhenUsed/>
    <w:qFormat/>
    <w:rPr>
      <w:sz w:val="21"/>
      <w:szCs w:val="21"/>
    </w:rPr>
  </w:style>
  <w:style w:type="character" w:customStyle="1" w:styleId="1">
    <w:name w:val="标题 1 字符"/>
    <w:link w:val="Heading1"/>
    <w:qFormat/>
    <w:rPr>
      <w:b/>
      <w:bCs/>
      <w:kern w:val="44"/>
      <w:szCs w:val="44"/>
    </w:rPr>
  </w:style>
  <w:style w:type="paragraph" w:customStyle="1" w:styleId="10">
    <w:name w:val="样式1"/>
    <w:basedOn w:val="Normal"/>
    <w:qFormat/>
    <w:pPr>
      <w:autoSpaceDE w:val="0"/>
      <w:autoSpaceDN w:val="0"/>
      <w:adjustRightInd w:val="0"/>
      <w:spacing w:line="360" w:lineRule="auto"/>
      <w:ind w:left="600" w:hanging="600"/>
      <w:textAlignment w:val="baseline"/>
    </w:pPr>
    <w:rPr>
      <w:rFonts w:ascii="长城楷体" w:eastAsia="长城楷体"/>
    </w:rPr>
  </w:style>
  <w:style w:type="character" w:customStyle="1" w:styleId="a">
    <w:name w:val="批注文字 字符"/>
    <w:link w:val="CommentText"/>
    <w:uiPriority w:val="99"/>
    <w:qFormat/>
    <w:rPr>
      <w:rFonts w:ascii="Calibri" w:hAnsi="Calibri"/>
      <w:kern w:val="2"/>
      <w:sz w:val="21"/>
    </w:rPr>
  </w:style>
  <w:style w:type="character" w:customStyle="1" w:styleId="a0">
    <w:name w:val="批注主题 字符"/>
    <w:link w:val="CommentSubject"/>
    <w:uiPriority w:val="99"/>
    <w:semiHidden/>
    <w:qFormat/>
    <w:rPr>
      <w:rFonts w:ascii="Calibri" w:hAnsi="Calibri"/>
      <w:b/>
      <w:bCs/>
      <w:kern w:val="2"/>
      <w:sz w:val="21"/>
    </w:rPr>
  </w:style>
  <w:style w:type="character" w:customStyle="1" w:styleId="a1">
    <w:name w:val="批注框文本 字符"/>
    <w:link w:val="BalloonText"/>
    <w:uiPriority w:val="99"/>
    <w:semiHidden/>
    <w:qFormat/>
    <w:rPr>
      <w:rFonts w:ascii="Calibri" w:hAnsi="Calibri"/>
      <w:kern w:val="2"/>
      <w:sz w:val="18"/>
      <w:szCs w:val="18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  <w:spacing w:after="200" w:line="276" w:lineRule="auto"/>
    </w:pPr>
    <w:rPr>
      <w:rFonts w:ascii="宋体" w:eastAsia="宋体" w:hAnsi="Times New Roman" w:cs="宋体"/>
      <w:color w:val="000000"/>
      <w:sz w:val="24"/>
      <w:szCs w:val="24"/>
      <w:lang w:val="en-US" w:eastAsia="zh-CN" w:bidi="ar-SA"/>
    </w:rPr>
  </w:style>
  <w:style w:type="character" w:customStyle="1" w:styleId="a2">
    <w:name w:val="文档结构图 字符"/>
    <w:basedOn w:val="DefaultParagraphFont"/>
    <w:link w:val="DocumentMap"/>
    <w:uiPriority w:val="99"/>
    <w:semiHidden/>
    <w:qFormat/>
    <w:rPr>
      <w:rFonts w:ascii="宋体" w:hAnsi="Calibri"/>
      <w:kern w:val="2"/>
      <w:sz w:val="18"/>
      <w:szCs w:val="18"/>
    </w:rPr>
  </w:style>
  <w:style w:type="paragraph" w:customStyle="1" w:styleId="TOCHeading">
    <w:name w:val="TOC Heading"/>
    <w:basedOn w:val="Heading1"/>
    <w:next w:val="Normal"/>
    <w:uiPriority w:val="39"/>
    <w:unhideWhenUsed/>
    <w:qFormat/>
    <w:pPr>
      <w:widowControl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76092" w:themeColor="accent1" w:themeShade="BF"/>
      <w:kern w:val="0"/>
      <w:sz w:val="32"/>
      <w:szCs w:val="32"/>
    </w:rPr>
  </w:style>
  <w:style w:type="character" w:customStyle="1" w:styleId="a3">
    <w:name w:val="页脚 字符"/>
    <w:basedOn w:val="DefaultParagraphFont"/>
    <w:link w:val="Footer"/>
    <w:uiPriority w:val="99"/>
    <w:qFormat/>
    <w:rPr>
      <w:rFonts w:ascii="Calibri" w:hAnsi="Calibri"/>
      <w:kern w:val="2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theme" Target="theme/theme1.xml" /><Relationship Id="rId11" Type="http://schemas.openxmlformats.org/officeDocument/2006/relationships/numbering" Target="numbering.xml" /><Relationship Id="rId12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header" Target="header1.xml" /><Relationship Id="rId7" Type="http://schemas.openxmlformats.org/officeDocument/2006/relationships/header" Target="header2.xml" /><Relationship Id="rId8" Type="http://schemas.openxmlformats.org/officeDocument/2006/relationships/footer" Target="footer1.xml" /><Relationship Id="rId9" Type="http://schemas.openxmlformats.org/officeDocument/2006/relationships/footer" Target="footer2.xml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&#65279;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&#65279;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2049"/>
    <customShpInfo spid="_x0000_s2050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02C97A1-FED8-47DC-AD7B-EEEA4639F78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1409</Words>
  <Characters>1570</Characters>
  <Application>Microsoft Office Word</Application>
  <DocSecurity>0</DocSecurity>
  <Lines>17</Lines>
  <Paragraphs>5</Paragraphs>
  <ScaleCrop>false</ScaleCrop>
  <Company/>
  <LinksUpToDate>false</LinksUpToDate>
  <CharactersWithSpaces>1587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2012年运维服务能力管理指标体系</dc:title>
  <dc:creator>系统运维部-余建波</dc:creator>
  <cp:lastModifiedBy>郝宇</cp:lastModifiedBy>
  <cp:revision>49</cp:revision>
  <cp:lastPrinted>2017-09-27T01:09:00Z</cp:lastPrinted>
  <dcterms:created xsi:type="dcterms:W3CDTF">2017-01-03T06:33:00Z</dcterms:created>
  <dcterms:modified xsi:type="dcterms:W3CDTF">2025-10-09T04:50:06Z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951B03EEEBDC42A7A39E00B5C3682CBD_12</vt:lpwstr>
  </property>
  <property fmtid="{D5CDD505-2E9C-101B-9397-08002B2CF9AE}" pid="3" name="KSOProductBuildVer">
    <vt:lpwstr>2052-12.1.0.23125</vt:lpwstr>
  </property>
  <property fmtid="{D5CDD505-2E9C-101B-9397-08002B2CF9AE}" pid="4" name="KSOTemplateDocerSaveRecord">
    <vt:lpwstr>eyJoZGlkIjoiMDY5NmFjMmM4ZTljMGJiZDAxN2JmYTc0NGI0NmFiNDgiLCJ1c2VySWQiOiIxMDc1MzgyOSJ9</vt:lpwstr>
  </property>
</Properties>
</file>