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52"/>
        </w:rPr>
      </w:pPr>
    </w:p>
    <w:p>
      <w:pPr>
        <w:jc w:val="center"/>
        <w:rPr>
          <w:rFonts w:ascii="宋体" w:hAnsi="宋体"/>
        </w:rPr>
      </w:pPr>
      <w:r>
        <w:rPr>
          <w:rFonts w:hint="eastAsia" w:ascii="宋体" w:hAnsi="宋体"/>
          <w:b/>
          <w:sz w:val="52"/>
          <w:szCs w:val="52"/>
        </w:rPr>
        <w:t>青岛九邮信息技术有限公司</w:t>
      </w:r>
    </w:p>
    <w:p>
      <w:pPr>
        <w:jc w:val="center"/>
        <w:rPr>
          <w:rFonts w:ascii="宋体" w:hAnsi="宋体"/>
          <w:b/>
          <w:sz w:val="52"/>
          <w:szCs w:val="52"/>
        </w:rPr>
      </w:pPr>
      <w:r>
        <w:rPr>
          <w:rFonts w:hint="eastAsia" w:ascii="宋体" w:hAnsi="宋体"/>
          <w:b/>
          <w:sz w:val="48"/>
          <w:szCs w:val="52"/>
        </w:rPr>
        <w:t xml:space="preserve">  </w:t>
      </w:r>
      <w:r>
        <w:rPr>
          <w:rFonts w:hint="eastAsia" w:ascii="宋体" w:hAnsi="宋体"/>
          <w:b/>
          <w:sz w:val="52"/>
        </w:rPr>
        <w:t>服务台管理制度</w:t>
      </w:r>
    </w:p>
    <w:p>
      <w:pPr>
        <w:rPr>
          <w:rFonts w:ascii="宋体" w:hAnsi="宋体"/>
        </w:rPr>
      </w:pPr>
    </w:p>
    <w:p/>
    <w:p/>
    <w:p/>
    <w:p>
      <w:pPr>
        <w:rPr>
          <w:rFonts w:ascii="Arial"/>
        </w:rPr>
      </w:pPr>
    </w:p>
    <w:p>
      <w:pPr>
        <w:rPr>
          <w:rFonts w:ascii="Arial"/>
        </w:rPr>
      </w:pPr>
    </w:p>
    <w:p>
      <w:pPr>
        <w:rPr>
          <w:rFonts w:ascii="Arial"/>
        </w:rPr>
      </w:pPr>
    </w:p>
    <w:p>
      <w:pPr>
        <w:rPr>
          <w:rFonts w:ascii="Arial"/>
        </w:rPr>
      </w:pPr>
    </w:p>
    <w:p>
      <w:pPr>
        <w:rPr>
          <w:rFonts w:ascii="Arial"/>
        </w:rPr>
      </w:pPr>
    </w:p>
    <w:p/>
    <w:p/>
    <w:p/>
    <w:p/>
    <w:p/>
    <w:p/>
    <w:p/>
    <w:p/>
    <w:p/>
    <w:p/>
    <w:p/>
    <w:p/>
    <w:p/>
    <w:p/>
    <w:tbl>
      <w:tblPr>
        <w:tblStyle w:val="15"/>
        <w:tblpPr w:leftFromText="180" w:rightFromText="180" w:vertAnchor="text" w:horzAnchor="page" w:tblpX="1957" w:tblpY="476"/>
        <w:tblOverlap w:val="never"/>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ascii="微软雅黑" w:hAnsi="微软雅黑" w:eastAsia="微软雅黑"/>
                <w:sz w:val="24"/>
              </w:rPr>
            </w:pPr>
            <w:r>
              <w:rPr>
                <w:rFonts w:hint="eastAsia" w:ascii="微软雅黑" w:hAnsi="微软雅黑" w:eastAsia="微软雅黑"/>
                <w:sz w:val="24"/>
              </w:rPr>
              <w:t>唐旭</w:t>
            </w:r>
          </w:p>
        </w:tc>
        <w:tc>
          <w:tcPr>
            <w:tcW w:w="1110" w:type="dxa"/>
          </w:tcPr>
          <w:p>
            <w:pPr>
              <w:jc w:val="center"/>
              <w:rPr>
                <w:rFonts w:ascii="微软雅黑" w:hAnsi="微软雅黑" w:eastAsia="微软雅黑"/>
                <w:b/>
              </w:rPr>
            </w:pPr>
            <w:r>
              <w:rPr>
                <w:rFonts w:hint="eastAsia" w:ascii="微软雅黑" w:hAnsi="微软雅黑" w:eastAsia="微软雅黑"/>
                <w:b/>
              </w:rPr>
              <w:t>审核</w:t>
            </w:r>
          </w:p>
        </w:tc>
        <w:tc>
          <w:tcPr>
            <w:tcW w:w="1664" w:type="dxa"/>
          </w:tcPr>
          <w:p>
            <w:pPr>
              <w:jc w:val="center"/>
              <w:rPr>
                <w:rFonts w:ascii="微软雅黑" w:hAnsi="微软雅黑" w:eastAsia="微软雅黑"/>
                <w:szCs w:val="21"/>
              </w:rPr>
            </w:pPr>
            <w:r>
              <w:rPr>
                <w:rFonts w:hint="eastAsia" w:ascii="微软雅黑" w:hAnsi="微软雅黑" w:eastAsia="微软雅黑"/>
                <w:szCs w:val="21"/>
              </w:rPr>
              <w:t>吴克</w:t>
            </w:r>
          </w:p>
        </w:tc>
        <w:tc>
          <w:tcPr>
            <w:tcW w:w="1661" w:type="dxa"/>
          </w:tcPr>
          <w:p>
            <w:pPr>
              <w:jc w:val="center"/>
              <w:rPr>
                <w:rFonts w:ascii="微软雅黑" w:hAnsi="微软雅黑" w:eastAsia="微软雅黑"/>
                <w:szCs w:val="21"/>
              </w:rPr>
            </w:pPr>
            <w:r>
              <w:rPr>
                <w:rFonts w:hint="eastAsia" w:ascii="微软雅黑" w:hAnsi="微软雅黑" w:eastAsia="微软雅黑"/>
                <w:b/>
                <w:bCs/>
                <w:szCs w:val="21"/>
              </w:rPr>
              <w:t>审批</w:t>
            </w:r>
          </w:p>
        </w:tc>
        <w:tc>
          <w:tcPr>
            <w:tcW w:w="1659" w:type="dxa"/>
          </w:tcPr>
          <w:p>
            <w:pPr>
              <w:jc w:val="center"/>
              <w:rPr>
                <w:rFonts w:ascii="微软雅黑" w:hAnsi="微软雅黑" w:eastAsia="微软雅黑"/>
                <w:szCs w:val="21"/>
              </w:rPr>
            </w:pPr>
            <w:r>
              <w:rPr>
                <w:rFonts w:hint="eastAsia" w:ascii="微软雅黑" w:hAnsi="微软雅黑" w:eastAsia="微软雅黑"/>
                <w:szCs w:val="21"/>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32" w:type="dxa"/>
            <w:gridSpan w:val="2"/>
          </w:tcPr>
          <w:p>
            <w:pPr>
              <w:jc w:val="center"/>
              <w:rPr>
                <w:rFonts w:ascii="微软雅黑" w:hAnsi="微软雅黑" w:eastAsia="微软雅黑"/>
                <w:sz w:val="24"/>
              </w:rPr>
            </w:pPr>
            <w:r>
              <w:rPr>
                <w:rFonts w:hint="eastAsia" w:ascii="微软雅黑" w:hAnsi="微软雅黑" w:eastAsia="微软雅黑"/>
                <w:b/>
                <w:bCs/>
                <w:sz w:val="22"/>
                <w:szCs w:val="22"/>
              </w:rPr>
              <w:t>发布日期</w:t>
            </w:r>
          </w:p>
        </w:tc>
        <w:tc>
          <w:tcPr>
            <w:tcW w:w="6094" w:type="dxa"/>
            <w:gridSpan w:val="4"/>
          </w:tcPr>
          <w:p>
            <w:pPr>
              <w:jc w:val="center"/>
              <w:rPr>
                <w:rFonts w:ascii="微软雅黑" w:hAnsi="微软雅黑" w:eastAsia="微软雅黑"/>
                <w:szCs w:val="21"/>
              </w:rPr>
            </w:pPr>
            <w:r>
              <w:rPr>
                <w:rFonts w:hint="eastAsia" w:ascii="微软雅黑" w:hAnsi="微软雅黑" w:eastAsia="微软雅黑"/>
                <w:szCs w:val="21"/>
              </w:rPr>
              <w:t>2019年</w:t>
            </w:r>
            <w:r>
              <w:rPr>
                <w:rFonts w:hint="eastAsia" w:ascii="微软雅黑" w:hAnsi="微软雅黑" w:eastAsia="微软雅黑"/>
                <w:szCs w:val="21"/>
                <w:lang w:val="en-US" w:eastAsia="zh-CN"/>
              </w:rPr>
              <w:t>8</w:t>
            </w:r>
            <w:r>
              <w:rPr>
                <w:rFonts w:hint="eastAsia" w:ascii="微软雅黑" w:hAnsi="微软雅黑" w:eastAsia="微软雅黑"/>
                <w:szCs w:val="21"/>
              </w:rPr>
              <w:t>月</w:t>
            </w:r>
            <w:r>
              <w:rPr>
                <w:rFonts w:hint="eastAsia" w:ascii="微软雅黑" w:hAnsi="微软雅黑" w:eastAsia="微软雅黑"/>
                <w:szCs w:val="21"/>
                <w:lang w:val="en-US" w:eastAsia="zh-CN"/>
              </w:rPr>
              <w:t>20</w:t>
            </w:r>
            <w:r>
              <w:rPr>
                <w:rFonts w:hint="eastAsia" w:ascii="微软雅黑" w:hAnsi="微软雅黑" w:eastAsia="微软雅黑"/>
                <w:szCs w:val="21"/>
              </w:rPr>
              <w:t>日</w:t>
            </w:r>
          </w:p>
        </w:tc>
      </w:tr>
    </w:tbl>
    <w:p/>
    <w:p/>
    <w:p/>
    <w:p/>
    <w:p/>
    <w:p>
      <w:pPr>
        <w:rPr>
          <w:rFonts w:hAnsi="宋体"/>
          <w:szCs w:val="21"/>
        </w:rPr>
      </w:pPr>
    </w:p>
    <w:p>
      <w:pPr>
        <w:rPr>
          <w:rFonts w:hAnsi="宋体"/>
          <w:szCs w:val="21"/>
        </w:rPr>
      </w:pPr>
    </w:p>
    <w:p>
      <w:pPr>
        <w:spacing w:line="360" w:lineRule="auto"/>
        <w:jc w:val="center"/>
        <w:rPr>
          <w:rFonts w:ascii="宋体" w:hAnsi="宋体"/>
          <w:b/>
          <w:sz w:val="28"/>
          <w:szCs w:val="28"/>
        </w:rPr>
      </w:pPr>
      <w:r>
        <w:rPr>
          <w:rFonts w:hint="eastAsia" w:ascii="宋体" w:hAnsi="宋体"/>
          <w:b/>
          <w:sz w:val="28"/>
          <w:szCs w:val="28"/>
        </w:rPr>
        <w:t>发布、修订记录</w:t>
      </w:r>
    </w:p>
    <w:tbl>
      <w:tblPr>
        <w:tblStyle w:val="15"/>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hint="eastAsia" w:ascii="宋体" w:hAnsi="宋体"/>
              </w:rPr>
              <w:t>版本号</w:t>
            </w:r>
          </w:p>
        </w:tc>
        <w:tc>
          <w:tcPr>
            <w:tcW w:w="1479" w:type="dxa"/>
            <w:vAlign w:val="center"/>
          </w:tcPr>
          <w:p>
            <w:pPr>
              <w:spacing w:line="360" w:lineRule="auto"/>
              <w:jc w:val="center"/>
              <w:rPr>
                <w:rFonts w:ascii="宋体" w:hAnsi="宋体"/>
              </w:rPr>
            </w:pPr>
            <w:r>
              <w:rPr>
                <w:rFonts w:hint="eastAsia" w:ascii="宋体" w:hAnsi="宋体"/>
              </w:rPr>
              <w:t>发布日期</w:t>
            </w:r>
          </w:p>
        </w:tc>
        <w:tc>
          <w:tcPr>
            <w:tcW w:w="1550" w:type="dxa"/>
            <w:vAlign w:val="center"/>
          </w:tcPr>
          <w:p>
            <w:pPr>
              <w:spacing w:line="360" w:lineRule="auto"/>
              <w:jc w:val="center"/>
              <w:rPr>
                <w:rFonts w:ascii="宋体" w:hAnsi="宋体"/>
              </w:rPr>
            </w:pPr>
            <w:r>
              <w:rPr>
                <w:rFonts w:hint="eastAsia" w:ascii="宋体" w:hAnsi="宋体"/>
              </w:rPr>
              <w:t>修改人/</w:t>
            </w:r>
          </w:p>
          <w:p>
            <w:pPr>
              <w:spacing w:line="360" w:lineRule="auto"/>
              <w:jc w:val="center"/>
              <w:rPr>
                <w:rFonts w:ascii="宋体" w:hAnsi="宋体"/>
              </w:rPr>
            </w:pPr>
            <w:r>
              <w:rPr>
                <w:rFonts w:hint="eastAsia" w:ascii="宋体" w:hAnsi="宋体"/>
              </w:rPr>
              <w:t>修改日期</w:t>
            </w:r>
          </w:p>
        </w:tc>
        <w:tc>
          <w:tcPr>
            <w:tcW w:w="1459" w:type="dxa"/>
            <w:vAlign w:val="center"/>
          </w:tcPr>
          <w:p>
            <w:pPr>
              <w:spacing w:line="360" w:lineRule="auto"/>
              <w:jc w:val="center"/>
              <w:rPr>
                <w:rFonts w:ascii="宋体" w:hAnsi="宋体"/>
              </w:rPr>
            </w:pPr>
            <w:r>
              <w:rPr>
                <w:rFonts w:hint="eastAsia" w:ascii="宋体" w:hAnsi="宋体"/>
              </w:rPr>
              <w:t>审核人/</w:t>
            </w:r>
          </w:p>
          <w:p>
            <w:pPr>
              <w:spacing w:line="360" w:lineRule="auto"/>
              <w:jc w:val="center"/>
              <w:rPr>
                <w:rFonts w:ascii="宋体" w:hAnsi="宋体"/>
              </w:rPr>
            </w:pPr>
            <w:r>
              <w:rPr>
                <w:rFonts w:hint="eastAsia" w:ascii="宋体" w:hAnsi="宋体"/>
              </w:rPr>
              <w:t>审核日期</w:t>
            </w:r>
          </w:p>
        </w:tc>
        <w:tc>
          <w:tcPr>
            <w:tcW w:w="1566" w:type="dxa"/>
            <w:vAlign w:val="center"/>
          </w:tcPr>
          <w:p>
            <w:pPr>
              <w:spacing w:line="360" w:lineRule="auto"/>
              <w:jc w:val="center"/>
              <w:rPr>
                <w:rFonts w:ascii="宋体" w:hAnsi="宋体"/>
              </w:rPr>
            </w:pPr>
            <w:r>
              <w:rPr>
                <w:rFonts w:hint="eastAsia" w:ascii="宋体" w:hAnsi="宋体"/>
              </w:rPr>
              <w:t>批准人/</w:t>
            </w:r>
          </w:p>
          <w:p>
            <w:pPr>
              <w:spacing w:line="360" w:lineRule="auto"/>
              <w:jc w:val="center"/>
              <w:rPr>
                <w:rFonts w:ascii="宋体" w:hAnsi="宋体"/>
              </w:rPr>
            </w:pPr>
            <w:r>
              <w:rPr>
                <w:rFonts w:hint="eastAsia" w:ascii="宋体" w:hAnsi="宋体"/>
              </w:rPr>
              <w:t>批准日期</w:t>
            </w:r>
          </w:p>
        </w:tc>
        <w:tc>
          <w:tcPr>
            <w:tcW w:w="2118" w:type="dxa"/>
            <w:vAlign w:val="center"/>
          </w:tcPr>
          <w:p>
            <w:pPr>
              <w:spacing w:line="360" w:lineRule="auto"/>
              <w:jc w:val="center"/>
              <w:rPr>
                <w:rFonts w:ascii="宋体" w:hAnsi="宋体"/>
              </w:rPr>
            </w:pPr>
            <w:r>
              <w:rPr>
                <w:rFonts w:hint="eastAsia" w:ascii="宋体" w:hAnsi="宋体"/>
              </w:rPr>
              <w:t>修订原因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hint="eastAsia" w:ascii="宋体" w:hAnsi="宋体" w:eastAsia="宋体" w:cs="宋体"/>
                <w:lang w:val="en-US" w:eastAsia="zh-CN"/>
              </w:rPr>
            </w:pPr>
            <w:r>
              <w:rPr>
                <w:rFonts w:hint="eastAsia" w:ascii="宋体" w:hAnsi="宋体" w:cs="宋体"/>
                <w:lang w:val="en-US" w:eastAsia="zh-CN"/>
              </w:rPr>
              <w:t>V1.0</w:t>
            </w:r>
          </w:p>
        </w:tc>
        <w:tc>
          <w:tcPr>
            <w:tcW w:w="1479" w:type="dxa"/>
            <w:vAlign w:val="center"/>
          </w:tcPr>
          <w:p>
            <w:pPr>
              <w:jc w:val="center"/>
              <w:rPr>
                <w:rFonts w:ascii="宋体" w:hAnsi="宋体" w:cs="宋体"/>
              </w:rPr>
            </w:pPr>
            <w:r>
              <w:rPr>
                <w:rFonts w:hint="eastAsia" w:ascii="宋体" w:hAnsi="宋体" w:cs="宋体"/>
              </w:rPr>
              <w:t>2019.1.1</w:t>
            </w:r>
          </w:p>
        </w:tc>
        <w:tc>
          <w:tcPr>
            <w:tcW w:w="1550" w:type="dxa"/>
            <w:vAlign w:val="center"/>
          </w:tcPr>
          <w:p>
            <w:pPr>
              <w:spacing w:after="0" w:afterLines="0"/>
              <w:jc w:val="center"/>
              <w:rPr>
                <w:rFonts w:ascii="宋体" w:hAnsi="宋体" w:cs="宋体"/>
              </w:rPr>
            </w:pPr>
            <w:r>
              <w:rPr>
                <w:rFonts w:hint="eastAsia" w:ascii="宋体" w:hAnsi="宋体" w:cs="宋体"/>
                <w:szCs w:val="22"/>
                <w:lang w:eastAsia="zh-CN"/>
              </w:rPr>
              <w:t>唐旭</w:t>
            </w:r>
            <w:r>
              <w:rPr>
                <w:rFonts w:hint="eastAsia" w:ascii="宋体" w:hAnsi="宋体" w:cs="宋体"/>
                <w:lang w:val="en-US" w:eastAsia="zh-CN"/>
              </w:rPr>
              <w:t>/2018.12.9</w:t>
            </w:r>
          </w:p>
        </w:tc>
        <w:tc>
          <w:tcPr>
            <w:tcW w:w="1459" w:type="dxa"/>
            <w:vAlign w:val="center"/>
          </w:tcPr>
          <w:p>
            <w:pPr>
              <w:spacing w:after="0" w:afterLines="0"/>
              <w:jc w:val="center"/>
              <w:rPr>
                <w:rFonts w:ascii="宋体" w:hAnsi="宋体" w:cs="宋体"/>
              </w:rPr>
            </w:pPr>
            <w:r>
              <w:rPr>
                <w:rFonts w:hint="eastAsia" w:ascii="宋体" w:hAnsi="宋体" w:cs="宋体"/>
                <w:lang w:eastAsia="zh-CN"/>
              </w:rPr>
              <w:t>吴克</w:t>
            </w:r>
            <w:r>
              <w:rPr>
                <w:rFonts w:hint="eastAsia" w:ascii="宋体" w:hAnsi="宋体" w:cs="宋体"/>
                <w:lang w:val="en-US" w:eastAsia="zh-CN"/>
              </w:rPr>
              <w:t>/2018.12.25</w:t>
            </w:r>
          </w:p>
        </w:tc>
        <w:tc>
          <w:tcPr>
            <w:tcW w:w="1566" w:type="dxa"/>
            <w:vAlign w:val="center"/>
          </w:tcPr>
          <w:p>
            <w:pPr>
              <w:spacing w:after="0" w:afterLines="0"/>
              <w:jc w:val="center"/>
              <w:rPr>
                <w:rFonts w:ascii="宋体" w:hAnsi="宋体"/>
              </w:rPr>
            </w:pPr>
            <w:r>
              <w:rPr>
                <w:rFonts w:hint="eastAsia" w:ascii="宋体" w:hAnsi="宋体" w:cs="宋体"/>
                <w:lang w:val="en-US" w:eastAsia="zh-CN"/>
              </w:rPr>
              <w:t>孙元朝/2019.1.1</w:t>
            </w:r>
          </w:p>
        </w:tc>
        <w:tc>
          <w:tcPr>
            <w:tcW w:w="2118" w:type="dxa"/>
            <w:vAlign w:val="center"/>
          </w:tcPr>
          <w:p>
            <w:pPr>
              <w:spacing w:line="360" w:lineRule="auto"/>
              <w:jc w:val="center"/>
              <w:rPr>
                <w:rFonts w:ascii="宋体" w:hAnsi="宋体"/>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r>
              <w:rPr>
                <w:rFonts w:hint="eastAsia" w:ascii="宋体" w:hAnsi="宋体"/>
                <w:lang w:val="en-US" w:eastAsia="zh-CN"/>
              </w:rPr>
              <w:t>V1.1</w:t>
            </w:r>
          </w:p>
        </w:tc>
        <w:tc>
          <w:tcPr>
            <w:tcW w:w="1479" w:type="dxa"/>
            <w:vAlign w:val="center"/>
          </w:tcPr>
          <w:p>
            <w:pPr>
              <w:spacing w:after="0" w:afterLines="0"/>
              <w:jc w:val="center"/>
              <w:rPr>
                <w:rFonts w:ascii="宋体" w:hAnsi="宋体"/>
              </w:rPr>
            </w:pPr>
            <w:r>
              <w:rPr>
                <w:rFonts w:hint="eastAsia" w:ascii="宋体" w:hAnsi="宋体" w:cs="宋体"/>
              </w:rPr>
              <w:t>20</w:t>
            </w:r>
            <w:r>
              <w:rPr>
                <w:rFonts w:hint="eastAsia" w:ascii="宋体" w:hAnsi="宋体" w:cs="宋体"/>
                <w:lang w:val="en-US" w:eastAsia="zh-CN"/>
              </w:rPr>
              <w:t>19.8.20</w:t>
            </w:r>
          </w:p>
        </w:tc>
        <w:tc>
          <w:tcPr>
            <w:tcW w:w="1550" w:type="dxa"/>
            <w:vAlign w:val="center"/>
          </w:tcPr>
          <w:p>
            <w:pPr>
              <w:spacing w:after="0" w:afterLines="0"/>
              <w:jc w:val="center"/>
              <w:rPr>
                <w:rFonts w:ascii="宋体" w:hAnsi="宋体"/>
              </w:rPr>
            </w:pPr>
            <w:r>
              <w:rPr>
                <w:rFonts w:hint="eastAsia" w:ascii="宋体" w:hAnsi="宋体" w:cs="宋体"/>
                <w:szCs w:val="22"/>
                <w:lang w:eastAsia="zh-CN"/>
              </w:rPr>
              <w:t>唐旭</w:t>
            </w:r>
            <w:r>
              <w:rPr>
                <w:rFonts w:hint="eastAsia" w:ascii="宋体" w:hAnsi="宋体" w:cs="宋体"/>
                <w:lang w:val="en-US" w:eastAsia="zh-CN"/>
              </w:rPr>
              <w:t>/2019.8.19</w:t>
            </w:r>
          </w:p>
        </w:tc>
        <w:tc>
          <w:tcPr>
            <w:tcW w:w="1459" w:type="dxa"/>
            <w:vAlign w:val="center"/>
          </w:tcPr>
          <w:p>
            <w:pPr>
              <w:spacing w:after="0" w:afterLines="0"/>
              <w:jc w:val="center"/>
              <w:rPr>
                <w:rFonts w:ascii="宋体" w:hAnsi="宋体"/>
              </w:rPr>
            </w:pPr>
            <w:r>
              <w:rPr>
                <w:rFonts w:hint="eastAsia" w:ascii="宋体" w:hAnsi="宋体" w:cs="宋体"/>
                <w:lang w:eastAsia="zh-CN"/>
              </w:rPr>
              <w:t>吴克</w:t>
            </w:r>
            <w:r>
              <w:rPr>
                <w:rFonts w:hint="eastAsia" w:ascii="宋体" w:hAnsi="宋体" w:cs="宋体"/>
                <w:lang w:val="en-US" w:eastAsia="zh-CN"/>
              </w:rPr>
              <w:t>/2019.8.19</w:t>
            </w:r>
          </w:p>
        </w:tc>
        <w:tc>
          <w:tcPr>
            <w:tcW w:w="1566" w:type="dxa"/>
            <w:vAlign w:val="center"/>
          </w:tcPr>
          <w:p>
            <w:pPr>
              <w:spacing w:after="0" w:afterLines="0"/>
              <w:jc w:val="center"/>
              <w:rPr>
                <w:rFonts w:ascii="宋体" w:hAnsi="宋体"/>
              </w:rPr>
            </w:pPr>
            <w:r>
              <w:rPr>
                <w:rFonts w:hint="eastAsia" w:ascii="宋体" w:hAnsi="宋体" w:cs="宋体"/>
                <w:lang w:val="en-US" w:eastAsia="zh-CN"/>
              </w:rPr>
              <w:t>孙元朝/2019.8.20</w:t>
            </w:r>
          </w:p>
        </w:tc>
        <w:tc>
          <w:tcPr>
            <w:tcW w:w="2118" w:type="dxa"/>
            <w:vAlign w:val="center"/>
          </w:tcPr>
          <w:p>
            <w:pPr>
              <w:spacing w:after="0" w:afterLines="0" w:line="360" w:lineRule="auto"/>
              <w:jc w:val="center"/>
              <w:rPr>
                <w:rFonts w:ascii="宋体" w:hAnsi="宋体" w:cs="宋体"/>
              </w:rPr>
            </w:pPr>
            <w:r>
              <w:rPr>
                <w:rFonts w:hint="eastAsia" w:ascii="宋体" w:hAnsi="宋体"/>
                <w:lang w:eastAsia="zh-CN"/>
              </w:rPr>
              <w:t>修订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sectPr>
          <w:headerReference r:id="rId4" w:type="first"/>
          <w:headerReference r:id="rId3" w:type="default"/>
          <w:pgSz w:w="11906" w:h="16838"/>
          <w:pgMar w:top="1440" w:right="1797" w:bottom="1440" w:left="1797" w:header="851" w:footer="992" w:gutter="0"/>
          <w:cols w:space="425" w:num="1"/>
          <w:titlePg/>
          <w:docGrid w:type="lines" w:linePitch="312" w:charSpace="0"/>
        </w:sectPr>
      </w:pPr>
    </w:p>
    <w:p>
      <w:pPr>
        <w:jc w:val="center"/>
        <w:rPr>
          <w:b/>
          <w:sz w:val="44"/>
          <w:szCs w:val="44"/>
        </w:rPr>
      </w:pPr>
      <w:r>
        <w:rPr>
          <w:rFonts w:hint="eastAsia"/>
          <w:b/>
          <w:sz w:val="44"/>
          <w:szCs w:val="44"/>
        </w:rPr>
        <w:t>目  录</w:t>
      </w:r>
    </w:p>
    <w:p>
      <w:pPr>
        <w:pStyle w:val="13"/>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"_Toc493519281" </w:instrText>
      </w:r>
      <w:r>
        <w:fldChar w:fldCharType="separate"/>
      </w:r>
      <w:r>
        <w:rPr>
          <w:rStyle w:val="18"/>
          <w:rFonts w:asciiTheme="minorEastAsia" w:hAnsiTheme="minorEastAsia"/>
        </w:rPr>
        <w:t>1编写目的</w:t>
      </w:r>
      <w:r>
        <w:tab/>
      </w:r>
      <w:r>
        <w:fldChar w:fldCharType="begin"/>
      </w:r>
      <w:r>
        <w:instrText xml:space="preserve"> PAGEREF _Toc493519281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"_Toc493519282" </w:instrText>
      </w:r>
      <w:r>
        <w:fldChar w:fldCharType="separate"/>
      </w:r>
      <w:r>
        <w:rPr>
          <w:rStyle w:val="18"/>
          <w:rFonts w:asciiTheme="minorEastAsia" w:hAnsiTheme="minorEastAsia"/>
        </w:rPr>
        <w:t>2流程目标</w:t>
      </w:r>
      <w:r>
        <w:tab/>
      </w:r>
      <w:r>
        <w:fldChar w:fldCharType="begin"/>
      </w:r>
      <w:r>
        <w:instrText xml:space="preserve"> PAGEREF _Toc493519282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"_Toc493519283" </w:instrText>
      </w:r>
      <w:r>
        <w:fldChar w:fldCharType="separate"/>
      </w:r>
      <w:r>
        <w:rPr>
          <w:rStyle w:val="18"/>
        </w:rPr>
        <w:t>3 接入标准</w:t>
      </w:r>
      <w:r>
        <w:tab/>
      </w:r>
      <w:r>
        <w:fldChar w:fldCharType="begin"/>
      </w:r>
      <w:r>
        <w:instrText xml:space="preserve"> PAGEREF _Toc493519283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"_Toc493519284" </w:instrText>
      </w:r>
      <w:r>
        <w:fldChar w:fldCharType="separate"/>
      </w:r>
      <w:r>
        <w:rPr>
          <w:rStyle w:val="18"/>
          <w:rFonts w:asciiTheme="minorEastAsia" w:hAnsiTheme="minorEastAsia"/>
        </w:rPr>
        <w:t>4适用范围</w:t>
      </w:r>
      <w:r>
        <w:tab/>
      </w:r>
      <w:r>
        <w:fldChar w:fldCharType="begin"/>
      </w:r>
      <w:r>
        <w:instrText xml:space="preserve"> PAGEREF _Toc493519284 \h </w:instrText>
      </w:r>
      <w:r>
        <w:fldChar w:fldCharType="separate"/>
      </w:r>
      <w:r>
        <w:t>2</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"_Toc493519285" </w:instrText>
      </w:r>
      <w:r>
        <w:fldChar w:fldCharType="separate"/>
      </w:r>
      <w:r>
        <w:rPr>
          <w:rStyle w:val="18"/>
          <w:rFonts w:asciiTheme="minorEastAsia" w:hAnsiTheme="minorEastAsia"/>
        </w:rPr>
        <w:t>5岗位和职责</w:t>
      </w:r>
      <w:r>
        <w:tab/>
      </w:r>
      <w:r>
        <w:fldChar w:fldCharType="begin"/>
      </w:r>
      <w:r>
        <w:instrText xml:space="preserve"> PAGEREF _Toc493519285 \h </w:instrText>
      </w:r>
      <w:r>
        <w:fldChar w:fldCharType="separate"/>
      </w:r>
      <w:r>
        <w:t>2</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"_Toc493519286" </w:instrText>
      </w:r>
      <w:r>
        <w:fldChar w:fldCharType="separate"/>
      </w:r>
      <w:r>
        <w:rPr>
          <w:rStyle w:val="18"/>
        </w:rPr>
        <w:t>5.1 服务台经理职责</w:t>
      </w:r>
      <w:r>
        <w:tab/>
      </w:r>
      <w:r>
        <w:fldChar w:fldCharType="begin"/>
      </w:r>
      <w:r>
        <w:instrText xml:space="preserve"> PAGEREF _Toc493519286 \h </w:instrText>
      </w:r>
      <w:r>
        <w:fldChar w:fldCharType="separate"/>
      </w:r>
      <w:r>
        <w:t>2</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"_Toc493519287" </w:instrText>
      </w:r>
      <w:r>
        <w:fldChar w:fldCharType="separate"/>
      </w:r>
      <w:r>
        <w:rPr>
          <w:rStyle w:val="18"/>
        </w:rPr>
        <w:t>5.2 服务台坐席职责</w:t>
      </w:r>
      <w:r>
        <w:tab/>
      </w:r>
      <w:r>
        <w:fldChar w:fldCharType="begin"/>
      </w:r>
      <w:r>
        <w:instrText xml:space="preserve"> PAGEREF _Toc493519287 \h </w:instrText>
      </w:r>
      <w:r>
        <w:fldChar w:fldCharType="separate"/>
      </w:r>
      <w:r>
        <w:t>3</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"_Toc493519288" </w:instrText>
      </w:r>
      <w:r>
        <w:fldChar w:fldCharType="separate"/>
      </w:r>
      <w:r>
        <w:rPr>
          <w:rStyle w:val="18"/>
        </w:rPr>
        <w:t>6服务台的主要工作内容</w:t>
      </w:r>
      <w:bookmarkStart w:id="56" w:name="_GoBack"/>
      <w:bookmarkEnd w:id="56"/>
      <w:r>
        <w:tab/>
      </w:r>
      <w:r>
        <w:fldChar w:fldCharType="begin"/>
      </w:r>
      <w:r>
        <w:instrText xml:space="preserve"> PAGEREF _Toc493519288 \h </w:instrText>
      </w:r>
      <w:r>
        <w:fldChar w:fldCharType="separate"/>
      </w:r>
      <w:r>
        <w:t>3</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"_Toc493519289" </w:instrText>
      </w:r>
      <w:r>
        <w:fldChar w:fldCharType="separate"/>
      </w:r>
      <w:r>
        <w:rPr>
          <w:rStyle w:val="18"/>
        </w:rPr>
        <w:t>7服务台操作流程</w:t>
      </w:r>
      <w:r>
        <w:tab/>
      </w:r>
      <w:r>
        <w:fldChar w:fldCharType="begin"/>
      </w:r>
      <w:r>
        <w:instrText xml:space="preserve"> PAGEREF _Toc493519289 \h </w:instrText>
      </w:r>
      <w:r>
        <w:fldChar w:fldCharType="separate"/>
      </w:r>
      <w:r>
        <w:t>4</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"_Toc493519290" </w:instrText>
      </w:r>
      <w:r>
        <w:fldChar w:fldCharType="separate"/>
      </w:r>
      <w:r>
        <w:rPr>
          <w:rStyle w:val="18"/>
        </w:rPr>
        <w:t>7.1事件/服务请求操作流程说明</w:t>
      </w:r>
      <w:r>
        <w:tab/>
      </w:r>
      <w:r>
        <w:fldChar w:fldCharType="begin"/>
      </w:r>
      <w:r>
        <w:instrText xml:space="preserve"> PAGEREF _Toc493519290 \h </w:instrText>
      </w:r>
      <w:r>
        <w:fldChar w:fldCharType="separate"/>
      </w:r>
      <w:r>
        <w:t>4</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"_Toc493519291" </w:instrText>
      </w:r>
      <w:r>
        <w:fldChar w:fldCharType="separate"/>
      </w:r>
      <w:r>
        <w:rPr>
          <w:rStyle w:val="18"/>
        </w:rPr>
        <w:t>7.1.1事件/服务请求记录</w:t>
      </w:r>
      <w:r>
        <w:tab/>
      </w:r>
      <w:r>
        <w:fldChar w:fldCharType="begin"/>
      </w:r>
      <w:r>
        <w:instrText xml:space="preserve"> PAGEREF _Toc493519291 \h </w:instrText>
      </w:r>
      <w:r>
        <w:fldChar w:fldCharType="separate"/>
      </w:r>
      <w:r>
        <w:t>4</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"_Toc493519292" </w:instrText>
      </w:r>
      <w:r>
        <w:fldChar w:fldCharType="separate"/>
      </w:r>
      <w:r>
        <w:rPr>
          <w:rStyle w:val="18"/>
        </w:rPr>
        <w:t>7.1.2事件/服务请求派发</w:t>
      </w:r>
      <w:r>
        <w:tab/>
      </w:r>
      <w:r>
        <w:fldChar w:fldCharType="begin"/>
      </w:r>
      <w:r>
        <w:instrText xml:space="preserve"> PAGEREF _Toc493519292 \h </w:instrText>
      </w:r>
      <w:r>
        <w:fldChar w:fldCharType="separate"/>
      </w:r>
      <w:r>
        <w:t>6</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"_Toc493519293" </w:instrText>
      </w:r>
      <w:r>
        <w:fldChar w:fldCharType="separate"/>
      </w:r>
      <w:r>
        <w:rPr>
          <w:rStyle w:val="18"/>
        </w:rPr>
        <w:t>7.1.3 用户回访</w:t>
      </w:r>
      <w:r>
        <w:tab/>
      </w:r>
      <w:r>
        <w:fldChar w:fldCharType="begin"/>
      </w:r>
      <w:r>
        <w:instrText xml:space="preserve"> PAGEREF _Toc493519293 \h </w:instrText>
      </w:r>
      <w:r>
        <w:fldChar w:fldCharType="separate"/>
      </w:r>
      <w:r>
        <w:t>6</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"_Toc493519294" </w:instrText>
      </w:r>
      <w:r>
        <w:fldChar w:fldCharType="separate"/>
      </w:r>
      <w:r>
        <w:rPr>
          <w:rStyle w:val="18"/>
        </w:rPr>
        <w:t>8服务台管理指标</w:t>
      </w:r>
      <w:r>
        <w:tab/>
      </w:r>
      <w:r>
        <w:fldChar w:fldCharType="begin"/>
      </w:r>
      <w:r>
        <w:instrText xml:space="preserve"> PAGEREF _Toc493519294 \h </w:instrText>
      </w:r>
      <w:r>
        <w:fldChar w:fldCharType="separate"/>
      </w:r>
      <w:r>
        <w:t>7</w:t>
      </w:r>
      <w:r>
        <w:fldChar w:fldCharType="end"/>
      </w:r>
      <w:r>
        <w:fldChar w:fldCharType="end"/>
      </w:r>
    </w:p>
    <w:p>
      <w:r>
        <w:fldChar w:fldCharType="end"/>
      </w:r>
    </w:p>
    <w:p>
      <w:pPr>
        <w:sectPr>
          <w:pgSz w:w="11906" w:h="16838"/>
          <w:pgMar w:top="1440" w:right="1797" w:bottom="1440" w:left="1797" w:header="851" w:footer="992" w:gutter="0"/>
          <w:cols w:space="425" w:num="1"/>
          <w:titlePg/>
          <w:docGrid w:type="lines" w:linePitch="312" w:charSpace="0"/>
        </w:sectPr>
      </w:pPr>
    </w:p>
    <w:p>
      <w:pPr>
        <w:pStyle w:val="2"/>
        <w:rPr>
          <w:rFonts w:asciiTheme="minorEastAsia" w:hAnsiTheme="minorEastAsia" w:eastAsiaTheme="minorEastAsia"/>
          <w:sz w:val="28"/>
          <w:szCs w:val="28"/>
        </w:rPr>
      </w:pPr>
      <w:bookmarkStart w:id="0" w:name="_Toc471997062"/>
      <w:bookmarkStart w:id="1" w:name="_Toc394997951"/>
      <w:bookmarkStart w:id="2" w:name="_Toc390859467"/>
      <w:bookmarkStart w:id="3" w:name="_Toc493519281"/>
      <w:bookmarkStart w:id="4" w:name="_Toc396399756"/>
      <w:r>
        <w:rPr>
          <w:rFonts w:hint="eastAsia" w:asciiTheme="minorEastAsia" w:hAnsiTheme="minorEastAsia" w:eastAsiaTheme="minorEastAsia"/>
          <w:sz w:val="28"/>
          <w:szCs w:val="28"/>
        </w:rPr>
        <w:t>1编写目的</w:t>
      </w:r>
      <w:bookmarkEnd w:id="0"/>
      <w:bookmarkEnd w:id="1"/>
      <w:bookmarkEnd w:id="2"/>
      <w:bookmarkEnd w:id="3"/>
      <w:bookmarkEnd w:id="4"/>
    </w:p>
    <w:p>
      <w:pPr>
        <w:snapToGrid w:val="0"/>
        <w:spacing w:before="60" w:line="360" w:lineRule="auto"/>
        <w:ind w:firstLine="426"/>
        <w:rPr>
          <w:rFonts w:ascii="宋体" w:hAnsi="宋体" w:cs="Arial"/>
          <w:sz w:val="24"/>
        </w:rPr>
      </w:pPr>
      <w:r>
        <w:rPr>
          <w:rFonts w:ascii="宋体" w:hAnsi="宋体" w:cs="Arial"/>
          <w:sz w:val="24"/>
        </w:rPr>
        <w:t>本文件编写的目的是</w:t>
      </w:r>
      <w:r>
        <w:rPr>
          <w:rFonts w:hint="eastAsia" w:ascii="宋体" w:hAnsi="宋体" w:cs="Arial"/>
          <w:sz w:val="24"/>
        </w:rPr>
        <w:t>为了</w:t>
      </w:r>
      <w:r>
        <w:rPr>
          <w:rFonts w:ascii="宋体" w:hAnsi="宋体" w:cs="Arial"/>
          <w:sz w:val="24"/>
        </w:rPr>
        <w:t>规范</w:t>
      </w:r>
      <w:r>
        <w:rPr>
          <w:rFonts w:hint="eastAsia" w:ascii="宋体" w:hAnsi="宋体" w:cs="Arial"/>
          <w:sz w:val="24"/>
        </w:rPr>
        <w:t>化管理青岛九邮信息技术有限公司（以下简称：青岛九邮）在IT运维服务业务中所承担运维项目的运维团队。</w:t>
      </w:r>
      <w:r>
        <w:rPr>
          <w:rFonts w:ascii="宋体" w:hAnsi="宋体" w:cs="Arial"/>
          <w:sz w:val="24"/>
        </w:rPr>
        <w:t>提供</w:t>
      </w:r>
      <w:r>
        <w:rPr>
          <w:rFonts w:hint="eastAsia" w:ascii="宋体" w:hAnsi="宋体" w:cs="Arial"/>
          <w:sz w:val="24"/>
        </w:rPr>
        <w:t>在运维管理过程中服务台标准化的工作流程管理制度和依据，使服务台可以统一规范管理事件/服务请求，合理分配资源，定义事件/服务请求级别，提高处置效率。使各运维项目发挥最大效益，</w:t>
      </w:r>
      <w:r>
        <w:rPr>
          <w:rFonts w:ascii="宋体" w:hAnsi="宋体" w:cs="Arial"/>
          <w:sz w:val="24"/>
        </w:rPr>
        <w:t>确保</w:t>
      </w:r>
      <w:r>
        <w:rPr>
          <w:rFonts w:hint="eastAsia" w:ascii="宋体" w:hAnsi="宋体" w:cs="Arial"/>
          <w:sz w:val="24"/>
        </w:rPr>
        <w:t>达成系统各项运维指标，提高用户满意度</w:t>
      </w:r>
      <w:r>
        <w:rPr>
          <w:rFonts w:ascii="宋体" w:hAnsi="宋体" w:cs="Arial"/>
          <w:sz w:val="24"/>
        </w:rPr>
        <w:t>。</w:t>
      </w:r>
    </w:p>
    <w:p>
      <w:pPr>
        <w:pStyle w:val="2"/>
        <w:rPr>
          <w:rFonts w:asciiTheme="minorEastAsia" w:hAnsiTheme="minorEastAsia" w:eastAsiaTheme="minorEastAsia"/>
          <w:sz w:val="28"/>
          <w:szCs w:val="28"/>
        </w:rPr>
      </w:pPr>
      <w:bookmarkStart w:id="5" w:name="_Toc390859468"/>
      <w:bookmarkStart w:id="6" w:name="_Toc396399757"/>
      <w:bookmarkStart w:id="7" w:name="_Toc394997952"/>
      <w:bookmarkStart w:id="8" w:name="_Toc493519282"/>
      <w:bookmarkStart w:id="9" w:name="_Toc471997063"/>
      <w:r>
        <w:rPr>
          <w:rFonts w:hint="eastAsia" w:asciiTheme="minorEastAsia" w:hAnsiTheme="minorEastAsia" w:eastAsiaTheme="minorEastAsia"/>
          <w:sz w:val="28"/>
          <w:szCs w:val="28"/>
        </w:rPr>
        <w:t>2流程目标</w:t>
      </w:r>
      <w:bookmarkEnd w:id="5"/>
      <w:bookmarkEnd w:id="6"/>
      <w:bookmarkEnd w:id="7"/>
      <w:bookmarkEnd w:id="8"/>
      <w:bookmarkEnd w:id="9"/>
    </w:p>
    <w:p>
      <w:pPr>
        <w:pStyle w:val="23"/>
        <w:numPr>
          <w:ilvl w:val="0"/>
          <w:numId w:val="1"/>
        </w:numPr>
        <w:spacing w:line="360" w:lineRule="auto"/>
        <w:ind w:left="142" w:hanging="142" w:firstLineChars="0"/>
        <w:rPr>
          <w:sz w:val="24"/>
        </w:rPr>
      </w:pPr>
      <w:r>
        <w:rPr>
          <w:rFonts w:hint="eastAsia"/>
          <w:sz w:val="24"/>
        </w:rPr>
        <w:t>准确记录下用户的事件/服务请求并对此进行分类。</w:t>
      </w:r>
    </w:p>
    <w:p>
      <w:pPr>
        <w:pStyle w:val="23"/>
        <w:numPr>
          <w:ilvl w:val="0"/>
          <w:numId w:val="1"/>
        </w:numPr>
        <w:spacing w:line="360" w:lineRule="auto"/>
        <w:ind w:left="142" w:hanging="142" w:firstLineChars="0"/>
        <w:rPr>
          <w:sz w:val="24"/>
        </w:rPr>
      </w:pPr>
      <w:r>
        <w:rPr>
          <w:rFonts w:hint="eastAsia"/>
          <w:sz w:val="24"/>
        </w:rPr>
        <w:t>以最快的速度帮助用户解决事件/服务请求或对无法立即处理的事件分派给技术支持，力求使用户对服务处理过程感到满意，使故障对用户的影响最小化。</w:t>
      </w:r>
    </w:p>
    <w:p>
      <w:pPr>
        <w:pStyle w:val="23"/>
        <w:numPr>
          <w:ilvl w:val="0"/>
          <w:numId w:val="1"/>
        </w:numPr>
        <w:spacing w:line="360" w:lineRule="auto"/>
        <w:ind w:left="142" w:hanging="142" w:firstLineChars="0"/>
        <w:rPr>
          <w:sz w:val="24"/>
        </w:rPr>
      </w:pPr>
      <w:r>
        <w:rPr>
          <w:rFonts w:hint="eastAsia"/>
          <w:sz w:val="24"/>
        </w:rPr>
        <w:t>服务台人员能够准确回答用户的问题并给与用户处理状态的反馈信息，从而达到事件/服务请求状态的透明化；</w:t>
      </w:r>
    </w:p>
    <w:p>
      <w:pPr>
        <w:pStyle w:val="23"/>
        <w:numPr>
          <w:ilvl w:val="0"/>
          <w:numId w:val="1"/>
        </w:numPr>
        <w:spacing w:line="360" w:lineRule="auto"/>
        <w:ind w:left="142" w:hanging="142" w:firstLineChars="0"/>
        <w:rPr>
          <w:sz w:val="24"/>
        </w:rPr>
      </w:pPr>
      <w:r>
        <w:rPr>
          <w:rFonts w:hint="eastAsia"/>
          <w:sz w:val="24"/>
        </w:rPr>
        <w:t>对服务过程和服务结果进行整理和分析，为IT运维服务管理的改善提供所需信息，提高事件/服务请求解决速度。</w:t>
      </w:r>
    </w:p>
    <w:p>
      <w:pPr>
        <w:pStyle w:val="23"/>
        <w:numPr>
          <w:ilvl w:val="0"/>
          <w:numId w:val="1"/>
        </w:numPr>
        <w:spacing w:line="360" w:lineRule="auto"/>
        <w:ind w:left="142" w:hanging="142" w:firstLineChars="0"/>
        <w:rPr>
          <w:sz w:val="24"/>
        </w:rPr>
      </w:pPr>
      <w:r>
        <w:rPr>
          <w:rFonts w:hint="eastAsia"/>
          <w:sz w:val="24"/>
        </w:rPr>
        <w:t>为服务台相关岗位的工作量和岗位职责提供考核制度的依据。</w:t>
      </w:r>
    </w:p>
    <w:p>
      <w:pPr>
        <w:pStyle w:val="23"/>
        <w:numPr>
          <w:ilvl w:val="0"/>
          <w:numId w:val="1"/>
        </w:numPr>
        <w:spacing w:line="360" w:lineRule="auto"/>
        <w:ind w:left="142" w:hanging="142" w:firstLineChars="0"/>
        <w:rPr>
          <w:sz w:val="24"/>
        </w:rPr>
      </w:pPr>
      <w:r>
        <w:rPr>
          <w:rFonts w:hint="eastAsia"/>
          <w:sz w:val="24"/>
        </w:rPr>
        <w:t>通过对服务台的管理，提高整体运维服务技术支持率，以及即时响应率和即时解决率。</w:t>
      </w:r>
    </w:p>
    <w:p>
      <w:pPr>
        <w:pStyle w:val="2"/>
        <w:rPr>
          <w:sz w:val="28"/>
          <w:szCs w:val="28"/>
        </w:rPr>
      </w:pPr>
      <w:bookmarkStart w:id="10" w:name="_Toc471997064"/>
      <w:bookmarkStart w:id="11" w:name="_Toc493519283"/>
      <w:r>
        <w:rPr>
          <w:rFonts w:hint="eastAsia"/>
          <w:sz w:val="28"/>
          <w:szCs w:val="28"/>
        </w:rPr>
        <w:t>3 接入标准</w:t>
      </w:r>
      <w:bookmarkEnd w:id="10"/>
      <w:bookmarkEnd w:id="11"/>
    </w:p>
    <w:p>
      <w:pPr>
        <w:snapToGrid w:val="0"/>
        <w:spacing w:before="20" w:line="360" w:lineRule="auto"/>
        <w:ind w:left="134" w:leftChars="64" w:right="26" w:firstLine="424" w:firstLineChars="177"/>
        <w:jc w:val="left"/>
        <w:rPr>
          <w:rFonts w:ascii="宋体" w:hAnsi="宋体"/>
          <w:sz w:val="24"/>
        </w:rPr>
      </w:pPr>
      <w:r>
        <w:rPr>
          <w:rFonts w:hint="eastAsia" w:ascii="宋体" w:hAnsi="宋体"/>
          <w:sz w:val="24"/>
        </w:rPr>
        <w:t>服务台采用有效手段和方法受理需方的咨询和运行维护服务事件</w:t>
      </w:r>
      <w:r>
        <w:rPr>
          <w:rFonts w:hint="eastAsia"/>
          <w:sz w:val="24"/>
        </w:rPr>
        <w:t>/服务请求</w:t>
      </w:r>
      <w:r>
        <w:rPr>
          <w:rFonts w:hint="eastAsia" w:ascii="宋体" w:hAnsi="宋体"/>
          <w:sz w:val="24"/>
        </w:rPr>
        <w:t>的应答，公司服务台提供三种处理方式：</w:t>
      </w:r>
    </w:p>
    <w:p>
      <w:pPr>
        <w:pStyle w:val="23"/>
        <w:numPr>
          <w:ilvl w:val="0"/>
          <w:numId w:val="2"/>
        </w:numPr>
        <w:snapToGrid w:val="0"/>
        <w:spacing w:before="20" w:line="360" w:lineRule="auto"/>
        <w:ind w:right="26" w:firstLineChars="0"/>
        <w:jc w:val="left"/>
        <w:rPr>
          <w:rFonts w:ascii="微软雅黑" w:hAnsi="微软雅黑" w:eastAsia="微软雅黑"/>
          <w:color w:val="365F91"/>
          <w:sz w:val="18"/>
          <w:szCs w:val="18"/>
        </w:rPr>
      </w:pPr>
      <w:r>
        <w:rPr>
          <w:rFonts w:hint="eastAsia" w:ascii="宋体" w:hAnsi="宋体"/>
          <w:sz w:val="24"/>
        </w:rPr>
        <w:t>客服热线：0</w:t>
      </w:r>
      <w:r>
        <w:rPr>
          <w:rFonts w:ascii="宋体" w:hAnsi="宋体"/>
          <w:sz w:val="24"/>
        </w:rPr>
        <w:t>532</w:t>
      </w:r>
      <w:r>
        <w:rPr>
          <w:rFonts w:hint="eastAsia" w:ascii="宋体" w:hAnsi="宋体"/>
          <w:sz w:val="24"/>
        </w:rPr>
        <w:t>-80991200</w:t>
      </w:r>
    </w:p>
    <w:p>
      <w:pPr>
        <w:pStyle w:val="23"/>
        <w:numPr>
          <w:ilvl w:val="0"/>
          <w:numId w:val="2"/>
        </w:numPr>
        <w:snapToGrid w:val="0"/>
        <w:spacing w:before="20" w:line="360" w:lineRule="auto"/>
        <w:ind w:right="26" w:firstLineChars="0"/>
        <w:jc w:val="left"/>
        <w:rPr>
          <w:rFonts w:ascii="宋体" w:hAnsi="宋体"/>
          <w:sz w:val="24"/>
        </w:rPr>
      </w:pPr>
      <w:r>
        <w:rPr>
          <w:rFonts w:hint="eastAsia" w:ascii="宋体" w:hAnsi="宋体"/>
          <w:sz w:val="24"/>
        </w:rPr>
        <w:t>运维部经理电话：18561739923</w:t>
      </w:r>
    </w:p>
    <w:p>
      <w:pPr>
        <w:pStyle w:val="23"/>
        <w:numPr>
          <w:ilvl w:val="0"/>
          <w:numId w:val="2"/>
        </w:numPr>
        <w:snapToGrid w:val="0"/>
        <w:spacing w:before="20" w:line="360" w:lineRule="auto"/>
        <w:ind w:right="26" w:firstLineChars="0"/>
        <w:jc w:val="left"/>
        <w:rPr>
          <w:rFonts w:ascii="宋体" w:hAnsi="宋体"/>
          <w:sz w:val="24"/>
        </w:rPr>
      </w:pPr>
      <w:r>
        <w:rPr>
          <w:rFonts w:hint="eastAsia" w:ascii="宋体" w:hAnsi="宋体"/>
          <w:sz w:val="24"/>
        </w:rPr>
        <w:t>ESP服务管理平台：http://esp.sapsoft.net</w:t>
      </w:r>
    </w:p>
    <w:p>
      <w:pPr>
        <w:pStyle w:val="2"/>
        <w:rPr>
          <w:rFonts w:asciiTheme="minorEastAsia" w:hAnsiTheme="minorEastAsia" w:eastAsiaTheme="minorEastAsia"/>
          <w:sz w:val="28"/>
          <w:szCs w:val="28"/>
        </w:rPr>
      </w:pPr>
      <w:bookmarkStart w:id="12" w:name="_Toc394997953"/>
      <w:bookmarkStart w:id="13" w:name="_Toc396399758"/>
      <w:bookmarkStart w:id="14" w:name="_Toc390859469"/>
      <w:bookmarkStart w:id="15" w:name="_Toc471997065"/>
      <w:bookmarkStart w:id="16" w:name="_Toc493519284"/>
      <w:r>
        <w:rPr>
          <w:rFonts w:hint="eastAsia" w:asciiTheme="minorEastAsia" w:hAnsiTheme="minorEastAsia" w:eastAsiaTheme="minorEastAsia"/>
          <w:sz w:val="28"/>
          <w:szCs w:val="28"/>
        </w:rPr>
        <w:t>4适用范围</w:t>
      </w:r>
      <w:bookmarkEnd w:id="12"/>
      <w:bookmarkEnd w:id="13"/>
      <w:bookmarkEnd w:id="14"/>
      <w:bookmarkEnd w:id="15"/>
      <w:bookmarkEnd w:id="16"/>
    </w:p>
    <w:p>
      <w:pPr>
        <w:snapToGrid w:val="0"/>
        <w:spacing w:before="60" w:line="360" w:lineRule="auto"/>
        <w:ind w:firstLine="426"/>
        <w:rPr>
          <w:rFonts w:ascii="宋体" w:hAnsi="宋体" w:cs="Arial"/>
          <w:sz w:val="24"/>
        </w:rPr>
      </w:pPr>
      <w:r>
        <w:rPr>
          <w:rFonts w:hint="eastAsia" w:ascii="宋体" w:hAnsi="宋体" w:cs="Arial"/>
          <w:sz w:val="24"/>
        </w:rPr>
        <w:t>本文档适用于由公司在IT运维服务业务中所承担运维工作的团队，</w:t>
      </w:r>
      <w:r>
        <w:rPr>
          <w:rFonts w:hint="eastAsia" w:ascii="宋体" w:hAnsi="宋体"/>
          <w:sz w:val="24"/>
        </w:rPr>
        <w:t>向客户提供约定运维服务的管理</w:t>
      </w:r>
      <w:r>
        <w:rPr>
          <w:rFonts w:hint="eastAsia" w:ascii="宋体" w:hAnsi="宋体" w:cs="Arial"/>
          <w:sz w:val="24"/>
        </w:rPr>
        <w:t>。</w:t>
      </w:r>
    </w:p>
    <w:p>
      <w:pPr>
        <w:snapToGrid w:val="0"/>
        <w:spacing w:before="60" w:line="360" w:lineRule="auto"/>
        <w:ind w:firstLine="426"/>
        <w:rPr>
          <w:rFonts w:ascii="宋体" w:hAnsi="宋体" w:cs="Arial"/>
          <w:sz w:val="24"/>
        </w:rPr>
      </w:pPr>
      <w:r>
        <w:rPr>
          <w:rFonts w:ascii="宋体" w:hAnsi="宋体" w:cs="Arial"/>
          <w:sz w:val="24"/>
        </w:rPr>
        <w:t>本文档所规定</w:t>
      </w:r>
      <w:r>
        <w:rPr>
          <w:rFonts w:hint="eastAsia" w:ascii="宋体" w:hAnsi="宋体" w:cs="Arial"/>
          <w:sz w:val="24"/>
        </w:rPr>
        <w:t>的项目运维</w:t>
      </w:r>
      <w:r>
        <w:rPr>
          <w:rFonts w:ascii="宋体" w:hAnsi="宋体" w:cs="Arial"/>
          <w:sz w:val="24"/>
        </w:rPr>
        <w:t>服务，指的是</w:t>
      </w:r>
      <w:r>
        <w:rPr>
          <w:rFonts w:hint="eastAsia" w:ascii="宋体" w:hAnsi="宋体" w:cs="Arial"/>
          <w:sz w:val="24"/>
        </w:rPr>
        <w:t>以公司及其相关运维分包责任单位所组成的项目运维团队</w:t>
      </w:r>
      <w:r>
        <w:rPr>
          <w:rFonts w:ascii="宋体" w:hAnsi="宋体" w:cs="Arial"/>
          <w:sz w:val="24"/>
        </w:rPr>
        <w:t>所提供的</w:t>
      </w:r>
      <w:r>
        <w:rPr>
          <w:rFonts w:hint="eastAsia" w:ascii="宋体" w:hAnsi="宋体" w:cs="Arial"/>
          <w:sz w:val="24"/>
        </w:rPr>
        <w:t>运维</w:t>
      </w:r>
      <w:r>
        <w:rPr>
          <w:rFonts w:ascii="宋体" w:hAnsi="宋体" w:cs="Arial"/>
          <w:sz w:val="24"/>
        </w:rPr>
        <w:t>服务。</w:t>
      </w:r>
    </w:p>
    <w:p>
      <w:pPr>
        <w:snapToGrid w:val="0"/>
        <w:spacing w:before="60" w:line="360" w:lineRule="auto"/>
        <w:ind w:firstLine="426"/>
        <w:rPr>
          <w:rFonts w:ascii="宋体" w:hAnsi="宋体" w:cs="Arial"/>
          <w:sz w:val="24"/>
        </w:rPr>
      </w:pPr>
      <w:r>
        <w:rPr>
          <w:rFonts w:hint="eastAsia" w:ascii="宋体" w:hAnsi="宋体" w:cs="Arial"/>
          <w:sz w:val="24"/>
        </w:rPr>
        <w:t>本文档是项目运维团队服务管理体系中的服务台人员操作规范，对运维项目中包含的软件服务等相关事件/服务请求进行支持。</w:t>
      </w:r>
    </w:p>
    <w:p>
      <w:pPr>
        <w:pStyle w:val="2"/>
        <w:rPr>
          <w:rFonts w:asciiTheme="minorEastAsia" w:hAnsiTheme="minorEastAsia" w:eastAsiaTheme="minorEastAsia"/>
          <w:sz w:val="28"/>
          <w:szCs w:val="28"/>
        </w:rPr>
      </w:pPr>
      <w:bookmarkStart w:id="17" w:name="_Toc471997066"/>
      <w:bookmarkStart w:id="18" w:name="_Toc390859470"/>
      <w:bookmarkStart w:id="19" w:name="_Toc396399759"/>
      <w:bookmarkStart w:id="20" w:name="_Toc493519285"/>
      <w:bookmarkStart w:id="21" w:name="_Toc394997954"/>
      <w:r>
        <w:rPr>
          <w:rFonts w:hint="eastAsia" w:asciiTheme="minorEastAsia" w:hAnsiTheme="minorEastAsia" w:eastAsiaTheme="minorEastAsia"/>
          <w:sz w:val="28"/>
          <w:szCs w:val="28"/>
        </w:rPr>
        <w:t>5岗位和职责</w:t>
      </w:r>
      <w:bookmarkEnd w:id="17"/>
      <w:bookmarkEnd w:id="18"/>
      <w:bookmarkEnd w:id="19"/>
      <w:bookmarkEnd w:id="20"/>
      <w:bookmarkEnd w:id="21"/>
    </w:p>
    <w:p>
      <w:pPr>
        <w:pStyle w:val="3"/>
      </w:pPr>
      <w:bookmarkStart w:id="22" w:name="_Toc471997067"/>
      <w:bookmarkStart w:id="23" w:name="_Toc396399761"/>
      <w:bookmarkStart w:id="24" w:name="_Toc493519286"/>
      <w:bookmarkStart w:id="25" w:name="_Toc394997956"/>
      <w:r>
        <w:rPr>
          <w:rFonts w:hint="eastAsia"/>
        </w:rPr>
        <w:t>5.1 服务台经理职责</w:t>
      </w:r>
      <w:bookmarkEnd w:id="22"/>
      <w:bookmarkEnd w:id="23"/>
      <w:bookmarkEnd w:id="24"/>
      <w:bookmarkEnd w:id="25"/>
    </w:p>
    <w:p>
      <w:pPr>
        <w:spacing w:line="360" w:lineRule="auto"/>
        <w:ind w:firstLine="424" w:firstLineChars="177"/>
        <w:rPr>
          <w:sz w:val="24"/>
        </w:rPr>
      </w:pPr>
      <w:r>
        <w:rPr>
          <w:rFonts w:hint="eastAsia"/>
          <w:sz w:val="24"/>
        </w:rPr>
        <w:t>服务台经理的主要职责是保证服务台流程的标准化实施，负责审核和把控服务台人员在流程工作中的服务质量、服务目标的达成。其具体职能如下：</w:t>
      </w:r>
    </w:p>
    <w:p>
      <w:pPr>
        <w:pStyle w:val="23"/>
        <w:numPr>
          <w:ilvl w:val="0"/>
          <w:numId w:val="3"/>
        </w:numPr>
        <w:spacing w:line="360" w:lineRule="auto"/>
        <w:ind w:firstLineChars="0"/>
        <w:rPr>
          <w:sz w:val="24"/>
        </w:rPr>
      </w:pPr>
      <w:r>
        <w:rPr>
          <w:rFonts w:hint="eastAsia"/>
          <w:sz w:val="24"/>
        </w:rPr>
        <w:t>负责服务台人员的管理，并按照运维服务能力管理指标体系，修改和制定服务台服务管理的流程和文档的发布，负责对服务台人员的工作分配和其他相关资源的协调使用；</w:t>
      </w:r>
    </w:p>
    <w:p>
      <w:pPr>
        <w:pStyle w:val="23"/>
        <w:numPr>
          <w:ilvl w:val="0"/>
          <w:numId w:val="3"/>
        </w:numPr>
        <w:spacing w:line="360" w:lineRule="auto"/>
        <w:ind w:firstLineChars="0"/>
        <w:rPr>
          <w:sz w:val="24"/>
        </w:rPr>
      </w:pPr>
      <w:r>
        <w:rPr>
          <w:rFonts w:hint="eastAsia"/>
          <w:sz w:val="24"/>
        </w:rPr>
        <w:t>负责服务台值班期间事件</w:t>
      </w:r>
      <w:r>
        <w:rPr>
          <w:rFonts w:hint="eastAsia" w:ascii="宋体" w:hAnsi="宋体" w:cs="Arial"/>
          <w:sz w:val="24"/>
        </w:rPr>
        <w:t>/服务请求</w:t>
      </w:r>
      <w:r>
        <w:rPr>
          <w:rFonts w:hint="eastAsia"/>
          <w:sz w:val="24"/>
        </w:rPr>
        <w:t>的资源协调、事件</w:t>
      </w:r>
      <w:r>
        <w:rPr>
          <w:rFonts w:hint="eastAsia" w:ascii="宋体" w:hAnsi="宋体" w:cs="Arial"/>
          <w:sz w:val="24"/>
        </w:rPr>
        <w:t>/服务请求</w:t>
      </w:r>
      <w:r>
        <w:rPr>
          <w:rFonts w:hint="eastAsia"/>
          <w:sz w:val="24"/>
        </w:rPr>
        <w:t>升级管理和回顾汇报工作；</w:t>
      </w:r>
    </w:p>
    <w:p>
      <w:pPr>
        <w:pStyle w:val="23"/>
        <w:numPr>
          <w:ilvl w:val="0"/>
          <w:numId w:val="3"/>
        </w:numPr>
        <w:spacing w:line="360" w:lineRule="auto"/>
        <w:ind w:firstLineChars="0"/>
        <w:rPr>
          <w:sz w:val="24"/>
        </w:rPr>
      </w:pPr>
      <w:r>
        <w:rPr>
          <w:rFonts w:hint="eastAsia"/>
          <w:sz w:val="24"/>
        </w:rPr>
        <w:t>负责对运维服务管理内容以外的事件</w:t>
      </w:r>
      <w:r>
        <w:rPr>
          <w:rFonts w:hint="eastAsia" w:ascii="宋体" w:hAnsi="宋体" w:cs="Arial"/>
          <w:sz w:val="24"/>
        </w:rPr>
        <w:t>/服务请求</w:t>
      </w:r>
      <w:r>
        <w:rPr>
          <w:rFonts w:hint="eastAsia"/>
          <w:sz w:val="24"/>
        </w:rPr>
        <w:t>的处理协调；</w:t>
      </w:r>
    </w:p>
    <w:p>
      <w:pPr>
        <w:pStyle w:val="23"/>
        <w:numPr>
          <w:ilvl w:val="0"/>
          <w:numId w:val="3"/>
        </w:numPr>
        <w:spacing w:line="360" w:lineRule="auto"/>
        <w:ind w:firstLineChars="0"/>
        <w:rPr>
          <w:sz w:val="24"/>
        </w:rPr>
      </w:pPr>
      <w:r>
        <w:rPr>
          <w:rFonts w:hint="eastAsia"/>
          <w:sz w:val="24"/>
        </w:rPr>
        <w:t>负责服务台中未及时解决事件</w:t>
      </w:r>
      <w:r>
        <w:rPr>
          <w:rFonts w:hint="eastAsia" w:ascii="宋体" w:hAnsi="宋体" w:cs="Arial"/>
          <w:sz w:val="24"/>
        </w:rPr>
        <w:t>/服务请求</w:t>
      </w:r>
      <w:r>
        <w:rPr>
          <w:rFonts w:hint="eastAsia"/>
          <w:sz w:val="24"/>
        </w:rPr>
        <w:t>处理过程的跟进和推进事件</w:t>
      </w:r>
      <w:r>
        <w:rPr>
          <w:rFonts w:hint="eastAsia" w:ascii="宋体" w:hAnsi="宋体" w:cs="Arial"/>
          <w:sz w:val="24"/>
        </w:rPr>
        <w:t>/服务请求</w:t>
      </w:r>
      <w:r>
        <w:rPr>
          <w:rFonts w:hint="eastAsia"/>
          <w:sz w:val="24"/>
        </w:rPr>
        <w:t>的尽快解决；</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负责新进人员受训后的辅导责任；</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处理解决客户抱怨及复杂的客户咨询；</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负责督导服务台值班人员的业务，以确保服务台值班人员遵守工作守则；</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做好服务台业务中需与相关部门沟通、协调的工作；</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负责管理服务台的运行工作的统一安排和协调；</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完成安排的其他工作。</w:t>
      </w:r>
    </w:p>
    <w:p>
      <w:pPr>
        <w:pStyle w:val="3"/>
      </w:pPr>
      <w:bookmarkStart w:id="26" w:name="_Toc471997068"/>
      <w:bookmarkStart w:id="27" w:name="_Toc394997957"/>
      <w:bookmarkStart w:id="28" w:name="_Toc396399762"/>
      <w:bookmarkStart w:id="29" w:name="_Toc493519287"/>
      <w:r>
        <w:rPr>
          <w:rFonts w:hint="eastAsia"/>
        </w:rPr>
        <w:t>5.2 服务台坐席职责</w:t>
      </w:r>
      <w:bookmarkEnd w:id="26"/>
      <w:bookmarkEnd w:id="27"/>
      <w:bookmarkEnd w:id="28"/>
      <w:bookmarkEnd w:id="29"/>
    </w:p>
    <w:p>
      <w:pPr>
        <w:spacing w:line="360" w:lineRule="auto"/>
        <w:ind w:firstLine="424" w:firstLineChars="177"/>
        <w:rPr>
          <w:sz w:val="24"/>
        </w:rPr>
      </w:pPr>
      <w:r>
        <w:rPr>
          <w:rFonts w:hint="eastAsia"/>
          <w:sz w:val="24"/>
        </w:rPr>
        <w:t>服务台坐席主要负责规范执行服务台操作流程工作，并达成服务台值班人员岗位职责，其主要内容如下：</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提供</w:t>
      </w:r>
      <w:r>
        <w:rPr>
          <w:rFonts w:ascii="宋体" w:hAnsi="宋体" w:cs="Arial"/>
          <w:sz w:val="24"/>
        </w:rPr>
        <w:t>5</w:t>
      </w:r>
      <w:r>
        <w:rPr>
          <w:rFonts w:hint="eastAsia" w:ascii="宋体" w:hAnsi="宋体" w:cs="Arial"/>
          <w:sz w:val="24"/>
        </w:rPr>
        <w:t>×8小时的远程应答服务；</w:t>
      </w:r>
    </w:p>
    <w:p>
      <w:pPr>
        <w:pStyle w:val="23"/>
        <w:numPr>
          <w:ilvl w:val="0"/>
          <w:numId w:val="4"/>
        </w:numPr>
        <w:spacing w:line="360" w:lineRule="auto"/>
        <w:ind w:firstLineChars="0"/>
        <w:rPr>
          <w:sz w:val="24"/>
        </w:rPr>
      </w:pPr>
      <w:r>
        <w:rPr>
          <w:rFonts w:hint="eastAsia"/>
          <w:sz w:val="24"/>
        </w:rPr>
        <w:t>记录用户到达服务台的所有事件</w:t>
      </w:r>
      <w:r>
        <w:rPr>
          <w:rFonts w:hint="eastAsia" w:ascii="宋体" w:hAnsi="宋体" w:cs="Arial"/>
          <w:sz w:val="24"/>
        </w:rPr>
        <w:t>/服务请求</w:t>
      </w:r>
      <w:r>
        <w:rPr>
          <w:rFonts w:hint="eastAsia"/>
          <w:sz w:val="24"/>
        </w:rPr>
        <w:t>，并对事件</w:t>
      </w:r>
      <w:r>
        <w:rPr>
          <w:rFonts w:hint="eastAsia" w:ascii="宋体" w:hAnsi="宋体" w:cs="Arial"/>
          <w:sz w:val="24"/>
        </w:rPr>
        <w:t>/服务请求</w:t>
      </w:r>
      <w:r>
        <w:rPr>
          <w:rFonts w:hint="eastAsia"/>
          <w:sz w:val="24"/>
        </w:rPr>
        <w:t>的生命周期进行管理，负责从事件/服务请求建立到关闭过程期间事件/服务请求处理状态的跟进和更新；</w:t>
      </w:r>
    </w:p>
    <w:p>
      <w:pPr>
        <w:pStyle w:val="23"/>
        <w:numPr>
          <w:ilvl w:val="0"/>
          <w:numId w:val="4"/>
        </w:numPr>
        <w:spacing w:line="360" w:lineRule="auto"/>
        <w:ind w:firstLineChars="0"/>
        <w:rPr>
          <w:sz w:val="24"/>
        </w:rPr>
      </w:pPr>
      <w:r>
        <w:rPr>
          <w:rFonts w:hint="eastAsia"/>
          <w:sz w:val="24"/>
        </w:rPr>
        <w:t>对到达服务台的事件/服务请求进行分类持；</w:t>
      </w:r>
    </w:p>
    <w:p>
      <w:pPr>
        <w:pStyle w:val="23"/>
        <w:numPr>
          <w:ilvl w:val="0"/>
          <w:numId w:val="4"/>
        </w:numPr>
        <w:spacing w:line="360" w:lineRule="auto"/>
        <w:ind w:firstLineChars="0"/>
        <w:rPr>
          <w:sz w:val="24"/>
        </w:rPr>
      </w:pPr>
      <w:r>
        <w:rPr>
          <w:rFonts w:hint="eastAsia"/>
          <w:sz w:val="24"/>
        </w:rPr>
        <w:t>负责对事件/服务请求进行升级处理，并向相关技术支持人员提交事件/服务请求处理请求；</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用户电话回访、统计及汇报；</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协助客户进行信息登记和更新；</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接到疑难电话或投诉，详细记录来话时间、内容和客户联系方式，明确答复时间；</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适当处理客户投诉并适时汇报给服务台经理；</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参加部门安排的各项培训和考核，提升专业知识及技巧；</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对工作过程中接触的企业商业机密及客户数据进行严格保密；</w:t>
      </w:r>
    </w:p>
    <w:p>
      <w:pPr>
        <w:pStyle w:val="23"/>
        <w:numPr>
          <w:ilvl w:val="0"/>
          <w:numId w:val="4"/>
        </w:numPr>
        <w:snapToGrid w:val="0"/>
        <w:spacing w:before="60" w:line="360" w:lineRule="auto"/>
        <w:ind w:firstLineChars="0"/>
        <w:rPr>
          <w:sz w:val="24"/>
        </w:rPr>
      </w:pPr>
      <w:r>
        <w:rPr>
          <w:rFonts w:hint="eastAsia" w:ascii="宋体" w:hAnsi="宋体" w:cs="Arial"/>
          <w:sz w:val="24"/>
        </w:rPr>
        <w:t>服从直接上级领导的工作安排和管理，完成服务台安排的其他工作。</w:t>
      </w:r>
    </w:p>
    <w:p>
      <w:pPr>
        <w:pStyle w:val="2"/>
        <w:rPr>
          <w:sz w:val="28"/>
          <w:szCs w:val="28"/>
        </w:rPr>
      </w:pPr>
      <w:bookmarkStart w:id="30" w:name="_Toc396399763"/>
      <w:bookmarkStart w:id="31" w:name="_Toc493519288"/>
      <w:bookmarkStart w:id="32" w:name="_Toc471997069"/>
      <w:bookmarkStart w:id="33" w:name="_Toc394997958"/>
      <w:bookmarkStart w:id="34" w:name="_Toc390859472"/>
      <w:r>
        <w:rPr>
          <w:rFonts w:hint="eastAsia"/>
          <w:sz w:val="28"/>
          <w:szCs w:val="28"/>
        </w:rPr>
        <w:t>6服务台的主要工作内容</w:t>
      </w:r>
      <w:bookmarkEnd w:id="30"/>
      <w:bookmarkEnd w:id="31"/>
      <w:bookmarkEnd w:id="32"/>
      <w:bookmarkEnd w:id="33"/>
      <w:bookmarkEnd w:id="34"/>
    </w:p>
    <w:p>
      <w:pPr>
        <w:spacing w:line="360" w:lineRule="auto"/>
        <w:ind w:firstLine="424" w:firstLineChars="177"/>
        <w:rPr>
          <w:sz w:val="24"/>
        </w:rPr>
      </w:pPr>
      <w:r>
        <w:rPr>
          <w:rFonts w:hint="eastAsia"/>
          <w:sz w:val="24"/>
        </w:rPr>
        <w:t>服务台的职责开始于事件/服务请求的接收和报告，结束于事件/服务请求的解决和关闭。其中主要包含如下主要工作：</w:t>
      </w:r>
    </w:p>
    <w:p>
      <w:pPr>
        <w:pStyle w:val="23"/>
        <w:numPr>
          <w:ilvl w:val="0"/>
          <w:numId w:val="5"/>
        </w:numPr>
        <w:spacing w:line="360" w:lineRule="auto"/>
        <w:ind w:firstLineChars="0"/>
        <w:rPr>
          <w:sz w:val="24"/>
        </w:rPr>
      </w:pPr>
      <w:r>
        <w:rPr>
          <w:rFonts w:hint="eastAsia"/>
          <w:sz w:val="24"/>
        </w:rPr>
        <w:t>事件/服务请求接收和记录</w:t>
      </w:r>
    </w:p>
    <w:p>
      <w:pPr>
        <w:pStyle w:val="23"/>
        <w:spacing w:line="360" w:lineRule="auto"/>
        <w:ind w:firstLine="424" w:firstLineChars="177"/>
        <w:rPr>
          <w:sz w:val="24"/>
        </w:rPr>
      </w:pPr>
      <w:r>
        <w:rPr>
          <w:rFonts w:hint="eastAsia"/>
          <w:sz w:val="24"/>
        </w:rPr>
        <w:t>该环节是服务台管理运维事件/服务请求的起点，通过用户/客户或运维人员提交的事件/服务请求由此步骤开始。其目的是为了在运维过程中，为用户/客户和管理体系提供一个唯一共同的事件/服务请求上报接口，以便事件/服务请求信息及时获得资源和人员支持。</w:t>
      </w:r>
    </w:p>
    <w:p>
      <w:pPr>
        <w:pStyle w:val="23"/>
        <w:numPr>
          <w:ilvl w:val="0"/>
          <w:numId w:val="5"/>
        </w:numPr>
        <w:spacing w:line="360" w:lineRule="auto"/>
        <w:ind w:firstLineChars="0"/>
        <w:rPr>
          <w:sz w:val="24"/>
        </w:rPr>
      </w:pPr>
      <w:r>
        <w:rPr>
          <w:rFonts w:hint="eastAsia"/>
          <w:sz w:val="24"/>
        </w:rPr>
        <w:t>分类和技术支持</w:t>
      </w:r>
    </w:p>
    <w:p>
      <w:pPr>
        <w:pStyle w:val="23"/>
        <w:spacing w:line="360" w:lineRule="auto"/>
        <w:ind w:firstLine="424" w:firstLineChars="177"/>
        <w:rPr>
          <w:sz w:val="24"/>
        </w:rPr>
      </w:pPr>
      <w:r>
        <w:rPr>
          <w:rFonts w:hint="eastAsia"/>
          <w:sz w:val="24"/>
        </w:rPr>
        <w:t>服务台负责对到达的事件/服务请求进行分类，并确立优先级。提供初步的技术支持，如无法在服务台解决，将派发到相关技术支持人员继续调查和诊断事件原因。</w:t>
      </w:r>
    </w:p>
    <w:p>
      <w:pPr>
        <w:pStyle w:val="23"/>
        <w:numPr>
          <w:ilvl w:val="0"/>
          <w:numId w:val="5"/>
        </w:numPr>
        <w:spacing w:line="360" w:lineRule="auto"/>
        <w:ind w:firstLineChars="0"/>
        <w:rPr>
          <w:sz w:val="24"/>
        </w:rPr>
      </w:pPr>
      <w:r>
        <w:rPr>
          <w:rFonts w:hint="eastAsia"/>
          <w:sz w:val="24"/>
        </w:rPr>
        <w:t>调查和诊断</w:t>
      </w:r>
    </w:p>
    <w:p>
      <w:pPr>
        <w:pStyle w:val="23"/>
        <w:spacing w:line="360" w:lineRule="auto"/>
        <w:ind w:firstLine="424" w:firstLineChars="177"/>
        <w:rPr>
          <w:sz w:val="24"/>
        </w:rPr>
      </w:pPr>
      <w:r>
        <w:rPr>
          <w:rFonts w:hint="eastAsia"/>
          <w:sz w:val="24"/>
        </w:rPr>
        <w:t>技术支持人员运用知识库或诊断工具更加深入的分析事件原因，找到恢复事件的临时措施。</w:t>
      </w:r>
    </w:p>
    <w:p>
      <w:pPr>
        <w:pStyle w:val="23"/>
        <w:numPr>
          <w:ilvl w:val="0"/>
          <w:numId w:val="5"/>
        </w:numPr>
        <w:spacing w:line="360" w:lineRule="auto"/>
        <w:ind w:firstLineChars="0"/>
        <w:rPr>
          <w:sz w:val="24"/>
        </w:rPr>
      </w:pPr>
      <w:r>
        <w:rPr>
          <w:rFonts w:hint="eastAsia"/>
          <w:sz w:val="24"/>
        </w:rPr>
        <w:t>解决和恢复</w:t>
      </w:r>
    </w:p>
    <w:p>
      <w:pPr>
        <w:pStyle w:val="23"/>
        <w:spacing w:line="360" w:lineRule="auto"/>
        <w:ind w:firstLine="424" w:firstLineChars="177"/>
        <w:rPr>
          <w:sz w:val="24"/>
        </w:rPr>
      </w:pPr>
      <w:r>
        <w:rPr>
          <w:rFonts w:hint="eastAsia"/>
          <w:sz w:val="24"/>
        </w:rPr>
        <w:t>技术支持人员实施事件/服务请求的解决方案，并将解决完毕的事件/服务请求反馈给服务台。服务台记录事件/服务请求的处理过程，并对事件/服务请求做出正确的分类。</w:t>
      </w:r>
    </w:p>
    <w:p>
      <w:pPr>
        <w:pStyle w:val="23"/>
        <w:numPr>
          <w:ilvl w:val="0"/>
          <w:numId w:val="5"/>
        </w:numPr>
        <w:spacing w:line="360" w:lineRule="auto"/>
        <w:ind w:firstLineChars="0"/>
        <w:rPr>
          <w:sz w:val="24"/>
        </w:rPr>
      </w:pPr>
      <w:r>
        <w:rPr>
          <w:rFonts w:hint="eastAsia"/>
          <w:sz w:val="24"/>
        </w:rPr>
        <w:t>回访</w:t>
      </w:r>
    </w:p>
    <w:p>
      <w:pPr>
        <w:pStyle w:val="23"/>
        <w:spacing w:line="360" w:lineRule="auto"/>
        <w:ind w:left="720" w:firstLine="0" w:firstLineChars="0"/>
        <w:rPr>
          <w:sz w:val="24"/>
        </w:rPr>
      </w:pPr>
      <w:r>
        <w:rPr>
          <w:rFonts w:hint="eastAsia"/>
          <w:sz w:val="24"/>
        </w:rPr>
        <w:t>任何事件/服务请求解决后都需由服务台统一进行回访。</w:t>
      </w:r>
    </w:p>
    <w:p>
      <w:pPr>
        <w:pStyle w:val="23"/>
        <w:numPr>
          <w:ilvl w:val="0"/>
          <w:numId w:val="5"/>
        </w:numPr>
        <w:spacing w:line="360" w:lineRule="auto"/>
        <w:ind w:firstLineChars="0"/>
        <w:rPr>
          <w:sz w:val="24"/>
        </w:rPr>
      </w:pPr>
      <w:r>
        <w:rPr>
          <w:rFonts w:hint="eastAsia"/>
          <w:sz w:val="24"/>
        </w:rPr>
        <w:t>事件关闭</w:t>
      </w:r>
    </w:p>
    <w:p>
      <w:pPr>
        <w:pStyle w:val="23"/>
        <w:spacing w:line="360" w:lineRule="auto"/>
        <w:ind w:firstLine="424" w:firstLineChars="177"/>
        <w:rPr>
          <w:sz w:val="24"/>
        </w:rPr>
      </w:pPr>
      <w:r>
        <w:rPr>
          <w:rFonts w:hint="eastAsia"/>
          <w:sz w:val="24"/>
        </w:rPr>
        <w:t>服务台人员向用户/客户确认事件/服务请求解决并完成回访后，关闭事件/服务请求。</w:t>
      </w:r>
    </w:p>
    <w:p>
      <w:pPr>
        <w:pStyle w:val="2"/>
        <w:rPr>
          <w:sz w:val="28"/>
          <w:szCs w:val="28"/>
        </w:rPr>
      </w:pPr>
      <w:bookmarkStart w:id="35" w:name="_Toc493519289"/>
      <w:bookmarkStart w:id="36" w:name="_Toc396399764"/>
      <w:bookmarkStart w:id="37" w:name="_Toc394997959"/>
      <w:bookmarkStart w:id="38" w:name="_Toc390859473"/>
      <w:bookmarkStart w:id="39" w:name="_Toc471997070"/>
      <w:r>
        <w:rPr>
          <w:rFonts w:hint="eastAsia"/>
          <w:sz w:val="28"/>
          <w:szCs w:val="28"/>
        </w:rPr>
        <w:t>7服务台操作流程</w:t>
      </w:r>
      <w:bookmarkEnd w:id="35"/>
      <w:bookmarkEnd w:id="36"/>
      <w:bookmarkEnd w:id="37"/>
      <w:bookmarkEnd w:id="38"/>
      <w:bookmarkEnd w:id="39"/>
    </w:p>
    <w:p>
      <w:pPr>
        <w:pStyle w:val="3"/>
      </w:pPr>
      <w:bookmarkStart w:id="40" w:name="_Toc396399765"/>
      <w:bookmarkStart w:id="41" w:name="_Toc493519290"/>
      <w:bookmarkStart w:id="42" w:name="_Toc471997071"/>
      <w:r>
        <w:rPr>
          <w:rFonts w:hint="eastAsia"/>
        </w:rPr>
        <w:t>7.1事件/服务请求操作流程说明</w:t>
      </w:r>
      <w:bookmarkEnd w:id="40"/>
      <w:bookmarkEnd w:id="41"/>
      <w:bookmarkEnd w:id="42"/>
    </w:p>
    <w:p>
      <w:pPr>
        <w:pStyle w:val="5"/>
        <w:rPr>
          <w:szCs w:val="28"/>
        </w:rPr>
      </w:pPr>
      <w:bookmarkStart w:id="43" w:name="_Toc493519291"/>
      <w:bookmarkStart w:id="44" w:name="_Toc471997072"/>
      <w:bookmarkStart w:id="45" w:name="_Toc396399766"/>
      <w:r>
        <w:rPr>
          <w:rFonts w:hint="eastAsia"/>
          <w:szCs w:val="28"/>
        </w:rPr>
        <w:t>7.1.1事件/服务请求记录</w:t>
      </w:r>
      <w:bookmarkEnd w:id="43"/>
      <w:bookmarkEnd w:id="44"/>
      <w:bookmarkEnd w:id="45"/>
    </w:p>
    <w:p>
      <w:pPr>
        <w:spacing w:line="360" w:lineRule="auto"/>
        <w:rPr>
          <w:sz w:val="24"/>
        </w:rPr>
      </w:pPr>
      <w:r>
        <w:rPr>
          <w:rFonts w:hint="eastAsia"/>
          <w:sz w:val="24"/>
        </w:rPr>
        <w:t>（1）记录环节流程图</w:t>
      </w:r>
    </w:p>
    <w:p>
      <w:pPr>
        <w:spacing w:line="360" w:lineRule="auto"/>
        <w:rPr>
          <w:sz w:val="24"/>
        </w:rPr>
      </w:pPr>
      <w:r>
        <w:object>
          <v:shape id="_x0000_i1025" o:spt="75" type="#_x0000_t75" style="height:462pt;width:360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pPr>
        <w:spacing w:line="360" w:lineRule="auto"/>
        <w:rPr>
          <w:sz w:val="24"/>
        </w:rPr>
      </w:pPr>
      <w:r>
        <w:rPr>
          <w:rFonts w:hint="eastAsia"/>
          <w:sz w:val="24"/>
        </w:rPr>
        <w:t>（2）记录流程说明</w:t>
      </w:r>
    </w:p>
    <w:p>
      <w:pPr>
        <w:spacing w:line="360" w:lineRule="auto"/>
        <w:ind w:firstLine="480" w:firstLineChars="200"/>
        <w:rPr>
          <w:sz w:val="24"/>
        </w:rPr>
      </w:pPr>
      <w:r>
        <w:rPr>
          <w:rFonts w:hint="eastAsia"/>
          <w:sz w:val="24"/>
        </w:rPr>
        <w:t>用户递交——服务台值班人员对于用户递交的事件/服务请求都要创建事件/服务请求并进行记录，服务台能自行解决的事件/服务请求直接处理完毕并完成回访后即可关闭。</w:t>
      </w:r>
    </w:p>
    <w:p>
      <w:pPr>
        <w:spacing w:line="360" w:lineRule="auto"/>
        <w:ind w:firstLine="424" w:firstLineChars="177"/>
        <w:rPr>
          <w:sz w:val="24"/>
        </w:rPr>
      </w:pPr>
      <w:r>
        <w:rPr>
          <w:rFonts w:hint="eastAsia"/>
          <w:sz w:val="24"/>
        </w:rPr>
        <w:t>监控上报——项目值班人员通过监控工具发现异常，应立即创建事件并及时对事件进行处理，事件解决完毕后，将事件信息反馈到服务台，由服务台进行回访并关闭事件。如果事件不能立即解决，则将该事件记录到服务台，进行事件派发，直至事件解决完毕，关闭事件。</w:t>
      </w:r>
    </w:p>
    <w:p>
      <w:pPr>
        <w:pStyle w:val="5"/>
        <w:rPr>
          <w:szCs w:val="28"/>
        </w:rPr>
      </w:pPr>
      <w:bookmarkStart w:id="46" w:name="_Toc471997073"/>
      <w:bookmarkStart w:id="47" w:name="_Toc493519292"/>
      <w:bookmarkStart w:id="48" w:name="_Toc396399767"/>
      <w:r>
        <w:rPr>
          <w:rFonts w:hint="eastAsia"/>
          <w:szCs w:val="28"/>
        </w:rPr>
        <w:t>7.1.2事件/服务请求派发</w:t>
      </w:r>
      <w:bookmarkEnd w:id="46"/>
      <w:bookmarkEnd w:id="47"/>
      <w:bookmarkEnd w:id="48"/>
    </w:p>
    <w:p>
      <w:pPr>
        <w:spacing w:line="360" w:lineRule="auto"/>
        <w:rPr>
          <w:rFonts w:asciiTheme="minorEastAsia" w:hAnsiTheme="minorEastAsia" w:eastAsiaTheme="minorEastAsia"/>
          <w:sz w:val="24"/>
        </w:rPr>
      </w:pPr>
      <w:r>
        <w:rPr>
          <w:rFonts w:hint="eastAsia" w:asciiTheme="minorEastAsia" w:hAnsiTheme="minorEastAsia" w:eastAsiaTheme="minorEastAsia"/>
          <w:sz w:val="24"/>
        </w:rPr>
        <w:t>（1）派发环节流程图</w:t>
      </w:r>
    </w:p>
    <w:p>
      <w:pPr>
        <w:spacing w:line="360" w:lineRule="auto"/>
        <w:rPr>
          <w:rFonts w:asciiTheme="minorEastAsia" w:hAnsiTheme="minorEastAsia" w:eastAsiaTheme="minorEastAsia"/>
          <w:sz w:val="24"/>
        </w:rPr>
      </w:pPr>
      <w:r>
        <w:object>
          <v:shape id="_x0000_i1026" o:spt="75" type="#_x0000_t75" style="height:233.5pt;width:416pt;" o:ole="t" filled="f" o:preferrelative="t" stroked="f" coordsize="21600,21600">
            <v:path/>
            <v:fill on="f" focussize="0,0"/>
            <v:stroke on="f" joinstyle="miter"/>
            <v:imagedata r:id="rId10" o:title=""/>
            <o:lock v:ext="edit" aspectratio="t"/>
            <w10:wrap type="none"/>
            <w10:anchorlock/>
          </v:shape>
          <o:OLEObject Type="Embed" ProgID="Visio.Drawing.11" ShapeID="_x0000_i1026" DrawAspect="Content" ObjectID="_1468075726" r:id="rId9">
            <o:LockedField>false</o:LockedField>
          </o:OLEObject>
        </w:object>
      </w:r>
      <w:r>
        <w:rPr>
          <w:rFonts w:hint="eastAsia" w:asciiTheme="minorEastAsia" w:hAnsiTheme="minorEastAsia" w:eastAsiaTheme="minorEastAsia"/>
          <w:sz w:val="24"/>
        </w:rPr>
        <w:t>（2）派发流程说明</w:t>
      </w:r>
    </w:p>
    <w:p>
      <w:pPr>
        <w:spacing w:line="360" w:lineRule="auto"/>
        <w:ind w:firstLine="424" w:firstLineChars="177"/>
        <w:rPr>
          <w:sz w:val="24"/>
        </w:rPr>
      </w:pPr>
      <w:r>
        <w:rPr>
          <w:rFonts w:hint="eastAsia"/>
          <w:sz w:val="24"/>
        </w:rPr>
        <w:t>派发——服务台值班人员在15分钟内对事件/服务请求进行初步判断，如果事件/服务请求不能在服务台处理结束并关闭，则确定相关技术支持并在运维管理系统上将事件/服务请求派发至二线人员处理。</w:t>
      </w:r>
    </w:p>
    <w:p>
      <w:pPr>
        <w:pStyle w:val="5"/>
        <w:ind w:firstLine="372"/>
      </w:pPr>
      <w:bookmarkStart w:id="49" w:name="_Toc471997074"/>
      <w:bookmarkStart w:id="50" w:name="_Toc493519293"/>
      <w:r>
        <w:rPr>
          <w:rFonts w:hint="eastAsia"/>
        </w:rPr>
        <w:t>7.1.3 用户回访</w:t>
      </w:r>
      <w:bookmarkEnd w:id="49"/>
      <w:bookmarkEnd w:id="50"/>
    </w:p>
    <w:p>
      <w:pPr>
        <w:ind w:firstLine="425"/>
        <w:rPr>
          <w:sz w:val="24"/>
        </w:rPr>
      </w:pPr>
      <w:r>
        <w:rPr>
          <w:rFonts w:hint="eastAsia"/>
          <w:sz w:val="24"/>
        </w:rPr>
        <w:t>（</w:t>
      </w:r>
      <w:r>
        <w:rPr>
          <w:sz w:val="24"/>
        </w:rPr>
        <w:t>1</w:t>
      </w:r>
      <w:r>
        <w:rPr>
          <w:rFonts w:hint="eastAsia"/>
          <w:sz w:val="24"/>
        </w:rPr>
        <w:t>）用户回访流程图</w:t>
      </w:r>
    </w:p>
    <w:p>
      <w:pPr>
        <w:ind w:firstLine="372"/>
        <w:rPr>
          <w:sz w:val="24"/>
        </w:rPr>
      </w:pPr>
      <w:r>
        <w:object>
          <v:shape id="_x0000_i1027" o:spt="75" type="#_x0000_t75" style="height:227.5pt;width:165pt;" o:ole="t" filled="f" o:preferrelative="t" stroked="f" coordsize="21600,21600">
            <v:path/>
            <v:fill on="f" focussize="0,0"/>
            <v:stroke on="f" joinstyle="miter"/>
            <v:imagedata r:id="rId12" o:title=""/>
            <o:lock v:ext="edit" aspectratio="t"/>
            <w10:wrap type="none"/>
            <w10:anchorlock/>
          </v:shape>
          <o:OLEObject Type="Embed" ProgID="Visio.Drawing.11" ShapeID="_x0000_i1027" DrawAspect="Content" ObjectID="_1468075727" r:id="rId11">
            <o:LockedField>false</o:LockedField>
          </o:OLEObject>
        </w:object>
      </w:r>
    </w:p>
    <w:p>
      <w:pPr>
        <w:spacing w:line="360" w:lineRule="auto"/>
        <w:rPr>
          <w:rFonts w:asciiTheme="minorEastAsia" w:hAnsiTheme="minorEastAsia" w:eastAsiaTheme="minorEastAsia"/>
          <w:sz w:val="24"/>
        </w:rPr>
      </w:pPr>
    </w:p>
    <w:p>
      <w:pPr>
        <w:spacing w:line="360" w:lineRule="auto"/>
        <w:rPr>
          <w:rFonts w:asciiTheme="minorEastAsia" w:hAnsiTheme="minorEastAsia" w:eastAsiaTheme="minorEastAsia"/>
          <w:sz w:val="24"/>
        </w:rPr>
      </w:pPr>
      <w:r>
        <w:rPr>
          <w:rFonts w:hint="eastAsia" w:asciiTheme="minorEastAsia" w:hAnsiTheme="minorEastAsia" w:eastAsiaTheme="minorEastAsia"/>
          <w:sz w:val="24"/>
        </w:rPr>
        <w:t>（</w:t>
      </w:r>
      <w:r>
        <w:rPr>
          <w:rFonts w:asciiTheme="minorEastAsia" w:hAnsiTheme="minorEastAsia" w:eastAsiaTheme="minorEastAsia"/>
          <w:sz w:val="24"/>
        </w:rPr>
        <w:t>2</w:t>
      </w:r>
      <w:r>
        <w:rPr>
          <w:rFonts w:hint="eastAsia" w:asciiTheme="minorEastAsia" w:hAnsiTheme="minorEastAsia" w:eastAsiaTheme="minorEastAsia"/>
          <w:sz w:val="24"/>
        </w:rPr>
        <w:t>）用户回访流程说明</w:t>
      </w:r>
    </w:p>
    <w:p>
      <w:pPr>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color w:val="000000" w:themeColor="text1"/>
          <w:sz w:val="24"/>
          <w14:textFill>
            <w14:solidFill>
              <w14:schemeClr w14:val="tx1"/>
            </w14:solidFill>
          </w14:textFill>
        </w:rPr>
        <w:t>服务台值班人员或者二线工程师解决事件/服务请求后，</w:t>
      </w:r>
      <w:r>
        <w:rPr>
          <w:rFonts w:hint="eastAsia" w:asciiTheme="minorEastAsia" w:hAnsiTheme="minorEastAsia" w:eastAsiaTheme="minorEastAsia"/>
          <w:sz w:val="24"/>
        </w:rPr>
        <w:t>由服务台人员向用户确认事件/服务请求是否解决并了解服务满意度。如用户认为事件/服务请求没能解决，则该事件/服务请求单回退到“初步判断”步骤；如解决，则服务台人员填写记录并关闭事件/服务请求单。</w:t>
      </w:r>
      <w:bookmarkStart w:id="51" w:name="_Toc390859478"/>
      <w:bookmarkStart w:id="52" w:name="_Toc396399772"/>
      <w:bookmarkStart w:id="53" w:name="_Toc394997966"/>
    </w:p>
    <w:p>
      <w:pPr>
        <w:pStyle w:val="2"/>
        <w:rPr>
          <w:sz w:val="28"/>
          <w:szCs w:val="28"/>
        </w:rPr>
      </w:pPr>
      <w:bookmarkStart w:id="54" w:name="_Toc471997075"/>
      <w:bookmarkStart w:id="55" w:name="_Toc493519294"/>
      <w:r>
        <w:rPr>
          <w:rFonts w:hint="eastAsia"/>
          <w:sz w:val="28"/>
          <w:szCs w:val="28"/>
        </w:rPr>
        <w:t>8服务台管理指标</w:t>
      </w:r>
      <w:bookmarkEnd w:id="51"/>
      <w:bookmarkEnd w:id="52"/>
      <w:bookmarkEnd w:id="53"/>
      <w:bookmarkEnd w:id="54"/>
      <w:bookmarkEnd w:id="55"/>
    </w:p>
    <w:tbl>
      <w:tblPr>
        <w:tblStyle w:val="16"/>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8"/>
        <w:gridCol w:w="2544"/>
        <w:gridCol w:w="2059"/>
        <w:gridCol w:w="23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shd w:val="pct10" w:color="auto" w:fill="auto"/>
            <w:vAlign w:val="center"/>
          </w:tcPr>
          <w:p>
            <w:pPr>
              <w:spacing w:line="360" w:lineRule="auto"/>
              <w:jc w:val="center"/>
              <w:rPr>
                <w:b/>
                <w:sz w:val="24"/>
              </w:rPr>
            </w:pPr>
            <w:r>
              <w:rPr>
                <w:rFonts w:hint="eastAsia"/>
                <w:b/>
                <w:sz w:val="24"/>
              </w:rPr>
              <w:t>岗位</w:t>
            </w:r>
          </w:p>
        </w:tc>
        <w:tc>
          <w:tcPr>
            <w:tcW w:w="2544" w:type="dxa"/>
            <w:shd w:val="pct10" w:color="auto" w:fill="auto"/>
            <w:vAlign w:val="center"/>
          </w:tcPr>
          <w:p>
            <w:pPr>
              <w:spacing w:line="360" w:lineRule="auto"/>
              <w:jc w:val="center"/>
              <w:rPr>
                <w:b/>
                <w:sz w:val="24"/>
              </w:rPr>
            </w:pPr>
            <w:r>
              <w:rPr>
                <w:rFonts w:hint="eastAsia"/>
                <w:b/>
                <w:sz w:val="24"/>
              </w:rPr>
              <w:t>考核内容</w:t>
            </w:r>
          </w:p>
        </w:tc>
        <w:tc>
          <w:tcPr>
            <w:tcW w:w="2059" w:type="dxa"/>
            <w:shd w:val="pct10" w:color="auto" w:fill="auto"/>
            <w:vAlign w:val="center"/>
          </w:tcPr>
          <w:p>
            <w:pPr>
              <w:spacing w:line="360" w:lineRule="auto"/>
              <w:jc w:val="center"/>
              <w:rPr>
                <w:b/>
                <w:sz w:val="24"/>
              </w:rPr>
            </w:pPr>
            <w:r>
              <w:rPr>
                <w:rFonts w:hint="eastAsia"/>
                <w:b/>
                <w:sz w:val="24"/>
              </w:rPr>
              <w:t>指标</w:t>
            </w:r>
          </w:p>
        </w:tc>
        <w:tc>
          <w:tcPr>
            <w:tcW w:w="2305" w:type="dxa"/>
            <w:shd w:val="pct10" w:color="auto" w:fill="auto"/>
            <w:vAlign w:val="center"/>
          </w:tcPr>
          <w:p>
            <w:pPr>
              <w:spacing w:line="360" w:lineRule="auto"/>
              <w:jc w:val="center"/>
              <w:rPr>
                <w:rFonts w:hint="eastAsia" w:eastAsia="宋体"/>
                <w:b/>
                <w:sz w:val="24"/>
                <w:lang w:eastAsia="zh-CN"/>
              </w:rPr>
            </w:pPr>
            <w:r>
              <w:rPr>
                <w:rFonts w:hint="eastAsia"/>
                <w:b/>
                <w:sz w:val="24"/>
                <w:lang w:eastAsia="zh-CN"/>
              </w:rPr>
              <w:t>考核频率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restart"/>
            <w:vAlign w:val="center"/>
          </w:tcPr>
          <w:p>
            <w:pPr>
              <w:spacing w:line="360" w:lineRule="auto"/>
              <w:rPr>
                <w:rFonts w:asciiTheme="minorEastAsia" w:hAnsiTheme="minorEastAsia" w:eastAsiaTheme="minorEastAsia"/>
                <w:szCs w:val="21"/>
              </w:rPr>
            </w:pP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服务台坐席</w:t>
            </w:r>
          </w:p>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电话接通率</w:t>
            </w:r>
          </w:p>
        </w:tc>
        <w:tc>
          <w:tcPr>
            <w:tcW w:w="2059" w:type="dxa"/>
            <w:vAlign w:val="center"/>
          </w:tcPr>
          <w:p>
            <w:pPr>
              <w:spacing w:line="360" w:lineRule="auto"/>
              <w:rPr>
                <w:rFonts w:asciiTheme="minorEastAsia" w:hAnsiTheme="minorEastAsia" w:eastAsiaTheme="minorEastAsia"/>
                <w:szCs w:val="21"/>
              </w:rPr>
            </w:pPr>
            <w:r>
              <w:rPr>
                <w:rFonts w:asciiTheme="minorEastAsia" w:hAnsiTheme="minorEastAsia" w:eastAsiaTheme="minorEastAsia"/>
                <w:szCs w:val="21"/>
              </w:rPr>
              <w:t>93</w:t>
            </w:r>
            <w:r>
              <w:rPr>
                <w:rFonts w:hint="eastAsia" w:asciiTheme="minorEastAsia" w:hAnsiTheme="minorEastAsia" w:eastAsiaTheme="minorEastAsia"/>
                <w:szCs w:val="21"/>
              </w:rPr>
              <w:t>%</w:t>
            </w:r>
          </w:p>
        </w:tc>
        <w:tc>
          <w:tcPr>
            <w:tcW w:w="2305" w:type="dxa"/>
            <w:vAlign w:val="center"/>
          </w:tcPr>
          <w:p>
            <w:pPr>
              <w:spacing w:line="360" w:lineRule="auto"/>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continue"/>
            <w:vAlign w:val="center"/>
          </w:tcPr>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宋体" w:hAnsi="宋体" w:cs="宋体"/>
                <w:kern w:val="0"/>
                <w:szCs w:val="21"/>
              </w:rPr>
              <w:t>工作纪律违规</w:t>
            </w:r>
          </w:p>
        </w:tc>
        <w:tc>
          <w:tcPr>
            <w:tcW w:w="2059"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无旷工；其他违规小于5件</w:t>
            </w:r>
          </w:p>
        </w:tc>
        <w:tc>
          <w:tcPr>
            <w:tcW w:w="2305" w:type="dxa"/>
            <w:vAlign w:val="center"/>
          </w:tcPr>
          <w:p>
            <w:pPr>
              <w:spacing w:line="360" w:lineRule="auto"/>
              <w:jc w:val="center"/>
              <w:rPr>
                <w:rFonts w:hint="eastAsia" w:asciiTheme="minorEastAsia" w:hAnsiTheme="minorEastAsia" w:eastAsiaTheme="minorEastAsia"/>
                <w:szCs w:val="21"/>
              </w:rPr>
            </w:pPr>
            <w:r>
              <w:rPr>
                <w:rFonts w:hint="eastAsia" w:asciiTheme="minorEastAsia" w:hAnsiTheme="minorEastAsia" w:eastAsiaTheme="minorEastAsia"/>
                <w:szCs w:val="21"/>
                <w:lang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continue"/>
            <w:vAlign w:val="center"/>
          </w:tcPr>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有效投诉</w:t>
            </w:r>
          </w:p>
        </w:tc>
        <w:tc>
          <w:tcPr>
            <w:tcW w:w="2059"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不超过1件/月</w:t>
            </w:r>
          </w:p>
        </w:tc>
        <w:tc>
          <w:tcPr>
            <w:tcW w:w="2305" w:type="dxa"/>
            <w:vAlign w:val="center"/>
          </w:tcPr>
          <w:p>
            <w:pPr>
              <w:spacing w:line="360" w:lineRule="auto"/>
              <w:jc w:val="center"/>
              <w:rPr>
                <w:rFonts w:hint="eastAsia" w:asciiTheme="minorEastAsia" w:hAnsiTheme="minorEastAsia" w:eastAsiaTheme="minorEastAsia"/>
                <w:szCs w:val="21"/>
              </w:rPr>
            </w:pPr>
            <w:r>
              <w:rPr>
                <w:rFonts w:hint="eastAsia" w:asciiTheme="minorEastAsia" w:hAnsiTheme="minorEastAsia" w:eastAsiaTheme="minorEastAsia"/>
                <w:szCs w:val="21"/>
                <w:lang w:eastAsia="zh-CN"/>
              </w:rPr>
              <w:t>月度</w:t>
            </w:r>
          </w:p>
        </w:tc>
      </w:tr>
    </w:tbl>
    <w:p>
      <w:pPr>
        <w:spacing w:line="360" w:lineRule="auto"/>
        <w:rPr>
          <w:sz w:val="24"/>
        </w:rPr>
      </w:pPr>
    </w:p>
    <w:sectPr>
      <w:footerReference r:id="rId5" w:type="default"/>
      <w:pgSz w:w="11906" w:h="16838"/>
      <w:pgMar w:top="1440" w:right="1797"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青岛九邮信息技术有限公司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青岛九邮信息技术有限公司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693AF4"/>
    <w:multiLevelType w:val="multilevel"/>
    <w:tmpl w:val="39693AF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A9D2B14"/>
    <w:multiLevelType w:val="multilevel"/>
    <w:tmpl w:val="4A9D2B14"/>
    <w:lvl w:ilvl="0" w:tentative="0">
      <w:start w:val="1"/>
      <w:numFmt w:val="decimal"/>
      <w:lvlText w:val="%1、"/>
      <w:lvlJc w:val="left"/>
      <w:pPr>
        <w:ind w:left="919" w:hanging="360"/>
      </w:pPr>
      <w:rPr>
        <w:rFonts w:hint="default" w:ascii="宋体" w:hAnsi="宋体" w:eastAsia="宋体"/>
        <w:i/>
        <w:color w:val="auto"/>
        <w:sz w:val="24"/>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
    <w:nsid w:val="54627915"/>
    <w:multiLevelType w:val="multilevel"/>
    <w:tmpl w:val="5462791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1146E39"/>
    <w:multiLevelType w:val="multilevel"/>
    <w:tmpl w:val="71146E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E292C1A"/>
    <w:multiLevelType w:val="multilevel"/>
    <w:tmpl w:val="7E292C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757B8C"/>
    <w:rsid w:val="1E535AB0"/>
    <w:rsid w:val="2BBA2596"/>
    <w:rsid w:val="56494523"/>
    <w:rsid w:val="59161831"/>
    <w:rsid w:val="5FE8418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4"/>
    <w:unhideWhenUsed/>
    <w:qFormat/>
    <w:uiPriority w:val="9"/>
    <w:pPr>
      <w:keepNext/>
      <w:keepLines/>
      <w:spacing w:before="120" w:after="120" w:line="416" w:lineRule="auto"/>
      <w:outlineLvl w:val="1"/>
    </w:pPr>
    <w:rPr>
      <w:rFonts w:asciiTheme="majorHAnsi" w:hAnsiTheme="majorHAnsi" w:eastAsiaTheme="majorEastAsia" w:cstheme="majorBidi"/>
      <w:b/>
      <w:bCs/>
      <w:sz w:val="24"/>
      <w:szCs w:val="32"/>
    </w:rPr>
  </w:style>
  <w:style w:type="paragraph" w:styleId="5">
    <w:name w:val="heading 3"/>
    <w:basedOn w:val="1"/>
    <w:next w:val="1"/>
    <w:link w:val="27"/>
    <w:unhideWhenUsed/>
    <w:qFormat/>
    <w:uiPriority w:val="9"/>
    <w:pPr>
      <w:keepNext/>
      <w:keepLines/>
      <w:spacing w:before="260" w:after="260" w:line="415" w:lineRule="auto"/>
      <w:outlineLvl w:val="2"/>
    </w:pPr>
    <w:rPr>
      <w:b/>
      <w:bCs/>
      <w:sz w:val="24"/>
      <w:szCs w:val="32"/>
    </w:rPr>
  </w:style>
  <w:style w:type="paragraph" w:styleId="6">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4">
    <w:name w:val="toc 2"/>
    <w:basedOn w:val="1"/>
    <w:next w:val="1"/>
    <w:unhideWhenUsed/>
    <w:qFormat/>
    <w:uiPriority w:val="39"/>
    <w:pPr>
      <w:ind w:left="420" w:leftChars="200"/>
    </w:pPr>
  </w:style>
  <w:style w:type="paragraph" w:styleId="7">
    <w:name w:val="Document Map"/>
    <w:basedOn w:val="1"/>
    <w:link w:val="32"/>
    <w:unhideWhenUsed/>
    <w:qFormat/>
    <w:uiPriority w:val="99"/>
    <w:rPr>
      <w:rFonts w:ascii="宋体"/>
      <w:sz w:val="18"/>
      <w:szCs w:val="18"/>
    </w:rPr>
  </w:style>
  <w:style w:type="paragraph" w:styleId="8">
    <w:name w:val="annotation text"/>
    <w:basedOn w:val="1"/>
    <w:link w:val="29"/>
    <w:unhideWhenUsed/>
    <w:qFormat/>
    <w:uiPriority w:val="99"/>
    <w:pPr>
      <w:jc w:val="left"/>
    </w:pPr>
  </w:style>
  <w:style w:type="paragraph" w:styleId="9">
    <w:name w:val="toc 3"/>
    <w:basedOn w:val="1"/>
    <w:next w:val="1"/>
    <w:unhideWhenUsed/>
    <w:qFormat/>
    <w:uiPriority w:val="39"/>
    <w:pPr>
      <w:ind w:left="840" w:leftChars="400"/>
    </w:pPr>
  </w:style>
  <w:style w:type="paragraph" w:styleId="10">
    <w:name w:val="Balloon Text"/>
    <w:basedOn w:val="1"/>
    <w:link w:val="22"/>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302"/>
      </w:tabs>
      <w:spacing w:line="360" w:lineRule="auto"/>
    </w:pPr>
  </w:style>
  <w:style w:type="paragraph" w:styleId="14">
    <w:name w:val="annotation subject"/>
    <w:basedOn w:val="8"/>
    <w:next w:val="8"/>
    <w:link w:val="30"/>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themeColor="hyperlink"/>
      <w:u w:val="single"/>
      <w14:textFill>
        <w14:solidFill>
          <w14:schemeClr w14:val="hlink"/>
        </w14:solidFill>
      </w14:textFill>
    </w:rPr>
  </w:style>
  <w:style w:type="character" w:styleId="19">
    <w:name w:val="annotation reference"/>
    <w:basedOn w:val="17"/>
    <w:unhideWhenUsed/>
    <w:qFormat/>
    <w:uiPriority w:val="99"/>
    <w:rPr>
      <w:sz w:val="21"/>
      <w:szCs w:val="21"/>
    </w:rPr>
  </w:style>
  <w:style w:type="character" w:customStyle="1" w:styleId="20">
    <w:name w:val="标题 1 字符"/>
    <w:basedOn w:val="17"/>
    <w:link w:val="2"/>
    <w:qFormat/>
    <w:uiPriority w:val="9"/>
    <w:rPr>
      <w:rFonts w:ascii="Times New Roman" w:hAnsi="Times New Roman" w:eastAsia="宋体" w:cs="Times New Roman"/>
      <w:b/>
      <w:bCs/>
      <w:kern w:val="44"/>
      <w:sz w:val="44"/>
      <w:szCs w:val="44"/>
    </w:rPr>
  </w:style>
  <w:style w:type="paragraph" w:customStyle="1" w:styleId="2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2">
    <w:name w:val="批注框文本 字符"/>
    <w:basedOn w:val="17"/>
    <w:link w:val="10"/>
    <w:semiHidden/>
    <w:qFormat/>
    <w:uiPriority w:val="99"/>
    <w:rPr>
      <w:rFonts w:ascii="Times New Roman" w:hAnsi="Times New Roman" w:eastAsia="宋体" w:cs="Times New Roman"/>
      <w:sz w:val="18"/>
      <w:szCs w:val="18"/>
    </w:rPr>
  </w:style>
  <w:style w:type="paragraph" w:customStyle="1" w:styleId="23">
    <w:name w:val="List Paragraph"/>
    <w:basedOn w:val="1"/>
    <w:qFormat/>
    <w:uiPriority w:val="34"/>
    <w:pPr>
      <w:ind w:firstLine="420" w:firstLineChars="200"/>
    </w:pPr>
  </w:style>
  <w:style w:type="character" w:customStyle="1" w:styleId="24">
    <w:name w:val="标题 2 字符"/>
    <w:basedOn w:val="17"/>
    <w:link w:val="3"/>
    <w:qFormat/>
    <w:uiPriority w:val="9"/>
    <w:rPr>
      <w:rFonts w:asciiTheme="majorHAnsi" w:hAnsiTheme="majorHAnsi" w:eastAsiaTheme="majorEastAsia" w:cstheme="majorBidi"/>
      <w:b/>
      <w:bCs/>
      <w:sz w:val="24"/>
      <w:szCs w:val="32"/>
    </w:rPr>
  </w:style>
  <w:style w:type="character" w:customStyle="1" w:styleId="25">
    <w:name w:val="页眉 字符"/>
    <w:basedOn w:val="17"/>
    <w:link w:val="12"/>
    <w:qFormat/>
    <w:uiPriority w:val="99"/>
    <w:rPr>
      <w:rFonts w:ascii="Times New Roman" w:hAnsi="Times New Roman" w:eastAsia="宋体" w:cs="Times New Roman"/>
      <w:sz w:val="18"/>
      <w:szCs w:val="18"/>
    </w:rPr>
  </w:style>
  <w:style w:type="character" w:customStyle="1" w:styleId="26">
    <w:name w:val="页脚 字符"/>
    <w:basedOn w:val="17"/>
    <w:link w:val="11"/>
    <w:qFormat/>
    <w:uiPriority w:val="99"/>
    <w:rPr>
      <w:rFonts w:ascii="Times New Roman" w:hAnsi="Times New Roman" w:eastAsia="宋体" w:cs="Times New Roman"/>
      <w:sz w:val="18"/>
      <w:szCs w:val="18"/>
    </w:rPr>
  </w:style>
  <w:style w:type="character" w:customStyle="1" w:styleId="27">
    <w:name w:val="标题 3 字符"/>
    <w:basedOn w:val="17"/>
    <w:link w:val="5"/>
    <w:qFormat/>
    <w:uiPriority w:val="9"/>
    <w:rPr>
      <w:rFonts w:ascii="Times New Roman" w:hAnsi="Times New Roman" w:eastAsia="宋体" w:cs="Times New Roman"/>
      <w:b/>
      <w:bCs/>
      <w:sz w:val="24"/>
      <w:szCs w:val="32"/>
    </w:rPr>
  </w:style>
  <w:style w:type="character" w:customStyle="1" w:styleId="28">
    <w:name w:val="标题 4 字符"/>
    <w:basedOn w:val="17"/>
    <w:link w:val="6"/>
    <w:qFormat/>
    <w:uiPriority w:val="9"/>
    <w:rPr>
      <w:rFonts w:asciiTheme="majorHAnsi" w:hAnsiTheme="majorHAnsi" w:eastAsiaTheme="majorEastAsia" w:cstheme="majorBidi"/>
      <w:b/>
      <w:bCs/>
      <w:sz w:val="28"/>
      <w:szCs w:val="28"/>
    </w:rPr>
  </w:style>
  <w:style w:type="character" w:customStyle="1" w:styleId="29">
    <w:name w:val="批注文字 字符"/>
    <w:basedOn w:val="17"/>
    <w:link w:val="8"/>
    <w:semiHidden/>
    <w:qFormat/>
    <w:uiPriority w:val="99"/>
    <w:rPr>
      <w:rFonts w:ascii="Times New Roman" w:hAnsi="Times New Roman" w:eastAsia="宋体" w:cs="Times New Roman"/>
      <w:szCs w:val="24"/>
    </w:rPr>
  </w:style>
  <w:style w:type="character" w:customStyle="1" w:styleId="30">
    <w:name w:val="批注主题 字符"/>
    <w:basedOn w:val="29"/>
    <w:link w:val="14"/>
    <w:semiHidden/>
    <w:qFormat/>
    <w:uiPriority w:val="99"/>
    <w:rPr>
      <w:rFonts w:ascii="Times New Roman" w:hAnsi="Times New Roman" w:eastAsia="宋体" w:cs="Times New Roman"/>
      <w:b/>
      <w:bCs/>
      <w:szCs w:val="24"/>
    </w:rPr>
  </w:style>
  <w:style w:type="paragraph" w:customStyle="1" w:styleId="3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2">
    <w:name w:val="文档结构图 字符"/>
    <w:basedOn w:val="17"/>
    <w:link w:val="7"/>
    <w:semiHidden/>
    <w:qFormat/>
    <w:uiPriority w:val="99"/>
    <w:rPr>
      <w:rFonts w:ascii="宋体"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DFDFC7-795B-4805-BD6F-E34E874E909D}">
  <ds:schemaRefs/>
</ds:datastoreItem>
</file>

<file path=docProps/app.xml><?xml version="1.0" encoding="utf-8"?>
<Properties xmlns="http://schemas.openxmlformats.org/officeDocument/2006/extended-properties" xmlns:vt="http://schemas.openxmlformats.org/officeDocument/2006/docPropsVTypes">
  <Template>Normal</Template>
  <Pages>10</Pages>
  <Words>609</Words>
  <Characters>3473</Characters>
  <Lines>28</Lines>
  <Paragraphs>8</Paragraphs>
  <TotalTime>0</TotalTime>
  <ScaleCrop>false</ScaleCrop>
  <LinksUpToDate>false</LinksUpToDate>
  <CharactersWithSpaces>4074</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2014-12-15T11:20:00Z</dcterms:created>
  <dc:creator>聂滢晶</dc:creator>
  <cp:lastModifiedBy>MEI大東</cp:lastModifiedBy>
  <cp:lastPrinted>2014-11-05T05:33:00Z</cp:lastPrinted>
  <dcterms:modified xsi:type="dcterms:W3CDTF">2019-09-24T00:33:04Z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