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cs="宋体"/>
          <w:sz w:val="52"/>
          <w:szCs w:val="52"/>
        </w:rPr>
      </w:pPr>
    </w:p>
    <w:p>
      <w:pPr>
        <w:jc w:val="center"/>
        <w:rPr>
          <w:rFonts w:ascii="宋体" w:hAnsi="宋体" w:eastAsia="宋体" w:cs="黑体"/>
          <w:b/>
          <w:sz w:val="52"/>
          <w:szCs w:val="52"/>
        </w:rPr>
      </w:pPr>
      <w:r>
        <w:rPr>
          <w:rFonts w:hint="eastAsia" w:ascii="宋体" w:hAnsi="宋体" w:eastAsia="宋体" w:cs="黑体"/>
          <w:b/>
          <w:sz w:val="52"/>
          <w:szCs w:val="52"/>
        </w:rPr>
        <w:t>青岛九邮信息技术有限公司</w:t>
      </w:r>
    </w:p>
    <w:p>
      <w:pPr>
        <w:jc w:val="center"/>
        <w:rPr>
          <w:rFonts w:ascii="宋体" w:hAnsi="宋体" w:eastAsia="宋体" w:cs="黑体"/>
          <w:b/>
          <w:sz w:val="52"/>
          <w:szCs w:val="52"/>
        </w:rPr>
      </w:pPr>
      <w:r>
        <w:rPr>
          <w:rFonts w:hint="eastAsia" w:ascii="宋体" w:hAnsi="宋体" w:eastAsia="宋体" w:cs="黑体"/>
          <w:b/>
          <w:sz w:val="52"/>
          <w:szCs w:val="52"/>
        </w:rPr>
        <w:t>2019年度运维服务能力管理计划</w:t>
      </w: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hint="eastAsia" w:ascii="宋体" w:hAnsi="宋体" w:cs="宋体"/>
          <w:sz w:val="24"/>
          <w:szCs w:val="24"/>
        </w:rPr>
      </w:pPr>
    </w:p>
    <w:p>
      <w:pPr>
        <w:rPr>
          <w:rFonts w:ascii="宋体" w:hAnsi="宋体" w:cs="宋体"/>
          <w:sz w:val="24"/>
          <w:szCs w:val="24"/>
        </w:rPr>
      </w:pPr>
    </w:p>
    <w:tbl>
      <w:tblPr>
        <w:tblStyle w:val="43"/>
        <w:tblW w:w="8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2" w:type="dxa"/>
          </w:tcPr>
          <w:p>
            <w:pPr>
              <w:jc w:val="center"/>
              <w:rPr>
                <w:rFonts w:ascii="微软雅黑" w:hAnsi="微软雅黑" w:eastAsia="微软雅黑"/>
                <w:b/>
              </w:rPr>
            </w:pPr>
            <w:r>
              <w:rPr>
                <w:rFonts w:hint="eastAsia" w:ascii="微软雅黑" w:hAnsi="微软雅黑" w:eastAsia="微软雅黑"/>
                <w:b/>
              </w:rPr>
              <w:t>编制</w:t>
            </w:r>
          </w:p>
        </w:tc>
        <w:tc>
          <w:tcPr>
            <w:tcW w:w="1450" w:type="dxa"/>
          </w:tcPr>
          <w:p>
            <w:pPr>
              <w:jc w:val="center"/>
              <w:rPr>
                <w:rFonts w:ascii="微软雅黑" w:hAnsi="微软雅黑" w:eastAsia="微软雅黑"/>
                <w:sz w:val="24"/>
                <w:szCs w:val="24"/>
              </w:rPr>
            </w:pPr>
            <w:r>
              <w:rPr>
                <w:rFonts w:hint="eastAsia" w:ascii="微软雅黑" w:hAnsi="微软雅黑" w:eastAsia="微软雅黑"/>
                <w:szCs w:val="21"/>
              </w:rPr>
              <w:t>唐旭</w:t>
            </w:r>
          </w:p>
        </w:tc>
        <w:tc>
          <w:tcPr>
            <w:tcW w:w="1110" w:type="dxa"/>
          </w:tcPr>
          <w:p>
            <w:pPr>
              <w:jc w:val="center"/>
              <w:rPr>
                <w:rFonts w:ascii="微软雅黑" w:hAnsi="微软雅黑" w:eastAsia="微软雅黑"/>
                <w:b/>
              </w:rPr>
            </w:pPr>
            <w:r>
              <w:rPr>
                <w:rFonts w:hint="eastAsia" w:ascii="微软雅黑" w:hAnsi="微软雅黑" w:eastAsia="微软雅黑"/>
                <w:b/>
              </w:rPr>
              <w:t>审核</w:t>
            </w:r>
          </w:p>
        </w:tc>
        <w:tc>
          <w:tcPr>
            <w:tcW w:w="1664" w:type="dxa"/>
          </w:tcPr>
          <w:p>
            <w:pPr>
              <w:jc w:val="center"/>
              <w:rPr>
                <w:rFonts w:ascii="微软雅黑" w:hAnsi="微软雅黑" w:eastAsia="微软雅黑"/>
                <w:szCs w:val="21"/>
              </w:rPr>
            </w:pPr>
            <w:r>
              <w:rPr>
                <w:rFonts w:hint="eastAsia" w:ascii="微软雅黑" w:hAnsi="微软雅黑" w:eastAsia="微软雅黑"/>
                <w:szCs w:val="21"/>
              </w:rPr>
              <w:t>吴克</w:t>
            </w:r>
          </w:p>
        </w:tc>
        <w:tc>
          <w:tcPr>
            <w:tcW w:w="1661" w:type="dxa"/>
          </w:tcPr>
          <w:p>
            <w:pPr>
              <w:jc w:val="center"/>
              <w:rPr>
                <w:rFonts w:ascii="微软雅黑" w:hAnsi="微软雅黑" w:eastAsia="微软雅黑"/>
                <w:szCs w:val="21"/>
              </w:rPr>
            </w:pPr>
            <w:r>
              <w:rPr>
                <w:rFonts w:hint="eastAsia" w:ascii="微软雅黑" w:hAnsi="微软雅黑" w:eastAsia="微软雅黑"/>
                <w:b/>
                <w:bCs/>
                <w:szCs w:val="21"/>
              </w:rPr>
              <w:t>审批</w:t>
            </w:r>
          </w:p>
        </w:tc>
        <w:tc>
          <w:tcPr>
            <w:tcW w:w="1659" w:type="dxa"/>
          </w:tcPr>
          <w:p>
            <w:pPr>
              <w:jc w:val="center"/>
              <w:rPr>
                <w:rFonts w:ascii="微软雅黑" w:hAnsi="微软雅黑" w:eastAsia="微软雅黑"/>
                <w:szCs w:val="21"/>
              </w:rPr>
            </w:pPr>
            <w:r>
              <w:rPr>
                <w:rFonts w:hint="eastAsia" w:ascii="微软雅黑" w:hAnsi="微软雅黑" w:eastAsia="微软雅黑"/>
                <w:szCs w:val="21"/>
              </w:rPr>
              <w:t>孙元朝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432" w:type="dxa"/>
            <w:gridSpan w:val="2"/>
          </w:tcPr>
          <w:p>
            <w:pPr>
              <w:jc w:val="center"/>
              <w:rPr>
                <w:rFonts w:ascii="微软雅黑" w:hAnsi="微软雅黑" w:eastAsia="微软雅黑"/>
                <w:sz w:val="24"/>
                <w:szCs w:val="24"/>
              </w:rPr>
            </w:pPr>
            <w:r>
              <w:rPr>
                <w:rFonts w:hint="eastAsia" w:ascii="微软雅黑" w:hAnsi="微软雅黑" w:eastAsia="微软雅黑"/>
                <w:b/>
                <w:bCs/>
                <w:sz w:val="22"/>
              </w:rPr>
              <w:t>发布日期</w:t>
            </w:r>
          </w:p>
        </w:tc>
        <w:tc>
          <w:tcPr>
            <w:tcW w:w="6094" w:type="dxa"/>
            <w:gridSpan w:val="4"/>
          </w:tcPr>
          <w:p>
            <w:pPr>
              <w:jc w:val="center"/>
              <w:rPr>
                <w:rFonts w:ascii="微软雅黑" w:hAnsi="微软雅黑" w:eastAsia="微软雅黑"/>
                <w:szCs w:val="21"/>
              </w:rPr>
            </w:pPr>
            <w:r>
              <w:rPr>
                <w:rFonts w:hint="eastAsia" w:ascii="微软雅黑" w:hAnsi="微软雅黑" w:eastAsia="微软雅黑"/>
                <w:szCs w:val="21"/>
              </w:rPr>
              <w:t>201</w:t>
            </w:r>
            <w:r>
              <w:rPr>
                <w:rFonts w:ascii="微软雅黑" w:hAnsi="微软雅黑" w:eastAsia="微软雅黑"/>
                <w:szCs w:val="21"/>
              </w:rPr>
              <w:t>9</w:t>
            </w:r>
            <w:r>
              <w:rPr>
                <w:rFonts w:hint="eastAsia" w:ascii="微软雅黑" w:hAnsi="微软雅黑" w:eastAsia="微软雅黑"/>
                <w:szCs w:val="21"/>
              </w:rPr>
              <w:t>年1月1日</w:t>
            </w:r>
          </w:p>
        </w:tc>
      </w:tr>
    </w:tbl>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spacing w:line="360" w:lineRule="auto"/>
        <w:jc w:val="center"/>
        <w:rPr>
          <w:rFonts w:asciiTheme="minorEastAsia" w:hAnsiTheme="minorEastAsia"/>
          <w:b/>
          <w:sz w:val="28"/>
          <w:szCs w:val="28"/>
        </w:rPr>
      </w:pPr>
      <w:r>
        <w:rPr>
          <w:rFonts w:hint="eastAsia" w:asciiTheme="minorEastAsia" w:hAnsiTheme="minorEastAsia"/>
          <w:b/>
          <w:sz w:val="28"/>
          <w:szCs w:val="28"/>
        </w:rPr>
        <w:t>发布、修订记录</w:t>
      </w:r>
    </w:p>
    <w:tbl>
      <w:tblPr>
        <w:tblStyle w:val="43"/>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pPr>
              <w:spacing w:line="360" w:lineRule="auto"/>
              <w:jc w:val="center"/>
              <w:rPr>
                <w:rFonts w:ascii="宋体"/>
              </w:rPr>
            </w:pPr>
            <w:r>
              <w:rPr>
                <w:rFonts w:hint="eastAsia" w:ascii="宋体" w:hAnsi="宋体"/>
              </w:rPr>
              <w:t>版本号</w:t>
            </w:r>
          </w:p>
        </w:tc>
        <w:tc>
          <w:tcPr>
            <w:tcW w:w="1479" w:type="dxa"/>
            <w:vAlign w:val="center"/>
          </w:tcPr>
          <w:p>
            <w:pPr>
              <w:spacing w:line="360" w:lineRule="auto"/>
              <w:jc w:val="center"/>
              <w:rPr>
                <w:rFonts w:ascii="宋体"/>
              </w:rPr>
            </w:pPr>
            <w:r>
              <w:rPr>
                <w:rFonts w:hint="eastAsia" w:ascii="宋体" w:hAnsi="宋体"/>
              </w:rPr>
              <w:t>发布日期</w:t>
            </w:r>
          </w:p>
        </w:tc>
        <w:tc>
          <w:tcPr>
            <w:tcW w:w="1550" w:type="dxa"/>
            <w:vAlign w:val="center"/>
          </w:tcPr>
          <w:p>
            <w:pPr>
              <w:spacing w:line="360" w:lineRule="auto"/>
              <w:jc w:val="center"/>
              <w:rPr>
                <w:rFonts w:ascii="宋体"/>
              </w:rPr>
            </w:pPr>
            <w:r>
              <w:rPr>
                <w:rFonts w:hint="eastAsia" w:ascii="宋体" w:hAnsi="宋体"/>
              </w:rPr>
              <w:t>修改人/</w:t>
            </w:r>
          </w:p>
          <w:p>
            <w:pPr>
              <w:spacing w:line="360" w:lineRule="auto"/>
              <w:jc w:val="center"/>
              <w:rPr>
                <w:rFonts w:ascii="宋体"/>
              </w:rPr>
            </w:pPr>
            <w:r>
              <w:rPr>
                <w:rFonts w:hint="eastAsia" w:ascii="宋体" w:hAnsi="宋体"/>
              </w:rPr>
              <w:t>修改日期</w:t>
            </w:r>
          </w:p>
        </w:tc>
        <w:tc>
          <w:tcPr>
            <w:tcW w:w="1459" w:type="dxa"/>
            <w:vAlign w:val="center"/>
          </w:tcPr>
          <w:p>
            <w:pPr>
              <w:spacing w:line="360" w:lineRule="auto"/>
              <w:jc w:val="center"/>
              <w:rPr>
                <w:rFonts w:ascii="宋体"/>
              </w:rPr>
            </w:pPr>
            <w:r>
              <w:rPr>
                <w:rFonts w:hint="eastAsia" w:ascii="宋体" w:hAnsi="宋体"/>
              </w:rPr>
              <w:t>审核人/</w:t>
            </w:r>
          </w:p>
          <w:p>
            <w:pPr>
              <w:spacing w:line="360" w:lineRule="auto"/>
              <w:jc w:val="center"/>
              <w:rPr>
                <w:rFonts w:ascii="宋体"/>
              </w:rPr>
            </w:pPr>
            <w:r>
              <w:rPr>
                <w:rFonts w:hint="eastAsia" w:ascii="宋体" w:hAnsi="宋体"/>
              </w:rPr>
              <w:t>审核日期</w:t>
            </w:r>
          </w:p>
        </w:tc>
        <w:tc>
          <w:tcPr>
            <w:tcW w:w="1566" w:type="dxa"/>
            <w:vAlign w:val="center"/>
          </w:tcPr>
          <w:p>
            <w:pPr>
              <w:spacing w:line="360" w:lineRule="auto"/>
              <w:jc w:val="center"/>
              <w:rPr>
                <w:rFonts w:ascii="宋体"/>
              </w:rPr>
            </w:pPr>
            <w:r>
              <w:rPr>
                <w:rFonts w:hint="eastAsia" w:ascii="宋体" w:hAnsi="宋体"/>
              </w:rPr>
              <w:t>批准人/</w:t>
            </w:r>
          </w:p>
          <w:p>
            <w:pPr>
              <w:spacing w:line="360" w:lineRule="auto"/>
              <w:jc w:val="center"/>
              <w:rPr>
                <w:rFonts w:ascii="宋体"/>
              </w:rPr>
            </w:pPr>
            <w:r>
              <w:rPr>
                <w:rFonts w:hint="eastAsia" w:ascii="宋体" w:hAnsi="宋体"/>
              </w:rPr>
              <w:t>批准日期</w:t>
            </w:r>
          </w:p>
        </w:tc>
        <w:tc>
          <w:tcPr>
            <w:tcW w:w="2118" w:type="dxa"/>
            <w:vAlign w:val="center"/>
          </w:tcPr>
          <w:p>
            <w:pPr>
              <w:spacing w:line="360" w:lineRule="auto"/>
              <w:jc w:val="center"/>
              <w:rPr>
                <w:rFonts w:ascii="宋体"/>
              </w:rPr>
            </w:pPr>
            <w:r>
              <w:rPr>
                <w:rFonts w:hint="eastAsia" w:ascii="宋体" w:hAnsi="宋体"/>
              </w:rPr>
              <w:t>备   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cs="宋体"/>
              </w:rPr>
            </w:pPr>
            <w:r>
              <w:rPr>
                <w:rFonts w:hint="eastAsia" w:ascii="宋体" w:cs="宋体"/>
              </w:rPr>
              <w:t>V</w:t>
            </w:r>
            <w:r>
              <w:rPr>
                <w:rFonts w:ascii="宋体" w:cs="宋体"/>
              </w:rPr>
              <w:t>1.0</w:t>
            </w:r>
          </w:p>
        </w:tc>
        <w:tc>
          <w:tcPr>
            <w:tcW w:w="1479" w:type="dxa"/>
            <w:vAlign w:val="center"/>
          </w:tcPr>
          <w:p>
            <w:pPr>
              <w:jc w:val="center"/>
              <w:rPr>
                <w:rFonts w:ascii="宋体" w:cs="宋体"/>
              </w:rPr>
            </w:pPr>
            <w:r>
              <w:rPr>
                <w:rFonts w:hint="eastAsia" w:ascii="宋体" w:hAnsi="宋体" w:cs="宋体"/>
              </w:rPr>
              <w:t>201</w:t>
            </w:r>
            <w:r>
              <w:rPr>
                <w:rFonts w:ascii="宋体" w:hAnsi="宋体" w:cs="宋体"/>
              </w:rPr>
              <w:t>9</w:t>
            </w:r>
            <w:r>
              <w:rPr>
                <w:rFonts w:hint="eastAsia" w:ascii="宋体" w:hAnsi="宋体" w:cs="宋体"/>
              </w:rPr>
              <w:t>.1.1</w:t>
            </w:r>
          </w:p>
        </w:tc>
        <w:tc>
          <w:tcPr>
            <w:tcW w:w="1550" w:type="dxa"/>
            <w:vAlign w:val="center"/>
          </w:tcPr>
          <w:p>
            <w:pPr>
              <w:jc w:val="center"/>
              <w:rPr>
                <w:rFonts w:ascii="宋体" w:cs="宋体"/>
              </w:rPr>
            </w:pPr>
            <w:r>
              <w:rPr>
                <w:rFonts w:hint="eastAsia" w:ascii="宋体" w:hAnsi="宋体" w:cs="宋体"/>
              </w:rPr>
              <w:t>唐旭/201</w:t>
            </w:r>
            <w:r>
              <w:rPr>
                <w:rFonts w:ascii="宋体" w:hAnsi="宋体" w:cs="宋体"/>
              </w:rPr>
              <w:t>8</w:t>
            </w:r>
            <w:r>
              <w:rPr>
                <w:rFonts w:hint="eastAsia" w:ascii="宋体" w:hAnsi="宋体" w:cs="宋体"/>
              </w:rPr>
              <w:t>.12.9</w:t>
            </w:r>
          </w:p>
        </w:tc>
        <w:tc>
          <w:tcPr>
            <w:tcW w:w="1459" w:type="dxa"/>
            <w:vAlign w:val="center"/>
          </w:tcPr>
          <w:p>
            <w:pPr>
              <w:jc w:val="center"/>
              <w:rPr>
                <w:rFonts w:ascii="宋体" w:cs="宋体"/>
              </w:rPr>
            </w:pPr>
            <w:r>
              <w:rPr>
                <w:rFonts w:hint="eastAsia" w:ascii="宋体" w:hAnsi="宋体" w:cs="宋体"/>
              </w:rPr>
              <w:t>吴克/201</w:t>
            </w:r>
            <w:r>
              <w:rPr>
                <w:rFonts w:ascii="宋体" w:hAnsi="宋体" w:cs="宋体"/>
              </w:rPr>
              <w:t>8</w:t>
            </w:r>
            <w:r>
              <w:rPr>
                <w:rFonts w:hint="eastAsia" w:ascii="宋体" w:hAnsi="宋体" w:cs="宋体"/>
              </w:rPr>
              <w:t>.12.25</w:t>
            </w:r>
          </w:p>
        </w:tc>
        <w:tc>
          <w:tcPr>
            <w:tcW w:w="1566" w:type="dxa"/>
            <w:vAlign w:val="center"/>
          </w:tcPr>
          <w:p>
            <w:pPr>
              <w:jc w:val="center"/>
              <w:rPr>
                <w:rFonts w:ascii="宋体" w:hAnsi="宋体" w:cs="宋体"/>
              </w:rPr>
            </w:pPr>
            <w:r>
              <w:rPr>
                <w:rFonts w:hint="eastAsia" w:ascii="宋体" w:hAnsi="宋体" w:cs="宋体"/>
              </w:rPr>
              <w:t>孙元朝/201</w:t>
            </w:r>
            <w:r>
              <w:rPr>
                <w:rFonts w:ascii="宋体" w:hAnsi="宋体" w:cs="宋体"/>
              </w:rPr>
              <w:t>9</w:t>
            </w:r>
            <w:r>
              <w:rPr>
                <w:rFonts w:hint="eastAsia" w:ascii="宋体" w:hAnsi="宋体" w:cs="宋体"/>
              </w:rPr>
              <w:t>.1.1</w:t>
            </w:r>
          </w:p>
        </w:tc>
        <w:tc>
          <w:tcPr>
            <w:tcW w:w="2118" w:type="dxa"/>
            <w:vAlign w:val="center"/>
          </w:tcPr>
          <w:p>
            <w:pPr>
              <w:spacing w:line="360" w:lineRule="auto"/>
              <w:jc w:val="center"/>
              <w:rPr>
                <w:rFonts w:ascii="宋体" w:hAnsi="宋体" w:eastAsia="宋体"/>
              </w:rPr>
            </w:pPr>
            <w:r>
              <w:rPr>
                <w:rFonts w:hint="eastAsia" w:ascii="宋体" w:hAnsi="宋体"/>
              </w:rPr>
              <w:t>新建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 w:hAnsi="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bl>
    <w:p>
      <w:pPr>
        <w:rPr>
          <w:b/>
          <w:bCs/>
        </w:rPr>
        <w:sectPr>
          <w:headerReference r:id="rId4" w:type="first"/>
          <w:headerReference r:id="rId3" w:type="default"/>
          <w:footerReference r:id="rId5" w:type="default"/>
          <w:pgSz w:w="11907" w:h="16840"/>
          <w:pgMar w:top="868" w:right="1418" w:bottom="1440" w:left="1797" w:header="720" w:footer="578" w:gutter="0"/>
          <w:pgNumType w:start="1"/>
          <w:cols w:space="720" w:num="1"/>
          <w:titlePg/>
          <w:docGrid w:linePitch="286" w:charSpace="0"/>
        </w:sectPr>
      </w:pPr>
    </w:p>
    <w:p>
      <w:pPr>
        <w:tabs>
          <w:tab w:val="right" w:leader="dot" w:pos="8364"/>
          <w:tab w:val="right" w:leader="dot" w:pos="8789"/>
          <w:tab w:val="right" w:leader="dot" w:pos="8931"/>
          <w:tab w:val="right" w:leader="dot" w:pos="9214"/>
        </w:tabs>
        <w:jc w:val="center"/>
        <w:rPr>
          <w:rFonts w:ascii="宋体" w:hAnsi="宋体" w:cs="宋体"/>
          <w:b/>
          <w:sz w:val="44"/>
          <w:szCs w:val="44"/>
        </w:rPr>
      </w:pPr>
      <w:r>
        <w:rPr>
          <w:rFonts w:hint="eastAsia" w:ascii="宋体" w:hAnsi="宋体" w:cs="宋体"/>
          <w:b/>
          <w:sz w:val="44"/>
          <w:szCs w:val="44"/>
        </w:rPr>
        <w:t>目  录</w:t>
      </w:r>
    </w:p>
    <w:p>
      <w:pPr>
        <w:pStyle w:val="31"/>
        <w:tabs>
          <w:tab w:val="right" w:leader="dot" w:pos="8692"/>
          <w:tab w:val="clear" w:pos="340"/>
          <w:tab w:val="clear" w:pos="9806"/>
        </w:tabs>
        <w:spacing w:line="360" w:lineRule="auto"/>
        <w:rPr>
          <w:rFonts w:ascii="宋体" w:hAnsi="宋体" w:eastAsia="宋体" w:cs="宋体"/>
          <w:b w:val="0"/>
          <w:bCs/>
          <w:szCs w:val="21"/>
        </w:rPr>
      </w:pPr>
      <w:r>
        <w:rPr>
          <w:rFonts w:hint="eastAsia" w:ascii="宋体" w:hAnsi="宋体" w:eastAsia="宋体" w:cs="宋体"/>
          <w:b w:val="0"/>
          <w:bCs/>
          <w:szCs w:val="21"/>
          <w:lang w:val="en-GB"/>
        </w:rPr>
        <w:fldChar w:fldCharType="begin"/>
      </w:r>
      <w:r>
        <w:rPr>
          <w:rFonts w:hint="eastAsia" w:ascii="宋体" w:hAnsi="宋体" w:eastAsia="宋体" w:cs="宋体"/>
          <w:b w:val="0"/>
          <w:bCs/>
          <w:szCs w:val="21"/>
          <w:lang w:val="en-GB"/>
        </w:rPr>
        <w:instrText xml:space="preserve"> TOC \o "1-3" \h \z \u </w:instrText>
      </w:r>
      <w:r>
        <w:rPr>
          <w:rFonts w:hint="eastAsia" w:ascii="宋体" w:hAnsi="宋体" w:eastAsia="宋体" w:cs="宋体"/>
          <w:b w:val="0"/>
          <w:bCs/>
          <w:szCs w:val="21"/>
          <w:lang w:val="en-GB"/>
        </w:rPr>
        <w:fldChar w:fldCharType="separate"/>
      </w:r>
      <w:r>
        <w:fldChar w:fldCharType="begin"/>
      </w:r>
      <w:r>
        <w:instrText xml:space="preserve"> HYPERLINK \l "_Toc21761" </w:instrText>
      </w:r>
      <w:r>
        <w:fldChar w:fldCharType="separate"/>
      </w:r>
      <w:r>
        <w:rPr>
          <w:rFonts w:hint="eastAsia" w:ascii="宋体" w:hAnsi="宋体" w:eastAsia="宋体" w:cs="宋体"/>
          <w:b w:val="0"/>
          <w:bCs/>
          <w:szCs w:val="21"/>
          <w:lang w:val="en-GB"/>
        </w:rPr>
        <w:t>1 能力管理计划范围</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_Toc21761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"_Toc18088" </w:instrText>
      </w:r>
      <w:r>
        <w:fldChar w:fldCharType="separate"/>
      </w:r>
      <w:r>
        <w:rPr>
          <w:rFonts w:hint="eastAsia" w:ascii="宋体" w:hAnsi="宋体" w:eastAsia="宋体" w:cs="宋体"/>
          <w:b w:val="0"/>
          <w:bCs/>
          <w:szCs w:val="21"/>
          <w:lang w:val="en-GB"/>
        </w:rPr>
        <w:t>2 运维服务需求</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_Toc18088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"_Toc7994" </w:instrText>
      </w:r>
      <w:r>
        <w:fldChar w:fldCharType="separate"/>
      </w:r>
      <w:r>
        <w:rPr>
          <w:rFonts w:hint="eastAsia" w:ascii="宋体" w:hAnsi="宋体" w:eastAsia="宋体" w:cs="宋体"/>
          <w:b w:val="0"/>
          <w:bCs/>
          <w:szCs w:val="21"/>
          <w:lang w:val="en-GB"/>
        </w:rPr>
        <w:t>3 运维服务管理方针</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_Toc7994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"_Toc8802" </w:instrText>
      </w:r>
      <w:r>
        <w:fldChar w:fldCharType="separate"/>
      </w:r>
      <w:r>
        <w:rPr>
          <w:rFonts w:hint="eastAsia" w:ascii="宋体" w:hAnsi="宋体" w:eastAsia="宋体" w:cs="宋体"/>
          <w:b w:val="0"/>
          <w:bCs/>
          <w:szCs w:val="21"/>
          <w:lang w:val="en-GB"/>
        </w:rPr>
        <w:t>4 运维服务能力管理目标</w:t>
      </w:r>
      <w:bookmarkStart w:id="29" w:name="_GoBack"/>
      <w:bookmarkEnd w:id="29"/>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_Toc8802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"_Toc29189" </w:instrText>
      </w:r>
      <w:r>
        <w:fldChar w:fldCharType="separate"/>
      </w:r>
      <w:r>
        <w:rPr>
          <w:rFonts w:hint="eastAsia" w:ascii="宋体" w:hAnsi="宋体" w:eastAsia="宋体" w:cs="宋体"/>
          <w:b w:val="0"/>
          <w:bCs/>
          <w:szCs w:val="21"/>
          <w:lang w:val="en-GB"/>
        </w:rPr>
        <w:t>5 服务目标分解</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_Toc29189 </w:instrText>
      </w:r>
      <w:r>
        <w:rPr>
          <w:rFonts w:hint="eastAsia" w:ascii="宋体" w:hAnsi="宋体" w:eastAsia="宋体" w:cs="宋体"/>
          <w:b w:val="0"/>
          <w:bCs/>
          <w:szCs w:val="21"/>
        </w:rPr>
        <w:fldChar w:fldCharType="separate"/>
      </w:r>
      <w:r>
        <w:rPr>
          <w:rFonts w:hint="eastAsia" w:ascii="宋体" w:hAnsi="宋体" w:eastAsia="宋体" w:cs="宋体"/>
          <w:b w:val="0"/>
          <w:bCs/>
          <w:szCs w:val="21"/>
        </w:rPr>
        <w:t>2</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"_Toc14522" </w:instrText>
      </w:r>
      <w:r>
        <w:fldChar w:fldCharType="separate"/>
      </w:r>
      <w:r>
        <w:rPr>
          <w:rFonts w:hint="eastAsia" w:ascii="宋体" w:hAnsi="宋体" w:eastAsia="宋体" w:cs="宋体"/>
          <w:b w:val="0"/>
          <w:bCs/>
          <w:szCs w:val="21"/>
          <w:lang w:val="en-GB"/>
        </w:rPr>
        <w:t>6 运维服务管理体系现状及差距分析</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_Toc14522 </w:instrText>
      </w:r>
      <w:r>
        <w:rPr>
          <w:rFonts w:hint="eastAsia" w:ascii="宋体" w:hAnsi="宋体" w:eastAsia="宋体" w:cs="宋体"/>
          <w:b w:val="0"/>
          <w:bCs/>
          <w:szCs w:val="21"/>
        </w:rPr>
        <w:fldChar w:fldCharType="separate"/>
      </w:r>
      <w:r>
        <w:rPr>
          <w:rFonts w:hint="eastAsia" w:ascii="宋体" w:hAnsi="宋体" w:eastAsia="宋体" w:cs="宋体"/>
          <w:b w:val="0"/>
          <w:bCs/>
          <w:szCs w:val="21"/>
        </w:rPr>
        <w:t>3</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"_Toc16626" </w:instrText>
      </w:r>
      <w:r>
        <w:fldChar w:fldCharType="separate"/>
      </w:r>
      <w:r>
        <w:rPr>
          <w:rFonts w:hint="eastAsia" w:ascii="宋体" w:hAnsi="宋体" w:eastAsia="宋体" w:cs="宋体"/>
          <w:bCs/>
          <w:szCs w:val="21"/>
        </w:rPr>
        <w:t>6.1 人员能力现状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_Toc16626 </w:instrText>
      </w:r>
      <w:r>
        <w:rPr>
          <w:rFonts w:hint="eastAsia" w:ascii="宋体" w:hAnsi="宋体" w:eastAsia="宋体" w:cs="宋体"/>
          <w:bCs/>
          <w:szCs w:val="21"/>
        </w:rPr>
        <w:fldChar w:fldCharType="separate"/>
      </w:r>
      <w:r>
        <w:rPr>
          <w:rFonts w:hint="eastAsia" w:ascii="宋体" w:hAnsi="宋体" w:eastAsia="宋体" w:cs="宋体"/>
          <w:bCs/>
          <w:szCs w:val="21"/>
        </w:rPr>
        <w:t>3</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"_Toc23476" </w:instrText>
      </w:r>
      <w:r>
        <w:fldChar w:fldCharType="separate"/>
      </w:r>
      <w:r>
        <w:rPr>
          <w:rFonts w:hint="eastAsia" w:ascii="宋体" w:hAnsi="宋体" w:eastAsia="宋体" w:cs="宋体"/>
          <w:bCs/>
          <w:szCs w:val="21"/>
        </w:rPr>
        <w:t>6.2 资源能力现状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_Toc23476 </w:instrText>
      </w:r>
      <w:r>
        <w:rPr>
          <w:rFonts w:hint="eastAsia" w:ascii="宋体" w:hAnsi="宋体" w:eastAsia="宋体" w:cs="宋体"/>
          <w:bCs/>
          <w:szCs w:val="21"/>
        </w:rPr>
        <w:fldChar w:fldCharType="separate"/>
      </w:r>
      <w:r>
        <w:rPr>
          <w:rFonts w:hint="eastAsia" w:ascii="宋体" w:hAnsi="宋体" w:eastAsia="宋体" w:cs="宋体"/>
          <w:bCs/>
          <w:szCs w:val="21"/>
        </w:rPr>
        <w:t>3</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"_Toc22497" </w:instrText>
      </w:r>
      <w:r>
        <w:fldChar w:fldCharType="separate"/>
      </w:r>
      <w:r>
        <w:rPr>
          <w:rFonts w:hint="eastAsia" w:ascii="宋体" w:hAnsi="宋体" w:eastAsia="宋体" w:cs="宋体"/>
          <w:bCs/>
          <w:szCs w:val="21"/>
        </w:rPr>
        <w:t>6.3 技术能力现状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_Toc22497 </w:instrText>
      </w:r>
      <w:r>
        <w:rPr>
          <w:rFonts w:hint="eastAsia" w:ascii="宋体" w:hAnsi="宋体" w:eastAsia="宋体" w:cs="宋体"/>
          <w:bCs/>
          <w:szCs w:val="21"/>
        </w:rPr>
        <w:fldChar w:fldCharType="separate"/>
      </w:r>
      <w:r>
        <w:rPr>
          <w:rFonts w:hint="eastAsia" w:ascii="宋体" w:hAnsi="宋体" w:eastAsia="宋体" w:cs="宋体"/>
          <w:bCs/>
          <w:szCs w:val="21"/>
        </w:rPr>
        <w:t>4</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"_Toc2546" </w:instrText>
      </w:r>
      <w:r>
        <w:fldChar w:fldCharType="separate"/>
      </w:r>
      <w:r>
        <w:rPr>
          <w:rFonts w:hint="eastAsia" w:ascii="宋体" w:hAnsi="宋体" w:eastAsia="宋体" w:cs="宋体"/>
          <w:bCs/>
          <w:szCs w:val="21"/>
        </w:rPr>
        <w:t>6.4 过程能力现状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_Toc2546 </w:instrText>
      </w:r>
      <w:r>
        <w:rPr>
          <w:rFonts w:hint="eastAsia" w:ascii="宋体" w:hAnsi="宋体" w:eastAsia="宋体" w:cs="宋体"/>
          <w:bCs/>
          <w:szCs w:val="21"/>
        </w:rPr>
        <w:fldChar w:fldCharType="separate"/>
      </w:r>
      <w:r>
        <w:rPr>
          <w:rFonts w:hint="eastAsia" w:ascii="宋体" w:hAnsi="宋体" w:eastAsia="宋体" w:cs="宋体"/>
          <w:bCs/>
          <w:szCs w:val="21"/>
        </w:rPr>
        <w:t>5</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"_Toc7203" </w:instrText>
      </w:r>
      <w:r>
        <w:fldChar w:fldCharType="separate"/>
      </w:r>
      <w:r>
        <w:rPr>
          <w:rFonts w:hint="eastAsia" w:ascii="宋体" w:hAnsi="宋体" w:eastAsia="宋体" w:cs="宋体"/>
          <w:b w:val="0"/>
          <w:bCs/>
          <w:szCs w:val="21"/>
          <w:lang w:val="en-GB"/>
        </w:rPr>
        <w:t>7 IT服务能力管理计划</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_Toc7203 </w:instrText>
      </w:r>
      <w:r>
        <w:rPr>
          <w:rFonts w:hint="eastAsia" w:ascii="宋体" w:hAnsi="宋体" w:eastAsia="宋体" w:cs="宋体"/>
          <w:b w:val="0"/>
          <w:bCs/>
          <w:szCs w:val="21"/>
        </w:rPr>
        <w:fldChar w:fldCharType="separate"/>
      </w:r>
      <w:r>
        <w:rPr>
          <w:rFonts w:hint="eastAsia" w:ascii="宋体" w:hAnsi="宋体" w:eastAsia="宋体" w:cs="宋体"/>
          <w:b w:val="0"/>
          <w:bCs/>
          <w:szCs w:val="21"/>
        </w:rPr>
        <w:t>7</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"_Toc22485" </w:instrText>
      </w:r>
      <w:r>
        <w:fldChar w:fldCharType="separate"/>
      </w:r>
      <w:r>
        <w:rPr>
          <w:rFonts w:hint="eastAsia" w:ascii="宋体" w:hAnsi="宋体" w:eastAsia="宋体" w:cs="宋体"/>
          <w:bCs/>
          <w:szCs w:val="21"/>
        </w:rPr>
        <w:t>7.1 运维能力总体计划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_Toc22485 </w:instrText>
      </w:r>
      <w:r>
        <w:rPr>
          <w:rFonts w:hint="eastAsia" w:ascii="宋体" w:hAnsi="宋体" w:eastAsia="宋体" w:cs="宋体"/>
          <w:bCs/>
          <w:szCs w:val="21"/>
        </w:rPr>
        <w:fldChar w:fldCharType="separate"/>
      </w:r>
      <w:r>
        <w:rPr>
          <w:rFonts w:hint="eastAsia" w:ascii="宋体" w:hAnsi="宋体" w:eastAsia="宋体" w:cs="宋体"/>
          <w:bCs/>
          <w:szCs w:val="21"/>
        </w:rPr>
        <w:t>7</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"_Toc19363" </w:instrText>
      </w:r>
      <w:r>
        <w:fldChar w:fldCharType="separate"/>
      </w:r>
      <w:r>
        <w:rPr>
          <w:rFonts w:hint="eastAsia" w:ascii="宋体" w:hAnsi="宋体" w:eastAsia="宋体" w:cs="宋体"/>
          <w:bCs/>
          <w:szCs w:val="21"/>
        </w:rPr>
        <w:t>7.2 人力资源计划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_Toc19363 </w:instrText>
      </w:r>
      <w:r>
        <w:rPr>
          <w:rFonts w:hint="eastAsia" w:ascii="宋体" w:hAnsi="宋体" w:eastAsia="宋体" w:cs="宋体"/>
          <w:bCs/>
          <w:szCs w:val="21"/>
        </w:rPr>
        <w:fldChar w:fldCharType="separate"/>
      </w:r>
      <w:r>
        <w:rPr>
          <w:rFonts w:hint="eastAsia" w:ascii="宋体" w:hAnsi="宋体" w:eastAsia="宋体" w:cs="宋体"/>
          <w:bCs/>
          <w:szCs w:val="21"/>
        </w:rPr>
        <w:t>7</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"_Toc17016" </w:instrText>
      </w:r>
      <w:r>
        <w:fldChar w:fldCharType="separate"/>
      </w:r>
      <w:r>
        <w:rPr>
          <w:rFonts w:hint="eastAsia" w:ascii="宋体" w:hAnsi="宋体" w:eastAsia="宋体" w:cs="宋体"/>
          <w:bCs/>
          <w:szCs w:val="21"/>
        </w:rPr>
        <w:t>7.3 资源管理计划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_Toc17016 </w:instrText>
      </w:r>
      <w:r>
        <w:rPr>
          <w:rFonts w:hint="eastAsia" w:ascii="宋体" w:hAnsi="宋体" w:eastAsia="宋体" w:cs="宋体"/>
          <w:bCs/>
          <w:szCs w:val="21"/>
        </w:rPr>
        <w:fldChar w:fldCharType="separate"/>
      </w:r>
      <w:r>
        <w:rPr>
          <w:rFonts w:hint="eastAsia" w:ascii="宋体" w:hAnsi="宋体" w:eastAsia="宋体" w:cs="宋体"/>
          <w:bCs/>
          <w:szCs w:val="21"/>
        </w:rPr>
        <w:t>9</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"_Toc21094" </w:instrText>
      </w:r>
      <w:r>
        <w:fldChar w:fldCharType="separate"/>
      </w:r>
      <w:r>
        <w:rPr>
          <w:rFonts w:hint="eastAsia" w:ascii="宋体" w:hAnsi="宋体" w:eastAsia="宋体" w:cs="宋体"/>
          <w:bCs/>
          <w:szCs w:val="21"/>
        </w:rPr>
        <w:t>7.4 技术研发计划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_Toc21094 </w:instrText>
      </w:r>
      <w:r>
        <w:rPr>
          <w:rFonts w:hint="eastAsia" w:ascii="宋体" w:hAnsi="宋体" w:eastAsia="宋体" w:cs="宋体"/>
          <w:bCs/>
          <w:szCs w:val="21"/>
        </w:rPr>
        <w:fldChar w:fldCharType="separate"/>
      </w:r>
      <w:r>
        <w:rPr>
          <w:rFonts w:hint="eastAsia" w:ascii="宋体" w:hAnsi="宋体" w:eastAsia="宋体" w:cs="宋体"/>
          <w:bCs/>
          <w:szCs w:val="21"/>
        </w:rPr>
        <w:t>10</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"_Toc17351" </w:instrText>
      </w:r>
      <w:r>
        <w:fldChar w:fldCharType="separate"/>
      </w:r>
      <w:r>
        <w:rPr>
          <w:rFonts w:hint="eastAsia" w:ascii="宋体" w:hAnsi="宋体" w:eastAsia="宋体" w:cs="宋体"/>
          <w:bCs/>
          <w:szCs w:val="21"/>
        </w:rPr>
        <w:t>7.5 过程管理计划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_Toc17351 </w:instrText>
      </w:r>
      <w:r>
        <w:rPr>
          <w:rFonts w:hint="eastAsia" w:ascii="宋体" w:hAnsi="宋体" w:eastAsia="宋体" w:cs="宋体"/>
          <w:bCs/>
          <w:szCs w:val="21"/>
        </w:rPr>
        <w:fldChar w:fldCharType="separate"/>
      </w:r>
      <w:r>
        <w:rPr>
          <w:rFonts w:hint="eastAsia" w:ascii="宋体" w:hAnsi="宋体" w:eastAsia="宋体" w:cs="宋体"/>
          <w:bCs/>
          <w:szCs w:val="21"/>
        </w:rPr>
        <w:t>10</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"_Toc20696" </w:instrText>
      </w:r>
      <w:r>
        <w:fldChar w:fldCharType="separate"/>
      </w:r>
      <w:r>
        <w:rPr>
          <w:rFonts w:hint="eastAsia" w:ascii="宋体" w:hAnsi="宋体" w:eastAsia="宋体" w:cs="宋体"/>
          <w:bCs/>
          <w:szCs w:val="21"/>
        </w:rPr>
        <w:t>7.6 质量管理计划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_Toc20696 </w:instrText>
      </w:r>
      <w:r>
        <w:rPr>
          <w:rFonts w:hint="eastAsia" w:ascii="宋体" w:hAnsi="宋体" w:eastAsia="宋体" w:cs="宋体"/>
          <w:bCs/>
          <w:szCs w:val="21"/>
        </w:rPr>
        <w:fldChar w:fldCharType="separate"/>
      </w:r>
      <w:r>
        <w:rPr>
          <w:rFonts w:hint="eastAsia" w:ascii="宋体" w:hAnsi="宋体" w:eastAsia="宋体" w:cs="宋体"/>
          <w:bCs/>
          <w:szCs w:val="21"/>
        </w:rPr>
        <w:t>12</w:t>
      </w:r>
      <w:r>
        <w:rPr>
          <w:rFonts w:hint="eastAsia" w:ascii="宋体" w:hAnsi="宋体" w:eastAsia="宋体" w:cs="宋体"/>
          <w:bCs/>
          <w:szCs w:val="21"/>
        </w:rPr>
        <w:fldChar w:fldCharType="end"/>
      </w:r>
      <w:r>
        <w:rPr>
          <w:rFonts w:hint="eastAsia" w:ascii="宋体" w:hAnsi="宋体" w:eastAsia="宋体" w:cs="宋体"/>
          <w:bCs/>
          <w:szCs w:val="21"/>
        </w:rPr>
        <w:fldChar w:fldCharType="end"/>
      </w:r>
    </w:p>
    <w:p>
      <w:pPr>
        <w:tabs>
          <w:tab w:val="right" w:leader="dot" w:pos="8647"/>
        </w:tabs>
        <w:spacing w:before="120" w:beforeLines="50" w:after="120" w:afterLines="50" w:line="360" w:lineRule="auto"/>
        <w:rPr>
          <w:rFonts w:ascii="宋体" w:hAnsi="宋体" w:cs="宋体"/>
          <w:sz w:val="24"/>
          <w:szCs w:val="24"/>
          <w:lang w:val="en-GB"/>
        </w:rPr>
      </w:pPr>
      <w:r>
        <w:rPr>
          <w:rFonts w:hint="eastAsia" w:ascii="宋体" w:hAnsi="宋体" w:eastAsia="宋体" w:cs="宋体"/>
          <w:bCs/>
          <w:szCs w:val="21"/>
          <w:lang w:val="en-GB"/>
        </w:rPr>
        <w:fldChar w:fldCharType="end"/>
      </w: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pStyle w:val="2"/>
        <w:spacing w:before="120" w:after="120"/>
        <w:ind w:left="494" w:hanging="494" w:hangingChars="205"/>
        <w:rPr>
          <w:rFonts w:ascii="宋体" w:hAnsi="宋体" w:cs="宋体"/>
          <w:sz w:val="24"/>
          <w:szCs w:val="24"/>
          <w:lang w:val="en-GB"/>
        </w:rPr>
        <w:sectPr>
          <w:footerReference r:id="rId7" w:type="first"/>
          <w:footerReference r:id="rId6" w:type="default"/>
          <w:pgSz w:w="11907" w:h="16840"/>
          <w:pgMar w:top="868" w:right="1418" w:bottom="1440" w:left="1797" w:header="720" w:footer="578" w:gutter="0"/>
          <w:cols w:space="720" w:num="1"/>
          <w:titlePg/>
          <w:docGrid w:linePitch="286" w:charSpace="0"/>
        </w:sectPr>
      </w:pPr>
    </w:p>
    <w:p>
      <w:pPr>
        <w:pStyle w:val="2"/>
        <w:spacing w:before="120" w:after="120"/>
        <w:ind w:left="494" w:hanging="494" w:hangingChars="205"/>
        <w:rPr>
          <w:rFonts w:ascii="宋体" w:hAnsi="宋体" w:cs="宋体"/>
          <w:sz w:val="24"/>
          <w:szCs w:val="24"/>
          <w:lang w:val="en-GB"/>
        </w:rPr>
      </w:pPr>
      <w:bookmarkStart w:id="0" w:name="_Toc21761"/>
      <w:bookmarkStart w:id="1" w:name="_Toc472596544"/>
      <w:r>
        <w:rPr>
          <w:rFonts w:ascii="宋体" w:hAnsi="宋体" w:cs="宋体"/>
          <w:sz w:val="24"/>
          <w:szCs w:val="24"/>
          <w:lang w:val="en-GB"/>
        </w:rPr>
        <w:t>能力管理计划范围</w:t>
      </w:r>
      <w:bookmarkEnd w:id="0"/>
    </w:p>
    <w:p>
      <w:pPr>
        <w:pStyle w:val="113"/>
        <w:ind w:firstLine="480"/>
        <w:rPr>
          <w:rFonts w:ascii="宋体" w:hAnsi="宋体"/>
        </w:rPr>
      </w:pPr>
      <w:r>
        <w:rPr>
          <w:rFonts w:hint="eastAsia" w:ascii="宋体" w:hAnsi="宋体"/>
        </w:rPr>
        <w:t>通过</w:t>
      </w:r>
      <w:r>
        <w:rPr>
          <w:rFonts w:ascii="宋体" w:hAnsi="宋体"/>
        </w:rPr>
        <w:t>对ITSS通用</w:t>
      </w:r>
      <w:r>
        <w:rPr>
          <w:rFonts w:hint="eastAsia" w:ascii="宋体" w:hAnsi="宋体"/>
        </w:rPr>
        <w:t>要求</w:t>
      </w:r>
      <w:r>
        <w:rPr>
          <w:rFonts w:ascii="宋体" w:hAnsi="宋体"/>
        </w:rPr>
        <w:t>标准的理解，结合</w:t>
      </w:r>
      <w:r>
        <w:rPr>
          <w:rFonts w:hint="eastAsia" w:ascii="宋体" w:hAnsi="宋体"/>
        </w:rPr>
        <w:t>公司</w:t>
      </w:r>
      <w:r>
        <w:rPr>
          <w:rFonts w:ascii="宋体" w:hAnsi="宋体"/>
        </w:rPr>
        <w:t>的目前的发展情况，</w:t>
      </w:r>
      <w:r>
        <w:rPr>
          <w:rFonts w:hint="eastAsia" w:ascii="宋体" w:hAnsi="宋体"/>
        </w:rPr>
        <w:t>本次</w:t>
      </w:r>
      <w:r>
        <w:rPr>
          <w:rFonts w:ascii="宋体" w:hAnsi="宋体"/>
        </w:rPr>
        <w:t>能力管理计划的</w:t>
      </w:r>
      <w:r>
        <w:rPr>
          <w:rFonts w:hint="eastAsia" w:ascii="宋体" w:hAnsi="宋体"/>
        </w:rPr>
        <w:t>范围</w:t>
      </w:r>
      <w:r>
        <w:rPr>
          <w:rFonts w:ascii="宋体" w:hAnsi="宋体"/>
        </w:rPr>
        <w:t>涉及</w:t>
      </w:r>
      <w:r>
        <w:rPr>
          <w:rFonts w:hint="eastAsia" w:ascii="宋体" w:hAnsi="宋体"/>
        </w:rPr>
        <w:t>如下</w:t>
      </w:r>
      <w:r>
        <w:rPr>
          <w:rFonts w:ascii="宋体" w:hAnsi="宋体"/>
        </w:rPr>
        <w:t>：</w:t>
      </w:r>
    </w:p>
    <w:p>
      <w:pPr>
        <w:pStyle w:val="113"/>
        <w:ind w:firstLine="480"/>
        <w:rPr>
          <w:rFonts w:ascii="宋体" w:hAnsi="宋体"/>
        </w:rPr>
      </w:pPr>
      <w:r>
        <w:rPr>
          <w:rFonts w:hint="eastAsia" w:ascii="宋体" w:hAnsi="宋体"/>
        </w:rPr>
        <w:t>人员：人员储备、人员培训、绩效考核、岗位结构、知识技能与经验等；</w:t>
      </w:r>
    </w:p>
    <w:p>
      <w:pPr>
        <w:pStyle w:val="113"/>
        <w:ind w:firstLine="480"/>
        <w:rPr>
          <w:rFonts w:ascii="宋体" w:hAnsi="宋体"/>
        </w:rPr>
      </w:pPr>
      <w:r>
        <w:rPr>
          <w:rFonts w:hint="eastAsia" w:ascii="宋体" w:hAnsi="宋体"/>
        </w:rPr>
        <w:t>资源：运维服务管理平台、服务台、知识库的建设管理等；</w:t>
      </w:r>
    </w:p>
    <w:p>
      <w:pPr>
        <w:pStyle w:val="113"/>
        <w:ind w:firstLine="480"/>
        <w:rPr>
          <w:rFonts w:ascii="宋体" w:hAnsi="宋体"/>
        </w:rPr>
      </w:pPr>
      <w:r>
        <w:rPr>
          <w:rFonts w:hint="eastAsia" w:ascii="宋体" w:hAnsi="宋体"/>
        </w:rPr>
        <w:t>技术：技术研发，与发现和解决问题的相关技术、将解决问题的方法手段合并到知识库等；</w:t>
      </w:r>
    </w:p>
    <w:p>
      <w:pPr>
        <w:pStyle w:val="113"/>
        <w:ind w:firstLine="480"/>
        <w:rPr>
          <w:rFonts w:ascii="宋体" w:hAnsi="宋体"/>
        </w:rPr>
      </w:pPr>
      <w:r>
        <w:rPr>
          <w:rFonts w:hint="eastAsia" w:ascii="宋体" w:hAnsi="宋体"/>
        </w:rPr>
        <w:t>过程：运维服务流程规范、优化与持续改进。</w:t>
      </w:r>
    </w:p>
    <w:bookmarkEnd w:id="1"/>
    <w:p>
      <w:pPr>
        <w:pStyle w:val="2"/>
        <w:spacing w:before="120" w:after="120"/>
        <w:ind w:left="494" w:hanging="494" w:hangingChars="205"/>
        <w:rPr>
          <w:rFonts w:ascii="宋体" w:hAnsi="宋体" w:cs="宋体"/>
          <w:sz w:val="24"/>
          <w:szCs w:val="24"/>
          <w:lang w:val="en-GB"/>
        </w:rPr>
      </w:pPr>
      <w:bookmarkStart w:id="2" w:name="_Toc472596545"/>
      <w:bookmarkStart w:id="3" w:name="_Toc18088"/>
      <w:r>
        <w:rPr>
          <w:rFonts w:hint="eastAsia" w:ascii="宋体" w:hAnsi="宋体" w:eastAsia="宋体" w:cs="宋体"/>
          <w:sz w:val="24"/>
          <w:szCs w:val="24"/>
          <w:lang w:val="en-GB"/>
        </w:rPr>
        <w:t>运维服务需求</w:t>
      </w:r>
      <w:bookmarkEnd w:id="2"/>
      <w:bookmarkEnd w:id="3"/>
    </w:p>
    <w:p>
      <w:pPr>
        <w:spacing w:line="360" w:lineRule="auto"/>
        <w:ind w:firstLine="480" w:firstLineChars="200"/>
        <w:rPr>
          <w:rFonts w:ascii="宋体" w:hAnsi="宋体"/>
          <w:sz w:val="24"/>
          <w:szCs w:val="24"/>
        </w:rPr>
      </w:pPr>
      <w:r>
        <w:rPr>
          <w:rFonts w:hint="eastAsia" w:ascii="宋体" w:hAnsi="宋体"/>
          <w:sz w:val="24"/>
          <w:szCs w:val="24"/>
        </w:rPr>
        <w:t>依据201</w:t>
      </w:r>
      <w:r>
        <w:rPr>
          <w:rFonts w:ascii="宋体" w:hAnsi="宋体"/>
          <w:sz w:val="24"/>
          <w:szCs w:val="24"/>
        </w:rPr>
        <w:t>8</w:t>
      </w:r>
      <w:r>
        <w:rPr>
          <w:rFonts w:hint="eastAsia" w:ascii="宋体" w:hAnsi="宋体"/>
          <w:sz w:val="24"/>
          <w:szCs w:val="24"/>
        </w:rPr>
        <w:t>年内部运维体系搭建过程中发现的薄弱环节，201</w:t>
      </w:r>
      <w:r>
        <w:rPr>
          <w:rFonts w:ascii="宋体" w:hAnsi="宋体"/>
          <w:sz w:val="24"/>
          <w:szCs w:val="24"/>
        </w:rPr>
        <w:t>9</w:t>
      </w:r>
      <w:r>
        <w:rPr>
          <w:rFonts w:hint="eastAsia" w:ascii="宋体" w:hAnsi="宋体"/>
          <w:sz w:val="24"/>
          <w:szCs w:val="24"/>
        </w:rPr>
        <w:t>年九邮将进一步完善运维服务管理体系，以满足逐步增加运维服务业务和合规性要求。</w:t>
      </w:r>
    </w:p>
    <w:p>
      <w:pPr>
        <w:pStyle w:val="2"/>
        <w:spacing w:before="120" w:after="120"/>
        <w:ind w:left="494" w:hanging="494" w:hangingChars="205"/>
        <w:rPr>
          <w:rFonts w:ascii="宋体" w:hAnsi="宋体" w:cs="宋体"/>
          <w:sz w:val="24"/>
          <w:szCs w:val="24"/>
          <w:lang w:val="en-GB"/>
        </w:rPr>
      </w:pPr>
      <w:bookmarkStart w:id="4" w:name="_Toc7994"/>
      <w:bookmarkStart w:id="5" w:name="_Toc472596546"/>
      <w:r>
        <w:rPr>
          <w:rFonts w:hint="eastAsia" w:ascii="宋体" w:hAnsi="宋体" w:cs="宋体"/>
          <w:sz w:val="24"/>
          <w:szCs w:val="24"/>
          <w:lang w:val="en-GB"/>
        </w:rPr>
        <w:t>运维服务管理方针</w:t>
      </w:r>
      <w:bookmarkEnd w:id="4"/>
    </w:p>
    <w:p>
      <w:pPr>
        <w:spacing w:line="360" w:lineRule="auto"/>
        <w:ind w:firstLine="480" w:firstLineChars="200"/>
        <w:rPr>
          <w:rFonts w:ascii="宋体" w:hAnsi="宋体"/>
          <w:sz w:val="24"/>
          <w:szCs w:val="24"/>
        </w:rPr>
      </w:pPr>
      <w:r>
        <w:rPr>
          <w:rFonts w:hint="eastAsia" w:ascii="宋体" w:hAnsi="宋体"/>
          <w:sz w:val="24"/>
          <w:szCs w:val="24"/>
        </w:rPr>
        <w:t>1、提高公司自身的IT运维管理水平；</w:t>
      </w:r>
    </w:p>
    <w:p>
      <w:pPr>
        <w:spacing w:line="360" w:lineRule="auto"/>
        <w:ind w:firstLine="480" w:firstLineChars="200"/>
        <w:rPr>
          <w:rFonts w:ascii="宋体" w:hAnsi="宋体"/>
          <w:sz w:val="24"/>
          <w:szCs w:val="24"/>
        </w:rPr>
      </w:pPr>
      <w:r>
        <w:rPr>
          <w:rFonts w:hint="eastAsia" w:ascii="宋体" w:hAnsi="宋体"/>
          <w:sz w:val="24"/>
          <w:szCs w:val="24"/>
        </w:rPr>
        <w:t>2、不断提高公司IT运维服务能力，提升用户满意度；</w:t>
      </w:r>
    </w:p>
    <w:p>
      <w:pPr>
        <w:spacing w:line="360" w:lineRule="auto"/>
        <w:ind w:firstLine="480" w:firstLineChars="200"/>
        <w:rPr>
          <w:rFonts w:ascii="宋体" w:hAnsi="宋体"/>
          <w:sz w:val="24"/>
          <w:szCs w:val="24"/>
        </w:rPr>
      </w:pPr>
      <w:r>
        <w:rPr>
          <w:rFonts w:hint="eastAsia" w:ascii="宋体" w:hAnsi="宋体"/>
          <w:sz w:val="24"/>
          <w:szCs w:val="24"/>
        </w:rPr>
        <w:t>3、实现IT运维服务业务收入持续增长。</w:t>
      </w:r>
    </w:p>
    <w:p>
      <w:pPr>
        <w:pStyle w:val="2"/>
        <w:spacing w:before="120" w:after="120"/>
        <w:ind w:left="494" w:hanging="494" w:hangingChars="205"/>
        <w:rPr>
          <w:rFonts w:ascii="宋体" w:hAnsi="宋体" w:cs="宋体"/>
          <w:sz w:val="24"/>
          <w:szCs w:val="24"/>
          <w:lang w:val="en-GB"/>
        </w:rPr>
      </w:pPr>
      <w:bookmarkStart w:id="6" w:name="_Toc8802"/>
      <w:r>
        <w:rPr>
          <w:rFonts w:hint="eastAsia" w:ascii="宋体" w:hAnsi="宋体" w:eastAsia="宋体" w:cs="宋体"/>
          <w:sz w:val="24"/>
          <w:szCs w:val="24"/>
          <w:lang w:val="en-GB"/>
        </w:rPr>
        <w:t>运维服务能力管理目标</w:t>
      </w:r>
      <w:bookmarkEnd w:id="5"/>
      <w:bookmarkEnd w:id="6"/>
    </w:p>
    <w:p>
      <w:pPr>
        <w:spacing w:line="360" w:lineRule="auto"/>
        <w:ind w:firstLine="480" w:firstLineChars="200"/>
        <w:rPr>
          <w:rFonts w:ascii="宋体" w:hAnsi="宋体"/>
          <w:sz w:val="24"/>
          <w:szCs w:val="24"/>
        </w:rPr>
      </w:pPr>
      <w:r>
        <w:rPr>
          <w:rFonts w:hint="eastAsia" w:ascii="宋体" w:hAnsi="宋体"/>
          <w:sz w:val="24"/>
          <w:szCs w:val="24"/>
        </w:rPr>
        <w:t>为了实现201</w:t>
      </w:r>
      <w:r>
        <w:rPr>
          <w:rFonts w:ascii="宋体" w:hAnsi="宋体"/>
          <w:sz w:val="24"/>
          <w:szCs w:val="24"/>
        </w:rPr>
        <w:t>9</w:t>
      </w:r>
      <w:r>
        <w:rPr>
          <w:rFonts w:hint="eastAsia" w:ascii="宋体" w:hAnsi="宋体"/>
          <w:sz w:val="24"/>
          <w:szCs w:val="24"/>
        </w:rPr>
        <w:t>年IT运维服务业务的持续保持增长。九邮信息将从人员配置、技术开发、资源支持和流程优化进行整体规划。</w:t>
      </w:r>
    </w:p>
    <w:p>
      <w:pPr>
        <w:spacing w:line="360" w:lineRule="auto"/>
        <w:ind w:firstLine="480" w:firstLineChars="200"/>
        <w:rPr>
          <w:rFonts w:ascii="宋体" w:hAnsi="宋体"/>
          <w:sz w:val="24"/>
          <w:szCs w:val="24"/>
        </w:rPr>
      </w:pPr>
      <w:r>
        <w:rPr>
          <w:rFonts w:hint="eastAsia" w:ascii="宋体" w:hAnsi="宋体"/>
          <w:sz w:val="24"/>
          <w:szCs w:val="24"/>
        </w:rPr>
        <w:t>1、客户满意率≥90％</w:t>
      </w:r>
    </w:p>
    <w:p>
      <w:pPr>
        <w:spacing w:line="360" w:lineRule="auto"/>
        <w:ind w:firstLine="480" w:firstLineChars="200"/>
        <w:rPr>
          <w:rFonts w:ascii="宋体" w:hAnsi="宋体"/>
          <w:sz w:val="24"/>
          <w:szCs w:val="24"/>
        </w:rPr>
      </w:pPr>
      <w:r>
        <w:rPr>
          <w:rFonts w:hint="eastAsia" w:ascii="宋体" w:hAnsi="宋体"/>
          <w:sz w:val="24"/>
          <w:szCs w:val="24"/>
        </w:rPr>
        <w:t>2、服务报告及时率≥95％</w:t>
      </w:r>
    </w:p>
    <w:p>
      <w:pPr>
        <w:spacing w:line="360" w:lineRule="auto"/>
        <w:ind w:firstLine="480" w:firstLineChars="200"/>
        <w:rPr>
          <w:rFonts w:ascii="宋体" w:hAnsi="宋体"/>
          <w:sz w:val="24"/>
          <w:szCs w:val="24"/>
        </w:rPr>
      </w:pPr>
      <w:r>
        <w:rPr>
          <w:rFonts w:hint="eastAsia" w:ascii="宋体" w:hAnsi="宋体"/>
          <w:sz w:val="24"/>
          <w:szCs w:val="24"/>
        </w:rPr>
        <w:t>3、服务级别达成率≥90％</w:t>
      </w:r>
    </w:p>
    <w:p>
      <w:pPr>
        <w:pStyle w:val="2"/>
        <w:pageBreakBefore/>
        <w:spacing w:before="120" w:after="120"/>
        <w:ind w:left="492" w:hanging="492" w:hangingChars="204"/>
        <w:rPr>
          <w:rFonts w:ascii="宋体" w:hAnsi="宋体" w:cs="宋体"/>
          <w:sz w:val="24"/>
          <w:szCs w:val="24"/>
          <w:lang w:val="en-GB"/>
        </w:rPr>
      </w:pPr>
      <w:bookmarkStart w:id="7" w:name="_Toc29189"/>
      <w:bookmarkStart w:id="8" w:name="_Toc472596547"/>
      <w:r>
        <w:rPr>
          <w:rFonts w:ascii="宋体" w:hAnsi="宋体" w:cs="宋体"/>
          <w:sz w:val="24"/>
          <w:szCs w:val="24"/>
          <w:lang w:val="en-GB"/>
        </w:rPr>
        <w:t>服务目标分解</w:t>
      </w:r>
      <w:bookmarkEnd w:id="7"/>
    </w:p>
    <w:p>
      <w:pPr>
        <w:spacing w:line="360" w:lineRule="auto"/>
        <w:ind w:firstLine="480" w:firstLineChars="200"/>
        <w:rPr>
          <w:rFonts w:ascii="宋体" w:hAnsi="宋体"/>
          <w:sz w:val="24"/>
          <w:szCs w:val="24"/>
        </w:rPr>
      </w:pPr>
      <w:r>
        <w:rPr>
          <w:rFonts w:hint="eastAsia" w:ascii="宋体" w:hAnsi="宋体"/>
          <w:sz w:val="24"/>
          <w:szCs w:val="24"/>
        </w:rPr>
        <w:t>为</w:t>
      </w:r>
      <w:r>
        <w:rPr>
          <w:rFonts w:ascii="宋体" w:hAnsi="宋体"/>
          <w:sz w:val="24"/>
          <w:szCs w:val="24"/>
        </w:rPr>
        <w:t>了达成总体服务目标，</w:t>
      </w:r>
      <w:r>
        <w:rPr>
          <w:rFonts w:hint="eastAsia" w:ascii="宋体" w:hAnsi="宋体"/>
          <w:sz w:val="24"/>
          <w:szCs w:val="24"/>
        </w:rPr>
        <w:t>将</w:t>
      </w:r>
      <w:r>
        <w:rPr>
          <w:rFonts w:ascii="宋体" w:hAnsi="宋体"/>
          <w:sz w:val="24"/>
          <w:szCs w:val="24"/>
        </w:rPr>
        <w:t>服务目标进行分解，</w:t>
      </w:r>
      <w:r>
        <w:rPr>
          <w:rFonts w:hint="eastAsia" w:ascii="宋体" w:hAnsi="宋体"/>
          <w:sz w:val="24"/>
          <w:szCs w:val="24"/>
        </w:rPr>
        <w:t>如</w:t>
      </w:r>
      <w:r>
        <w:rPr>
          <w:rFonts w:ascii="宋体" w:hAnsi="宋体"/>
          <w:sz w:val="24"/>
          <w:szCs w:val="24"/>
        </w:rPr>
        <w:t>下表：</w:t>
      </w:r>
    </w:p>
    <w:p/>
    <w:tbl>
      <w:tblPr>
        <w:tblStyle w:val="43"/>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CellMar>
            <w:top w:w="0" w:type="dxa"/>
            <w:left w:w="108" w:type="dxa"/>
            <w:bottom w:w="0" w:type="dxa"/>
            <w:right w:w="108" w:type="dxa"/>
          </w:tblCellMar>
        </w:tblPrEx>
        <w:trPr>
          <w:trHeight w:val="285" w:hRule="atLeast"/>
          <w:tblHeader/>
        </w:trPr>
        <w:tc>
          <w:tcPr>
            <w:tcW w:w="1080" w:type="dxa"/>
            <w:tcBorders>
              <w:top w:val="single" w:color="auto" w:sz="4" w:space="0"/>
              <w:left w:val="single" w:color="auto" w:sz="4" w:space="0"/>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tcBorders>
              <w:top w:val="single" w:color="auto" w:sz="4" w:space="0"/>
              <w:left w:val="nil"/>
              <w:bottom w:val="single" w:color="auto" w:sz="4" w:space="0"/>
              <w:right w:val="single" w:color="auto" w:sz="4" w:space="0"/>
            </w:tcBorders>
            <w:shd w:val="clear" w:color="000000" w:fill="C0C0C0"/>
            <w:vAlign w:val="center"/>
          </w:tcPr>
          <w:p>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tblPrEx>
          <w:tblCellMar>
            <w:top w:w="0" w:type="dxa"/>
            <w:left w:w="108" w:type="dxa"/>
            <w:bottom w:w="0" w:type="dxa"/>
            <w:right w:w="108" w:type="dxa"/>
          </w:tblCellMar>
        </w:tblPrEx>
        <w:trPr>
          <w:trHeight w:val="720" w:hRule="atLeast"/>
        </w:trPr>
        <w:tc>
          <w:tcPr>
            <w:tcW w:w="1080"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人员</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人员储备率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运维人员储备率=运维储备人数/运维人员总人数*100%</w:t>
            </w:r>
          </w:p>
        </w:tc>
      </w:tr>
      <w:tr>
        <w:tblPrEx>
          <w:tblCellMar>
            <w:top w:w="0" w:type="dxa"/>
            <w:left w:w="108" w:type="dxa"/>
            <w:bottom w:w="0" w:type="dxa"/>
            <w:right w:w="108" w:type="dxa"/>
          </w:tblCellMar>
        </w:tblPrEx>
        <w:trPr>
          <w:trHeight w:val="720" w:hRule="atLeast"/>
        </w:trPr>
        <w:tc>
          <w:tcPr>
            <w:tcW w:w="108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4"/>
                <w:szCs w:val="24"/>
              </w:rPr>
            </w:pP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人均培训课时</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20学时</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运维人员完成培训时长总和/年度平均运维人数</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cs="宋体"/>
                <w:kern w:val="0"/>
                <w:sz w:val="24"/>
                <w:szCs w:val="24"/>
              </w:rPr>
            </w:pPr>
            <w:r>
              <w:rPr>
                <w:rFonts w:hint="eastAsia" w:ascii="宋体" w:hAnsi="宋体" w:cs="宋体"/>
                <w:kern w:val="0"/>
                <w:sz w:val="24"/>
                <w:szCs w:val="24"/>
              </w:rPr>
              <w:t>运维工具</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rPr>
            </w:pPr>
            <w:r>
              <w:rPr>
                <w:rFonts w:hint="eastAsia" w:ascii="宋体" w:hAnsi="宋体" w:cs="宋体"/>
                <w:kern w:val="0"/>
                <w:szCs w:val="21"/>
              </w:rPr>
              <w:t>运维过程管理工具优化</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rPr>
            </w:pPr>
            <w:r>
              <w:rPr>
                <w:rFonts w:hint="eastAsia" w:ascii="宋体" w:hAnsi="宋体" w:cs="宋体"/>
                <w:kern w:val="0"/>
                <w:sz w:val="20"/>
              </w:rPr>
              <w:t>新增一个功能</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0"/>
              </w:rPr>
            </w:pPr>
            <w:r>
              <w:rPr>
                <w:rFonts w:hint="eastAsia" w:ascii="宋体" w:hAnsi="宋体" w:cs="宋体"/>
                <w:kern w:val="0"/>
                <w:sz w:val="20"/>
              </w:rPr>
              <w:t>运维管理部</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cs="宋体"/>
                <w:kern w:val="0"/>
                <w:sz w:val="20"/>
              </w:rPr>
              <w:t>评估报告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软件功能测试</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服务台</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93%</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服务台人员</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电话接通数量/来电总数╳100%</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服务报告</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服务报告及时率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提交及时率=及时提交的服务报告数量/应该提交的服务报告总数*100%</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知识库</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新增知识条目数量</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60条</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每年实际新增知识条目数量</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技术</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研发投入比率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5%</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开发负责人</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本年度研发投入/上年度运维服务收入╳100%</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服务级别</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SLA的达成率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ascii="宋体" w:hAnsi="宋体" w:eastAsia="宋体" w:cs="宋体"/>
                <w:color w:val="000000"/>
                <w:kern w:val="0"/>
                <w:sz w:val="20"/>
                <w:szCs w:val="20"/>
              </w:rPr>
              <w:t>9</w:t>
            </w:r>
            <w:r>
              <w:rPr>
                <w:rFonts w:hint="eastAsia" w:ascii="宋体" w:hAnsi="宋体" w:eastAsia="宋体" w:cs="宋体"/>
                <w:color w:val="000000"/>
                <w:kern w:val="0"/>
                <w:sz w:val="20"/>
                <w:szCs w:val="20"/>
              </w:rPr>
              <w:t>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公司SLA的达成率=SLA中达标的指标个数/SLA中总的指标数*100%</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事件管理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事件解决及时率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事件解决及时率=周期内部门及时解决的事件个数/周期内事件总数*100%</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问题管理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问题解决率=周期内已解决问题个数/周期内问题总数*100%</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配置管理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98%</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审计数据准确率=审计中完全匹配的CI数量/实际抽查的CI总数量*100%</w:t>
            </w:r>
          </w:p>
        </w:tc>
      </w:tr>
      <w:tr>
        <w:tblPrEx>
          <w:tblCellMar>
            <w:top w:w="0" w:type="dxa"/>
            <w:left w:w="108" w:type="dxa"/>
            <w:bottom w:w="0" w:type="dxa"/>
            <w:right w:w="108" w:type="dxa"/>
          </w:tblCellMar>
        </w:tblPrEx>
        <w:trPr>
          <w:trHeight w:val="480" w:hRule="atLeast"/>
        </w:trPr>
        <w:tc>
          <w:tcPr>
            <w:tcW w:w="1080"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变更发布管理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变更成功的数量/变更总数*100%</w:t>
            </w:r>
          </w:p>
        </w:tc>
      </w:tr>
      <w:tr>
        <w:tblPrEx>
          <w:tblCellMar>
            <w:top w:w="0" w:type="dxa"/>
            <w:left w:w="108" w:type="dxa"/>
            <w:bottom w:w="0" w:type="dxa"/>
            <w:right w:w="108" w:type="dxa"/>
          </w:tblCellMar>
        </w:tblPrEx>
        <w:trPr>
          <w:trHeight w:val="480" w:hRule="atLeast"/>
        </w:trPr>
        <w:tc>
          <w:tcPr>
            <w:tcW w:w="108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4"/>
                <w:szCs w:val="24"/>
              </w:rPr>
            </w:pP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发布成功率=成功发布的数量/发布总数*100%</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信息安全</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0次</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质量</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客户满意率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公司级客户满意率=客户满意的问卷数/收回的问卷总数</w:t>
            </w:r>
          </w:p>
        </w:tc>
      </w:tr>
    </w:tbl>
    <w:p/>
    <w:p>
      <w:pPr>
        <w:pStyle w:val="2"/>
        <w:pageBreakBefore/>
        <w:spacing w:before="120" w:after="120"/>
        <w:ind w:left="492" w:hanging="492" w:hangingChars="204"/>
        <w:rPr>
          <w:rFonts w:ascii="宋体" w:hAnsi="宋体" w:cs="宋体"/>
          <w:sz w:val="24"/>
          <w:szCs w:val="24"/>
          <w:lang w:val="en-GB"/>
        </w:rPr>
      </w:pPr>
      <w:bookmarkStart w:id="9" w:name="_Toc14522"/>
      <w:r>
        <w:rPr>
          <w:rFonts w:hint="eastAsia" w:ascii="宋体" w:hAnsi="宋体" w:eastAsia="宋体" w:cs="宋体"/>
          <w:sz w:val="24"/>
          <w:szCs w:val="24"/>
          <w:lang w:val="en-GB"/>
        </w:rPr>
        <w:t>运维服务管理体系现状及差距分析</w:t>
      </w:r>
      <w:bookmarkEnd w:id="9"/>
    </w:p>
    <w:p>
      <w:pPr>
        <w:spacing w:line="360" w:lineRule="auto"/>
        <w:ind w:firstLine="480" w:firstLineChars="200"/>
        <w:rPr>
          <w:rFonts w:ascii="宋体" w:hAnsi="宋体"/>
          <w:sz w:val="24"/>
          <w:szCs w:val="24"/>
        </w:rPr>
      </w:pPr>
      <w:r>
        <w:rPr>
          <w:rFonts w:hint="eastAsia" w:ascii="宋体" w:hAnsi="宋体"/>
          <w:sz w:val="24"/>
          <w:szCs w:val="24"/>
        </w:rPr>
        <w:t>公司根据201</w:t>
      </w:r>
      <w:r>
        <w:rPr>
          <w:rFonts w:ascii="宋体" w:hAnsi="宋体"/>
          <w:sz w:val="24"/>
          <w:szCs w:val="24"/>
        </w:rPr>
        <w:t>8</w:t>
      </w:r>
      <w:r>
        <w:rPr>
          <w:rFonts w:hint="eastAsia" w:ascii="宋体" w:hAnsi="宋体"/>
          <w:sz w:val="24"/>
          <w:szCs w:val="24"/>
        </w:rPr>
        <w:t>年的运维业务发展情况，将在201</w:t>
      </w:r>
      <w:r>
        <w:rPr>
          <w:rFonts w:ascii="宋体" w:hAnsi="宋体"/>
          <w:sz w:val="24"/>
          <w:szCs w:val="24"/>
        </w:rPr>
        <w:t>9</w:t>
      </w:r>
      <w:r>
        <w:rPr>
          <w:rFonts w:hint="eastAsia" w:ascii="宋体" w:hAnsi="宋体"/>
          <w:sz w:val="24"/>
          <w:szCs w:val="24"/>
        </w:rPr>
        <w:t>年结合运维服务管理体系不断完善，进一步深化运维服务管理体系建设和服务质量管理建设，以提高运维服务规范性和稳定性。</w:t>
      </w:r>
    </w:p>
    <w:p>
      <w:pPr>
        <w:spacing w:line="360" w:lineRule="auto"/>
        <w:ind w:firstLine="480" w:firstLineChars="200"/>
        <w:rPr>
          <w:rFonts w:ascii="宋体" w:hAnsi="宋体"/>
          <w:sz w:val="24"/>
          <w:szCs w:val="24"/>
        </w:rPr>
      </w:pPr>
      <w:r>
        <w:rPr>
          <w:rFonts w:hint="eastAsia" w:ascii="宋体" w:hAnsi="宋体"/>
          <w:sz w:val="24"/>
          <w:szCs w:val="24"/>
        </w:rPr>
        <w:t>公司运维服务能力现状及差距分析从人员、资源、技术、过程四个方面进行评价。公司各个方面的现状如下：</w:t>
      </w:r>
    </w:p>
    <w:p>
      <w:pPr>
        <w:pStyle w:val="3"/>
      </w:pPr>
      <w:bookmarkStart w:id="10" w:name="_Toc16626"/>
      <w:r>
        <w:rPr>
          <w:rFonts w:hint="eastAsia"/>
        </w:rPr>
        <w:t>人员能力现状</w:t>
      </w:r>
      <w:bookmarkEnd w:id="10"/>
    </w:p>
    <w:p>
      <w:pPr>
        <w:spacing w:line="360" w:lineRule="auto"/>
        <w:ind w:firstLine="480" w:firstLineChars="200"/>
        <w:rPr>
          <w:rFonts w:ascii="宋体" w:hAnsi="宋体"/>
          <w:sz w:val="24"/>
          <w:szCs w:val="24"/>
        </w:rPr>
      </w:pPr>
      <w:r>
        <w:rPr>
          <w:rFonts w:hint="eastAsia" w:ascii="宋体" w:hAnsi="宋体"/>
          <w:sz w:val="24"/>
          <w:szCs w:val="24"/>
        </w:rPr>
        <w:t>公司运维团队总计</w:t>
      </w:r>
      <w:r>
        <w:rPr>
          <w:rFonts w:ascii="宋体" w:hAnsi="宋体"/>
          <w:sz w:val="24"/>
          <w:szCs w:val="24"/>
        </w:rPr>
        <w:t>1</w:t>
      </w:r>
      <w:r>
        <w:rPr>
          <w:rFonts w:hint="eastAsia" w:ascii="宋体" w:hAnsi="宋体"/>
          <w:sz w:val="24"/>
          <w:szCs w:val="24"/>
        </w:rPr>
        <w:t>5人，其中管理人员2人，技术支持岗</w:t>
      </w:r>
      <w:r>
        <w:rPr>
          <w:rFonts w:ascii="宋体" w:hAnsi="宋体"/>
          <w:sz w:val="24"/>
          <w:szCs w:val="24"/>
        </w:rPr>
        <w:t>6</w:t>
      </w:r>
      <w:r>
        <w:rPr>
          <w:rFonts w:hint="eastAsia" w:ascii="宋体" w:hAnsi="宋体"/>
          <w:sz w:val="24"/>
          <w:szCs w:val="24"/>
        </w:rPr>
        <w:t>人，操作岗7人。</w:t>
      </w:r>
    </w:p>
    <w:p>
      <w:pPr>
        <w:spacing w:line="360" w:lineRule="auto"/>
        <w:ind w:firstLine="482" w:firstLineChars="200"/>
        <w:rPr>
          <w:rFonts w:ascii="宋体" w:hAnsi="宋体"/>
          <w:b/>
          <w:sz w:val="24"/>
          <w:szCs w:val="24"/>
        </w:rPr>
      </w:pPr>
      <w:r>
        <w:rPr>
          <w:rFonts w:ascii="宋体" w:hAnsi="宋体"/>
          <w:b/>
          <w:sz w:val="24"/>
          <w:szCs w:val="24"/>
        </w:rPr>
        <w:t>差距分析</w:t>
      </w:r>
    </w:p>
    <w:p>
      <w:pPr>
        <w:spacing w:line="360" w:lineRule="auto"/>
        <w:ind w:firstLine="480" w:firstLineChars="200"/>
        <w:rPr>
          <w:rFonts w:ascii="宋体" w:hAnsi="宋体"/>
          <w:sz w:val="24"/>
          <w:szCs w:val="24"/>
        </w:rPr>
      </w:pPr>
      <w:r>
        <w:rPr>
          <w:rFonts w:hint="eastAsia" w:ascii="宋体" w:hAnsi="宋体"/>
          <w:sz w:val="24"/>
          <w:szCs w:val="24"/>
        </w:rPr>
        <w:t>通过</w:t>
      </w:r>
      <w:r>
        <w:rPr>
          <w:rFonts w:ascii="宋体" w:hAnsi="宋体"/>
          <w:sz w:val="24"/>
          <w:szCs w:val="24"/>
        </w:rPr>
        <w:t>对</w:t>
      </w:r>
      <w:r>
        <w:rPr>
          <w:rFonts w:hint="eastAsia" w:ascii="宋体" w:hAnsi="宋体"/>
          <w:sz w:val="24"/>
          <w:szCs w:val="24"/>
        </w:rPr>
        <w:t>公司现状及业务需求</w:t>
      </w:r>
      <w:r>
        <w:rPr>
          <w:rFonts w:ascii="宋体" w:hAnsi="宋体"/>
          <w:sz w:val="24"/>
          <w:szCs w:val="24"/>
        </w:rPr>
        <w:t>的分析，</w:t>
      </w:r>
      <w:r>
        <w:rPr>
          <w:rFonts w:hint="eastAsia" w:ascii="宋体" w:hAnsi="宋体"/>
          <w:sz w:val="24"/>
          <w:szCs w:val="24"/>
        </w:rPr>
        <w:t>现有人力资源相对滞后、组织形态不适应公司发展需求。具备多开发语言方面的技术人才，售前咨询支持、市场拓展类经营人才储备严重不足，与实际需求难成比例，应列为今后人才引进和人力资源培训的关注点。同时，现有运维业务工作量逐年增加，对人员数量和岗位结构优化方面也提出了必须适应战略发展的需求。</w:t>
      </w:r>
    </w:p>
    <w:p>
      <w:pPr>
        <w:spacing w:line="360" w:lineRule="auto"/>
        <w:ind w:firstLine="480" w:firstLineChars="200"/>
        <w:rPr>
          <w:rFonts w:ascii="宋体" w:hAnsi="宋体"/>
          <w:sz w:val="24"/>
          <w:szCs w:val="24"/>
        </w:rPr>
      </w:pPr>
      <w:r>
        <w:rPr>
          <w:rFonts w:hint="eastAsia" w:ascii="宋体" w:hAnsi="宋体"/>
          <w:sz w:val="24"/>
          <w:szCs w:val="24"/>
        </w:rPr>
        <w:t>公司在运维人力资源方面存在以下不足：</w:t>
      </w:r>
    </w:p>
    <w:p>
      <w:pPr>
        <w:spacing w:line="360" w:lineRule="auto"/>
        <w:ind w:firstLine="480" w:firstLineChars="200"/>
        <w:rPr>
          <w:rFonts w:ascii="宋体" w:hAnsi="宋体"/>
          <w:sz w:val="24"/>
          <w:szCs w:val="24"/>
        </w:rPr>
      </w:pPr>
      <w:r>
        <w:rPr>
          <w:rFonts w:hint="eastAsia" w:ascii="宋体" w:hAnsi="宋体"/>
          <w:sz w:val="24"/>
          <w:szCs w:val="24"/>
        </w:rPr>
        <w:t>运维技术团队方面，为做好业务的扩展，不断满足客户的需求，需要不断提升运维团队的整体能力。同时不团扩充团队规模，并做好人员的储备工作。在技术人员需招聘2人，其中技术支持岗1人、操作岗1人，并储备</w:t>
      </w:r>
      <w:r>
        <w:rPr>
          <w:rFonts w:ascii="宋体" w:hAnsi="宋体"/>
          <w:sz w:val="24"/>
          <w:szCs w:val="24"/>
        </w:rPr>
        <w:t>1</w:t>
      </w:r>
      <w:r>
        <w:rPr>
          <w:rFonts w:hint="eastAsia" w:ascii="宋体" w:hAnsi="宋体"/>
          <w:sz w:val="24"/>
          <w:szCs w:val="24"/>
        </w:rPr>
        <w:t>人，为技术支持岗。</w:t>
      </w:r>
    </w:p>
    <w:p>
      <w:pPr>
        <w:pStyle w:val="3"/>
        <w:tabs>
          <w:tab w:val="clear" w:pos="432"/>
        </w:tabs>
      </w:pPr>
      <w:bookmarkStart w:id="11" w:name="_Toc23476"/>
      <w:r>
        <w:rPr>
          <w:rFonts w:hint="eastAsia"/>
        </w:rPr>
        <w:t>资源能力现状</w:t>
      </w:r>
      <w:bookmarkEnd w:id="11"/>
    </w:p>
    <w:p>
      <w:pPr>
        <w:spacing w:line="360" w:lineRule="auto"/>
        <w:ind w:firstLine="482" w:firstLineChars="200"/>
        <w:rPr>
          <w:rFonts w:ascii="宋体" w:hAnsi="宋体"/>
          <w:b/>
          <w:sz w:val="24"/>
          <w:szCs w:val="24"/>
        </w:rPr>
      </w:pPr>
      <w:r>
        <w:rPr>
          <w:rFonts w:hint="eastAsia" w:ascii="宋体" w:hAnsi="宋体"/>
          <w:b/>
          <w:sz w:val="24"/>
          <w:szCs w:val="24"/>
        </w:rPr>
        <w:t>6.2.1</w:t>
      </w:r>
      <w:r>
        <w:rPr>
          <w:rFonts w:ascii="宋体" w:hAnsi="宋体"/>
          <w:b/>
          <w:sz w:val="24"/>
          <w:szCs w:val="24"/>
        </w:rPr>
        <w:t>运维工具现状</w:t>
      </w:r>
    </w:p>
    <w:p>
      <w:pPr>
        <w:spacing w:line="360" w:lineRule="auto"/>
        <w:ind w:firstLine="480" w:firstLineChars="200"/>
        <w:rPr>
          <w:rFonts w:ascii="宋体" w:hAnsi="宋体"/>
          <w:sz w:val="24"/>
          <w:szCs w:val="24"/>
          <w:highlight w:val="yellow"/>
        </w:rPr>
      </w:pPr>
      <w:r>
        <w:rPr>
          <w:rFonts w:hint="eastAsia" w:ascii="宋体" w:hAnsi="宋体"/>
          <w:sz w:val="24"/>
          <w:szCs w:val="24"/>
        </w:rPr>
        <w:t>运行维护工具可以有效的提高维护人员工作效率，可以提高系统运行的可靠性，减少系统停机时间，避免运维过程中出现的错误。公司目前已部署了两套系统运行维护工具，包括</w:t>
      </w:r>
      <w:r>
        <w:rPr>
          <w:rFonts w:hint="eastAsia" w:ascii="宋体" w:hAnsi="宋体" w:cs="Arial"/>
          <w:sz w:val="24"/>
          <w:lang w:val="en-GB"/>
        </w:rPr>
        <w:t>ULINK监控工具</w:t>
      </w:r>
      <w:r>
        <w:rPr>
          <w:rFonts w:hint="eastAsia" w:ascii="宋体" w:hAnsi="宋体"/>
          <w:sz w:val="24"/>
          <w:szCs w:val="24"/>
        </w:rPr>
        <w:t>和运维管理工具</w:t>
      </w:r>
      <w:r>
        <w:rPr>
          <w:rFonts w:hint="eastAsia" w:ascii="宋体" w:hAnsi="宋体" w:cs="Arial"/>
          <w:sz w:val="24"/>
          <w:lang w:val="en-GB"/>
        </w:rPr>
        <w:t>ESP服务平台</w:t>
      </w:r>
      <w:r>
        <w:rPr>
          <w:rFonts w:hint="eastAsia" w:ascii="宋体" w:hAnsi="宋体"/>
          <w:sz w:val="24"/>
          <w:szCs w:val="24"/>
        </w:rPr>
        <w:t>。为运维</w:t>
      </w:r>
      <w:r>
        <w:rPr>
          <w:rFonts w:ascii="宋体" w:hAnsi="宋体"/>
          <w:sz w:val="24"/>
          <w:szCs w:val="24"/>
        </w:rPr>
        <w:t>过程管理和交付质量管理带来了诸多益处</w:t>
      </w:r>
      <w:r>
        <w:rPr>
          <w:rFonts w:hint="eastAsia" w:ascii="宋体" w:hAnsi="宋体"/>
          <w:sz w:val="24"/>
          <w:szCs w:val="24"/>
        </w:rPr>
        <w:t>。</w:t>
      </w:r>
    </w:p>
    <w:p>
      <w:pPr>
        <w:spacing w:line="360" w:lineRule="auto"/>
        <w:ind w:firstLine="480" w:firstLineChars="200"/>
        <w:rPr>
          <w:rFonts w:ascii="宋体" w:hAnsi="宋体"/>
          <w:sz w:val="24"/>
          <w:szCs w:val="24"/>
        </w:rPr>
      </w:pPr>
      <w:r>
        <w:rPr>
          <w:rFonts w:hint="eastAsia" w:ascii="宋体" w:hAnsi="宋体"/>
          <w:sz w:val="24"/>
          <w:szCs w:val="24"/>
        </w:rPr>
        <w:t>1.ULINK监控警报系统分为客户端和服务器端2部分， 服务端安装在需要监控的服务器上，可以对SAP系统信息、配置信息、数据库文件、数据库备份等资源进行实时监控，根据需要，可以编写脚本对相应的平台软件、数据库，检查获取系统运行状态，并可设置报警阙值，一旦超过阙值即通过微信自动将系统信息推送到运维工程师手机客户端。客户端可以运行在Android系统，作为配置和监控控制台，定义监控脚本和显示界面，可以直观的对监控项目进行管理。</w:t>
      </w:r>
    </w:p>
    <w:p>
      <w:pPr>
        <w:spacing w:line="360" w:lineRule="auto"/>
        <w:ind w:firstLine="480" w:firstLineChars="200"/>
        <w:rPr>
          <w:rFonts w:ascii="宋体" w:hAnsi="宋体"/>
          <w:sz w:val="24"/>
          <w:szCs w:val="24"/>
        </w:rPr>
      </w:pPr>
      <w:r>
        <w:rPr>
          <w:rFonts w:hint="eastAsia" w:ascii="宋体" w:hAnsi="宋体" w:cs="Arial"/>
          <w:sz w:val="24"/>
        </w:rPr>
        <w:t>2.</w:t>
      </w:r>
      <w:r>
        <w:rPr>
          <w:rFonts w:hint="eastAsia" w:ascii="宋体" w:hAnsi="宋体" w:cs="Arial"/>
          <w:sz w:val="24"/>
          <w:lang w:val="en-GB"/>
        </w:rPr>
        <w:t>ESP服务平台</w:t>
      </w:r>
      <w:r>
        <w:rPr>
          <w:rFonts w:hint="eastAsia" w:ascii="宋体" w:hAnsi="宋体"/>
          <w:sz w:val="24"/>
          <w:szCs w:val="24"/>
        </w:rPr>
        <w:t>主要用于事件管理，覆盖了事件提交、处理和完成等阶段，能够比较完整的管理事件过程文档，实现事件、问题、变更发布的记录，记录处理方案，统计满意度，统计服务人员绩效，也能够及时对处理过程中出项的问题进行反馈。</w:t>
      </w:r>
    </w:p>
    <w:p>
      <w:pPr>
        <w:spacing w:line="360" w:lineRule="auto"/>
        <w:ind w:firstLine="482" w:firstLineChars="200"/>
        <w:rPr>
          <w:rFonts w:ascii="宋体" w:hAnsi="宋体"/>
          <w:b/>
          <w:sz w:val="24"/>
          <w:szCs w:val="24"/>
        </w:rPr>
      </w:pPr>
      <w:r>
        <w:rPr>
          <w:rFonts w:ascii="宋体" w:hAnsi="宋体"/>
          <w:b/>
          <w:sz w:val="24"/>
          <w:szCs w:val="24"/>
        </w:rPr>
        <w:t>差距分析</w:t>
      </w:r>
    </w:p>
    <w:p>
      <w:pPr>
        <w:spacing w:line="360" w:lineRule="auto"/>
        <w:ind w:firstLine="480" w:firstLineChars="200"/>
        <w:rPr>
          <w:rFonts w:ascii="宋体" w:hAnsi="宋体"/>
          <w:sz w:val="24"/>
          <w:szCs w:val="24"/>
        </w:rPr>
      </w:pPr>
      <w:r>
        <w:rPr>
          <w:rFonts w:ascii="宋体" w:hAnsi="宋体"/>
          <w:sz w:val="24"/>
          <w:szCs w:val="24"/>
        </w:rPr>
        <w:t>目前</w:t>
      </w:r>
      <w:r>
        <w:rPr>
          <w:rFonts w:hint="eastAsia" w:ascii="宋体" w:hAnsi="宋体" w:cs="Arial"/>
          <w:sz w:val="24"/>
          <w:lang w:val="en-GB"/>
        </w:rPr>
        <w:t>ULINK监控工具</w:t>
      </w:r>
      <w:r>
        <w:rPr>
          <w:rFonts w:ascii="宋体" w:hAnsi="宋体"/>
          <w:sz w:val="24"/>
          <w:szCs w:val="24"/>
        </w:rPr>
        <w:t>的使用能够满足运维服务的交付需求，但运维服务过程管理工具</w:t>
      </w:r>
      <w:r>
        <w:rPr>
          <w:rFonts w:hint="eastAsia" w:ascii="宋体" w:hAnsi="宋体"/>
          <w:sz w:val="24"/>
          <w:szCs w:val="24"/>
        </w:rPr>
        <w:t>随着</w:t>
      </w:r>
      <w:r>
        <w:rPr>
          <w:rFonts w:ascii="宋体" w:hAnsi="宋体"/>
          <w:sz w:val="24"/>
          <w:szCs w:val="24"/>
        </w:rPr>
        <w:t>运维业务的不断拓展，运维服务质量要求的不断提高，</w:t>
      </w:r>
      <w:r>
        <w:rPr>
          <w:rFonts w:hint="eastAsia" w:ascii="宋体" w:hAnsi="宋体"/>
          <w:sz w:val="24"/>
          <w:szCs w:val="24"/>
        </w:rPr>
        <w:t>满足以</w:t>
      </w:r>
      <w:r>
        <w:rPr>
          <w:rFonts w:ascii="宋体" w:hAnsi="宋体"/>
          <w:sz w:val="24"/>
          <w:szCs w:val="24"/>
        </w:rPr>
        <w:t>ITSS</w:t>
      </w:r>
      <w:r>
        <w:rPr>
          <w:rFonts w:hint="eastAsia" w:ascii="宋体" w:hAnsi="宋体"/>
          <w:sz w:val="24"/>
          <w:szCs w:val="24"/>
        </w:rPr>
        <w:t>标准</w:t>
      </w:r>
      <w:r>
        <w:rPr>
          <w:rFonts w:ascii="宋体" w:hAnsi="宋体"/>
          <w:sz w:val="24"/>
          <w:szCs w:val="24"/>
        </w:rPr>
        <w:t>的可视化</w:t>
      </w:r>
      <w:r>
        <w:rPr>
          <w:rFonts w:hint="eastAsia" w:ascii="宋体" w:hAnsi="宋体"/>
          <w:sz w:val="24"/>
          <w:szCs w:val="24"/>
        </w:rPr>
        <w:t>运维</w:t>
      </w:r>
      <w:r>
        <w:rPr>
          <w:rFonts w:ascii="宋体" w:hAnsi="宋体"/>
          <w:sz w:val="24"/>
          <w:szCs w:val="24"/>
        </w:rPr>
        <w:t>过程</w:t>
      </w:r>
      <w:r>
        <w:rPr>
          <w:rFonts w:hint="eastAsia" w:ascii="宋体" w:hAnsi="宋体"/>
          <w:sz w:val="24"/>
          <w:szCs w:val="24"/>
        </w:rPr>
        <w:t>管理</w:t>
      </w:r>
      <w:r>
        <w:rPr>
          <w:rFonts w:ascii="宋体" w:hAnsi="宋体"/>
          <w:sz w:val="24"/>
          <w:szCs w:val="24"/>
        </w:rPr>
        <w:t>要求</w:t>
      </w:r>
      <w:r>
        <w:rPr>
          <w:rFonts w:hint="eastAsia" w:ascii="宋体" w:hAnsi="宋体"/>
          <w:sz w:val="24"/>
          <w:szCs w:val="24"/>
        </w:rPr>
        <w:t>已显得尤为必要</w:t>
      </w:r>
      <w:r>
        <w:rPr>
          <w:rFonts w:ascii="宋体" w:hAnsi="宋体"/>
          <w:sz w:val="24"/>
          <w:szCs w:val="24"/>
        </w:rPr>
        <w:t>，必须要</w:t>
      </w:r>
      <w:r>
        <w:rPr>
          <w:rFonts w:hint="eastAsia" w:ascii="宋体" w:hAnsi="宋体"/>
          <w:sz w:val="24"/>
          <w:szCs w:val="24"/>
        </w:rPr>
        <w:t>进一步</w:t>
      </w:r>
      <w:r>
        <w:rPr>
          <w:rFonts w:ascii="宋体" w:hAnsi="宋体"/>
          <w:sz w:val="24"/>
          <w:szCs w:val="24"/>
        </w:rPr>
        <w:t>优化过程管理工具</w:t>
      </w:r>
      <w:r>
        <w:rPr>
          <w:rFonts w:hint="eastAsia" w:ascii="宋体" w:hAnsi="宋体"/>
          <w:sz w:val="24"/>
          <w:szCs w:val="24"/>
        </w:rPr>
        <w:t>以确保</w:t>
      </w:r>
      <w:r>
        <w:rPr>
          <w:rFonts w:ascii="宋体" w:hAnsi="宋体"/>
          <w:sz w:val="24"/>
          <w:szCs w:val="24"/>
        </w:rPr>
        <w:t>运维管理</w:t>
      </w:r>
      <w:r>
        <w:rPr>
          <w:rFonts w:hint="eastAsia" w:ascii="宋体" w:hAnsi="宋体"/>
          <w:sz w:val="24"/>
          <w:szCs w:val="24"/>
        </w:rPr>
        <w:t>。</w:t>
      </w:r>
    </w:p>
    <w:p>
      <w:pPr>
        <w:spacing w:line="360" w:lineRule="auto"/>
        <w:ind w:firstLine="480" w:firstLineChars="200"/>
        <w:rPr>
          <w:rFonts w:ascii="宋体" w:hAnsi="宋体"/>
          <w:sz w:val="24"/>
          <w:szCs w:val="24"/>
        </w:rPr>
      </w:pPr>
      <w:r>
        <w:rPr>
          <w:rFonts w:hint="eastAsia" w:ascii="宋体" w:hAnsi="宋体" w:cs="Arial"/>
          <w:sz w:val="24"/>
          <w:lang w:val="en-GB"/>
        </w:rPr>
        <w:t>ESP作为服务流程管理工具，实现事件处理的流程管理和跟踪。</w:t>
      </w:r>
      <w:r>
        <w:rPr>
          <w:rFonts w:ascii="宋体" w:hAnsi="宋体"/>
          <w:sz w:val="24"/>
          <w:szCs w:val="24"/>
        </w:rPr>
        <w:t>能够满足</w:t>
      </w:r>
      <w:r>
        <w:rPr>
          <w:rFonts w:hint="eastAsia" w:ascii="宋体" w:hAnsi="宋体"/>
          <w:sz w:val="24"/>
          <w:szCs w:val="24"/>
        </w:rPr>
        <w:t>基本</w:t>
      </w:r>
      <w:r>
        <w:rPr>
          <w:rFonts w:ascii="宋体" w:hAnsi="宋体"/>
          <w:sz w:val="24"/>
          <w:szCs w:val="24"/>
        </w:rPr>
        <w:t>运维服务的交付需求</w:t>
      </w:r>
      <w:r>
        <w:rPr>
          <w:rFonts w:hint="eastAsia" w:ascii="宋体" w:hAnsi="宋体"/>
          <w:sz w:val="24"/>
          <w:szCs w:val="24"/>
        </w:rPr>
        <w:t>，但还需要在使用体验上再进行优化。</w:t>
      </w:r>
    </w:p>
    <w:p>
      <w:pPr>
        <w:spacing w:line="360" w:lineRule="auto"/>
        <w:ind w:firstLine="482" w:firstLineChars="200"/>
        <w:rPr>
          <w:rFonts w:ascii="宋体" w:hAnsi="宋体"/>
          <w:b/>
          <w:sz w:val="24"/>
          <w:szCs w:val="24"/>
        </w:rPr>
      </w:pPr>
      <w:r>
        <w:rPr>
          <w:rFonts w:hint="eastAsia" w:ascii="宋体" w:hAnsi="宋体"/>
          <w:b/>
          <w:sz w:val="24"/>
          <w:szCs w:val="24"/>
        </w:rPr>
        <w:t>6.2.2知识库现状</w:t>
      </w:r>
    </w:p>
    <w:p>
      <w:pPr>
        <w:spacing w:line="360" w:lineRule="auto"/>
        <w:ind w:firstLine="480" w:firstLineChars="200"/>
        <w:rPr>
          <w:rFonts w:ascii="宋体" w:hAnsi="宋体" w:cs="Arial"/>
          <w:sz w:val="24"/>
          <w:lang w:val="en-GB"/>
        </w:rPr>
      </w:pPr>
      <w:r>
        <w:rPr>
          <w:rFonts w:hint="eastAsia" w:ascii="宋体" w:hAnsi="宋体" w:cs="Arial"/>
          <w:sz w:val="24"/>
          <w:lang w:val="en-GB"/>
        </w:rPr>
        <w:t>公司运维相关的知识、技术前沿知识、安全方面的知识大都根据个人专业不同存放在个人电脑中，或者说存放在个人大脑中。目前虽然已经建立了知识库的管理，但是覆盖的范围不全面，使用情况较差，知识的整体流动性差，共享性差，未能将重复故障形成知识库供全员职工共享，降低了解决故障的时效性。</w:t>
      </w:r>
    </w:p>
    <w:p>
      <w:pPr>
        <w:spacing w:line="360" w:lineRule="auto"/>
        <w:ind w:firstLine="482" w:firstLineChars="200"/>
        <w:rPr>
          <w:rFonts w:ascii="宋体" w:hAnsi="宋体"/>
          <w:b/>
          <w:sz w:val="24"/>
          <w:szCs w:val="24"/>
        </w:rPr>
      </w:pPr>
      <w:r>
        <w:rPr>
          <w:rFonts w:ascii="宋体" w:hAnsi="宋体"/>
          <w:b/>
          <w:sz w:val="24"/>
          <w:szCs w:val="24"/>
        </w:rPr>
        <w:t>差距分析</w:t>
      </w:r>
    </w:p>
    <w:p>
      <w:pPr>
        <w:spacing w:line="360" w:lineRule="auto"/>
        <w:ind w:firstLine="480" w:firstLineChars="200"/>
        <w:rPr>
          <w:rFonts w:ascii="宋体" w:hAnsi="宋体" w:cs="Arial"/>
          <w:sz w:val="24"/>
          <w:lang w:val="en-GB"/>
        </w:rPr>
      </w:pPr>
      <w:r>
        <w:rPr>
          <w:rFonts w:hint="eastAsia" w:ascii="宋体" w:hAnsi="宋体" w:cs="Arial"/>
          <w:sz w:val="24"/>
          <w:lang w:val="en-GB"/>
        </w:rPr>
        <w:t>需要不断完善知识管理流程，同时积极扩充知识条目，能将教育培训、个人网上学习、解决用户事件、故障以及分析问题后的处理方案同步生成到知识库的管理系统，以适应公司业务发展需要。</w:t>
      </w:r>
    </w:p>
    <w:p>
      <w:pPr>
        <w:pStyle w:val="3"/>
        <w:tabs>
          <w:tab w:val="clear" w:pos="432"/>
        </w:tabs>
      </w:pPr>
      <w:bookmarkStart w:id="12" w:name="_Toc22497"/>
      <w:r>
        <w:rPr>
          <w:rFonts w:hint="eastAsia"/>
        </w:rPr>
        <w:t>技术能力现状</w:t>
      </w:r>
      <w:bookmarkEnd w:id="12"/>
    </w:p>
    <w:p>
      <w:pPr>
        <w:spacing w:line="360" w:lineRule="auto"/>
        <w:ind w:firstLine="480" w:firstLineChars="200"/>
        <w:rPr>
          <w:rFonts w:ascii="宋体" w:hAnsi="宋体"/>
          <w:sz w:val="24"/>
          <w:szCs w:val="24"/>
        </w:rPr>
      </w:pPr>
      <w:r>
        <w:rPr>
          <w:rFonts w:hint="eastAsia" w:ascii="宋体" w:hAnsi="宋体"/>
          <w:sz w:val="24"/>
          <w:szCs w:val="24"/>
        </w:rPr>
        <w:t>一、发现问题的技术</w:t>
      </w:r>
    </w:p>
    <w:p>
      <w:pPr>
        <w:spacing w:line="360" w:lineRule="auto"/>
        <w:ind w:firstLine="480" w:firstLineChars="200"/>
        <w:rPr>
          <w:rFonts w:ascii="宋体" w:hAnsi="宋体"/>
          <w:sz w:val="24"/>
          <w:szCs w:val="24"/>
        </w:rPr>
      </w:pPr>
      <w:r>
        <w:rPr>
          <w:rFonts w:hint="eastAsia" w:ascii="宋体" w:hAnsi="宋体"/>
          <w:sz w:val="24"/>
          <w:szCs w:val="24"/>
        </w:rPr>
        <w:t>发现问题主要使用自主的ULINK监控系统，</w:t>
      </w:r>
      <w:r>
        <w:rPr>
          <w:rFonts w:hint="eastAsia" w:ascii="宋体" w:hAnsi="宋体" w:cs="Arial"/>
          <w:sz w:val="24"/>
          <w:lang w:val="en-GB"/>
        </w:rPr>
        <w:t>可以对</w:t>
      </w:r>
      <w:r>
        <w:rPr>
          <w:rFonts w:hint="eastAsia" w:ascii="宋体" w:hAnsi="宋体"/>
          <w:sz w:val="24"/>
          <w:szCs w:val="24"/>
        </w:rPr>
        <w:t>SAP系统信息、配置信息、数据库文件、数据库备份等资源</w:t>
      </w:r>
      <w:r>
        <w:rPr>
          <w:rFonts w:hint="eastAsia" w:ascii="宋体" w:hAnsi="宋体" w:cs="Arial"/>
          <w:sz w:val="24"/>
          <w:lang w:val="en-GB"/>
        </w:rPr>
        <w:t>进行实时监控，根据需要，</w:t>
      </w:r>
      <w:r>
        <w:rPr>
          <w:rFonts w:hint="eastAsia" w:ascii="宋体" w:hAnsi="宋体"/>
          <w:sz w:val="24"/>
          <w:szCs w:val="24"/>
        </w:rPr>
        <w:t>可以编写脚本对相应的平台软件、数据库，检查获取系统运行状态，并可设置报警阙值，一旦超过阙值即通过微信自动将系统信息推送到运维工程师手机客户端。</w:t>
      </w:r>
    </w:p>
    <w:p>
      <w:pPr>
        <w:spacing w:line="360" w:lineRule="auto"/>
        <w:ind w:firstLine="480" w:firstLineChars="200"/>
        <w:rPr>
          <w:rFonts w:ascii="宋体" w:hAnsi="宋体"/>
          <w:sz w:val="24"/>
          <w:szCs w:val="24"/>
        </w:rPr>
      </w:pPr>
      <w:r>
        <w:rPr>
          <w:rFonts w:hint="eastAsia" w:ascii="宋体" w:hAnsi="宋体"/>
          <w:sz w:val="24"/>
          <w:szCs w:val="24"/>
        </w:rPr>
        <w:t>二、</w:t>
      </w:r>
      <w:r>
        <w:rPr>
          <w:rFonts w:ascii="宋体" w:hAnsi="宋体"/>
          <w:sz w:val="24"/>
          <w:szCs w:val="24"/>
        </w:rPr>
        <w:t>解决问题的技术</w:t>
      </w:r>
    </w:p>
    <w:p>
      <w:pPr>
        <w:spacing w:line="360" w:lineRule="auto"/>
        <w:ind w:firstLine="480" w:firstLineChars="200"/>
        <w:rPr>
          <w:rFonts w:ascii="宋体" w:hAnsi="宋体"/>
          <w:sz w:val="24"/>
          <w:szCs w:val="24"/>
        </w:rPr>
      </w:pPr>
      <w:r>
        <w:rPr>
          <w:rFonts w:hint="eastAsia" w:ascii="宋体" w:hAnsi="宋体"/>
          <w:sz w:val="24"/>
          <w:szCs w:val="24"/>
        </w:rPr>
        <w:t>公司目前在解决问题的手段上主要采取以下方案：</w:t>
      </w:r>
    </w:p>
    <w:p>
      <w:pPr>
        <w:spacing w:line="360" w:lineRule="auto"/>
        <w:ind w:firstLine="480" w:firstLineChars="200"/>
        <w:rPr>
          <w:rFonts w:ascii="宋体" w:hAnsi="宋体"/>
          <w:sz w:val="24"/>
          <w:szCs w:val="24"/>
        </w:rPr>
      </w:pPr>
      <w:r>
        <w:rPr>
          <w:rFonts w:hint="eastAsia" w:ascii="宋体" w:hAnsi="宋体"/>
          <w:sz w:val="24"/>
          <w:szCs w:val="24"/>
        </w:rPr>
        <w:t>1）通过专业人员的专业知识、经验、和厂家提供的操作规程，提供基础软件，应用软件，数据等方面问题的解决方案；</w:t>
      </w:r>
    </w:p>
    <w:p>
      <w:pPr>
        <w:spacing w:line="360" w:lineRule="auto"/>
        <w:ind w:firstLine="480" w:firstLineChars="200"/>
        <w:rPr>
          <w:rFonts w:ascii="宋体" w:hAnsi="宋体"/>
          <w:sz w:val="24"/>
          <w:szCs w:val="24"/>
        </w:rPr>
      </w:pPr>
      <w:r>
        <w:rPr>
          <w:rFonts w:hint="eastAsia" w:ascii="宋体" w:hAnsi="宋体"/>
          <w:sz w:val="24"/>
          <w:szCs w:val="24"/>
        </w:rPr>
        <w:t>2）在不具备解决专业领域问题的方面，公司采取通过购买厂家服务的方式解决专业领域技术问题，如通过购买德国SAP厂商的专业服务解决SAP软件系统产品bug问题；</w:t>
      </w:r>
    </w:p>
    <w:p>
      <w:pPr>
        <w:spacing w:line="360" w:lineRule="auto"/>
        <w:ind w:firstLine="480" w:firstLineChars="200"/>
        <w:rPr>
          <w:rFonts w:ascii="宋体" w:hAnsi="宋体"/>
          <w:sz w:val="24"/>
          <w:szCs w:val="24"/>
        </w:rPr>
      </w:pPr>
      <w:r>
        <w:rPr>
          <w:rFonts w:hint="eastAsia" w:ascii="宋体" w:hAnsi="宋体"/>
          <w:sz w:val="24"/>
          <w:szCs w:val="24"/>
        </w:rPr>
        <w:t>3）另外，公司在日常服务交付过程中，还形成了知识管理的活动，通过将知识与解决方案整理成文档，保存到公司办公群，能够很好积累一些疑难故障的解决方案，并通过培训、组内分享的方式进行知识传递。</w:t>
      </w:r>
    </w:p>
    <w:p>
      <w:pPr>
        <w:spacing w:line="360" w:lineRule="auto"/>
        <w:ind w:firstLine="480" w:firstLineChars="200"/>
        <w:rPr>
          <w:rFonts w:ascii="宋体" w:hAnsi="宋体"/>
          <w:sz w:val="24"/>
          <w:szCs w:val="24"/>
        </w:rPr>
      </w:pPr>
      <w:r>
        <w:rPr>
          <w:rFonts w:hint="eastAsia" w:ascii="宋体" w:hAnsi="宋体"/>
          <w:sz w:val="24"/>
          <w:szCs w:val="24"/>
        </w:rPr>
        <w:t>三、技术研发</w:t>
      </w:r>
    </w:p>
    <w:p>
      <w:pPr>
        <w:spacing w:line="360" w:lineRule="auto"/>
        <w:ind w:firstLine="480" w:firstLineChars="200"/>
        <w:rPr>
          <w:rFonts w:ascii="宋体" w:hAnsi="宋体"/>
          <w:sz w:val="24"/>
          <w:szCs w:val="24"/>
        </w:rPr>
      </w:pPr>
      <w:r>
        <w:rPr>
          <w:rFonts w:hint="eastAsia" w:ascii="宋体" w:hAnsi="宋体"/>
          <w:sz w:val="24"/>
          <w:szCs w:val="24"/>
        </w:rPr>
        <w:t>在技术研发方面，目前公司研发队伍配置较完备。为了提高运维服务质量，公司决定每年将为技术研发投入专项资金保障。</w:t>
      </w:r>
    </w:p>
    <w:p>
      <w:pPr>
        <w:spacing w:line="360" w:lineRule="auto"/>
        <w:ind w:firstLine="482" w:firstLineChars="200"/>
        <w:rPr>
          <w:rFonts w:ascii="宋体" w:hAnsi="宋体"/>
          <w:b/>
          <w:sz w:val="24"/>
          <w:szCs w:val="24"/>
        </w:rPr>
      </w:pPr>
      <w:r>
        <w:rPr>
          <w:rFonts w:ascii="宋体" w:hAnsi="宋体"/>
          <w:b/>
          <w:sz w:val="24"/>
          <w:szCs w:val="24"/>
        </w:rPr>
        <w:t>差距分析</w:t>
      </w:r>
    </w:p>
    <w:p>
      <w:pPr>
        <w:spacing w:line="360" w:lineRule="auto"/>
        <w:ind w:firstLine="480" w:firstLineChars="200"/>
        <w:rPr>
          <w:rFonts w:ascii="宋体" w:hAnsi="宋体"/>
          <w:sz w:val="24"/>
          <w:szCs w:val="24"/>
        </w:rPr>
      </w:pPr>
      <w:r>
        <w:rPr>
          <w:rFonts w:hint="eastAsia" w:ascii="宋体" w:hAnsi="宋体"/>
          <w:sz w:val="24"/>
          <w:szCs w:val="24"/>
        </w:rPr>
        <w:t>在发现问题方面，公司已具备一定的能力，但在发现问题后我们缺乏较好的技术手段来进行快速定位、分析、诊断问题的根本原因，使得解决问题的时间较长，影响了用户体验。特别是系统方面，如系统运行缓慢，表单输出不了等故障方面，发现问题后进行分析诊断的手段和能力较欠缺。</w:t>
      </w:r>
    </w:p>
    <w:p>
      <w:pPr>
        <w:spacing w:line="360" w:lineRule="auto"/>
        <w:ind w:firstLine="480" w:firstLineChars="200"/>
        <w:rPr>
          <w:rFonts w:ascii="宋体" w:hAnsi="宋体"/>
          <w:sz w:val="24"/>
          <w:szCs w:val="24"/>
        </w:rPr>
      </w:pPr>
      <w:r>
        <w:rPr>
          <w:rFonts w:hint="eastAsia" w:ascii="宋体" w:hAnsi="宋体"/>
          <w:sz w:val="24"/>
          <w:szCs w:val="24"/>
        </w:rPr>
        <w:t>在解决问题方面，公司已经具备了一定的能力的，但在还需继续：</w:t>
      </w:r>
    </w:p>
    <w:p>
      <w:pPr>
        <w:spacing w:line="360" w:lineRule="auto"/>
        <w:ind w:firstLine="480" w:firstLineChars="200"/>
        <w:rPr>
          <w:rFonts w:ascii="宋体" w:hAnsi="宋体"/>
          <w:sz w:val="24"/>
          <w:szCs w:val="24"/>
        </w:rPr>
      </w:pPr>
      <w:r>
        <w:rPr>
          <w:rFonts w:hint="eastAsia" w:ascii="宋体" w:hAnsi="宋体"/>
          <w:sz w:val="24"/>
          <w:szCs w:val="24"/>
        </w:rPr>
        <w:t>一是在解决方案的沉淀方面需要加强，我们需要通过知识管理的方式来有效进行管理，找到一个最佳的分享途径来提升知识点流通和利用率。</w:t>
      </w:r>
    </w:p>
    <w:p>
      <w:pPr>
        <w:spacing w:line="360" w:lineRule="auto"/>
        <w:ind w:firstLine="480" w:firstLineChars="200"/>
        <w:rPr>
          <w:rFonts w:ascii="宋体" w:hAnsi="宋体"/>
          <w:sz w:val="24"/>
          <w:szCs w:val="24"/>
        </w:rPr>
      </w:pPr>
      <w:r>
        <w:rPr>
          <w:rFonts w:hint="eastAsia" w:ascii="宋体" w:hAnsi="宋体"/>
          <w:sz w:val="24"/>
          <w:szCs w:val="24"/>
        </w:rPr>
        <w:t>二是通过各种手段来积极鼓励运维人员、开发人员提供解决方案。</w:t>
      </w:r>
    </w:p>
    <w:p>
      <w:pPr>
        <w:spacing w:line="360" w:lineRule="auto"/>
        <w:ind w:firstLine="480" w:firstLineChars="200"/>
        <w:rPr>
          <w:rFonts w:ascii="宋体" w:hAnsi="宋体"/>
          <w:sz w:val="24"/>
          <w:szCs w:val="24"/>
        </w:rPr>
      </w:pPr>
      <w:r>
        <w:rPr>
          <w:rFonts w:hint="eastAsia" w:ascii="宋体" w:hAnsi="宋体"/>
          <w:sz w:val="24"/>
          <w:szCs w:val="24"/>
        </w:rPr>
        <w:t>在技术研发方面，公司将进一步分析我们的运维业务现状，根据运维业务的发展需要以及公司的战略要求，加大研发资源经费的投入，以便能够保障运维业务的发展。</w:t>
      </w:r>
    </w:p>
    <w:p>
      <w:pPr>
        <w:pStyle w:val="3"/>
        <w:tabs>
          <w:tab w:val="clear" w:pos="432"/>
        </w:tabs>
      </w:pPr>
      <w:bookmarkStart w:id="13" w:name="_Toc2546"/>
      <w:r>
        <w:rPr>
          <w:rFonts w:hint="eastAsia"/>
        </w:rPr>
        <w:t>过程能力现状</w:t>
      </w:r>
      <w:bookmarkEnd w:id="13"/>
    </w:p>
    <w:p>
      <w:pPr>
        <w:spacing w:line="360" w:lineRule="auto"/>
        <w:ind w:firstLine="480" w:firstLineChars="200"/>
        <w:rPr>
          <w:rFonts w:ascii="宋体" w:hAnsi="宋体"/>
          <w:sz w:val="24"/>
          <w:szCs w:val="24"/>
        </w:rPr>
      </w:pPr>
      <w:r>
        <w:rPr>
          <w:rFonts w:hint="eastAsia" w:ascii="宋体" w:hAnsi="宋体"/>
          <w:sz w:val="24"/>
          <w:szCs w:val="24"/>
        </w:rPr>
        <w:t>公司在运维服务流程管理方面已经有了相当的积累，公司目前的运维服务过程主要包括：</w:t>
      </w:r>
    </w:p>
    <w:p>
      <w:pPr>
        <w:spacing w:line="360" w:lineRule="auto"/>
        <w:ind w:firstLine="480" w:firstLineChars="200"/>
        <w:rPr>
          <w:rFonts w:ascii="宋体" w:hAnsi="宋体"/>
          <w:sz w:val="24"/>
          <w:szCs w:val="24"/>
        </w:rPr>
      </w:pPr>
      <w:r>
        <w:rPr>
          <w:rFonts w:hint="eastAsia" w:ascii="宋体" w:hAnsi="宋体"/>
          <w:sz w:val="24"/>
          <w:szCs w:val="24"/>
        </w:rPr>
        <w:t>1)目前能够根据甲方的要求识别服务需求，并形成相应服务级别协议，有服务级别管理流程；</w:t>
      </w:r>
    </w:p>
    <w:p>
      <w:pPr>
        <w:spacing w:line="360" w:lineRule="auto"/>
        <w:ind w:firstLine="480" w:firstLineChars="200"/>
        <w:rPr>
          <w:rFonts w:ascii="宋体" w:hAnsi="宋体"/>
          <w:sz w:val="24"/>
          <w:szCs w:val="24"/>
        </w:rPr>
      </w:pPr>
      <w:r>
        <w:rPr>
          <w:rFonts w:hint="eastAsia" w:ascii="宋体" w:hAnsi="宋体"/>
          <w:sz w:val="24"/>
          <w:szCs w:val="24"/>
        </w:rPr>
        <w:t>2)依据服务合同或甲方要求频率提供服务报告或专项运维服务报告；</w:t>
      </w:r>
    </w:p>
    <w:p>
      <w:pPr>
        <w:spacing w:line="360" w:lineRule="auto"/>
        <w:ind w:firstLine="480" w:firstLineChars="200"/>
        <w:rPr>
          <w:rFonts w:ascii="宋体" w:hAnsi="宋体"/>
          <w:sz w:val="24"/>
          <w:szCs w:val="24"/>
        </w:rPr>
      </w:pPr>
      <w:r>
        <w:rPr>
          <w:rFonts w:hint="eastAsia" w:ascii="宋体" w:hAnsi="宋体"/>
          <w:sz w:val="24"/>
          <w:szCs w:val="24"/>
        </w:rPr>
        <w:t>3)具备一定的事件和问题管理机制，能根据事件的分类，调查、分析、诊断、及时解决用户反应的运维事件，组织进行满意度调查，能将同类多频率事件、深层次故障上升为问题，提交组织讨论，形成问题处理机制。</w:t>
      </w:r>
    </w:p>
    <w:p>
      <w:pPr>
        <w:spacing w:line="360" w:lineRule="auto"/>
        <w:ind w:firstLine="480" w:firstLineChars="200"/>
        <w:rPr>
          <w:rFonts w:ascii="宋体" w:hAnsi="宋体"/>
          <w:sz w:val="24"/>
          <w:szCs w:val="24"/>
        </w:rPr>
      </w:pPr>
      <w:r>
        <w:rPr>
          <w:rFonts w:hint="eastAsia" w:ascii="宋体" w:hAnsi="宋体"/>
          <w:sz w:val="24"/>
          <w:szCs w:val="24"/>
        </w:rPr>
        <w:t>4)通过工具将运维服务资源配置进行统计，具备查询，更改，保存的配置管理过程。</w:t>
      </w:r>
    </w:p>
    <w:p>
      <w:pPr>
        <w:spacing w:line="360" w:lineRule="auto"/>
        <w:ind w:firstLine="480" w:firstLineChars="200"/>
        <w:rPr>
          <w:rFonts w:ascii="宋体" w:hAnsi="宋体"/>
          <w:sz w:val="24"/>
          <w:szCs w:val="24"/>
        </w:rPr>
      </w:pPr>
      <w:r>
        <w:rPr>
          <w:rFonts w:hint="eastAsia" w:ascii="宋体" w:hAnsi="宋体"/>
          <w:sz w:val="24"/>
          <w:szCs w:val="24"/>
        </w:rPr>
        <w:t>5)具有变更管理流程，能够在日常的运维过程中控制风险，起到了一定的作用。</w:t>
      </w:r>
    </w:p>
    <w:p>
      <w:pPr>
        <w:spacing w:line="360" w:lineRule="auto"/>
        <w:ind w:firstLine="480" w:firstLineChars="200"/>
        <w:rPr>
          <w:rFonts w:ascii="宋体" w:hAnsi="宋体"/>
          <w:sz w:val="24"/>
          <w:szCs w:val="24"/>
        </w:rPr>
      </w:pPr>
      <w:r>
        <w:rPr>
          <w:rFonts w:hint="eastAsia" w:ascii="宋体" w:hAnsi="宋体"/>
          <w:sz w:val="24"/>
          <w:szCs w:val="24"/>
        </w:rPr>
        <w:t>6)具有发布管理流程，能够与变更管理流程进行配合，对发布进行控制。</w:t>
      </w:r>
    </w:p>
    <w:p>
      <w:pPr>
        <w:spacing w:line="360" w:lineRule="auto"/>
        <w:ind w:firstLine="480" w:firstLineChars="200"/>
        <w:rPr>
          <w:rFonts w:ascii="宋体" w:hAnsi="宋体"/>
          <w:sz w:val="24"/>
          <w:szCs w:val="24"/>
        </w:rPr>
      </w:pPr>
      <w:r>
        <w:rPr>
          <w:rFonts w:hint="eastAsia" w:ascii="宋体" w:hAnsi="宋体"/>
          <w:sz w:val="24"/>
          <w:szCs w:val="24"/>
        </w:rPr>
        <w:t>7)通过安全管理制度将系统的配置变更过程予以控制，实现配置变更的申请、评估、审核、实施、确认、回访等机制。</w:t>
      </w:r>
    </w:p>
    <w:p>
      <w:pPr>
        <w:spacing w:line="360" w:lineRule="auto"/>
        <w:ind w:firstLine="482" w:firstLineChars="200"/>
        <w:rPr>
          <w:rFonts w:ascii="宋体" w:hAnsi="宋体"/>
          <w:b/>
          <w:sz w:val="24"/>
          <w:szCs w:val="24"/>
        </w:rPr>
      </w:pPr>
      <w:r>
        <w:rPr>
          <w:rFonts w:ascii="宋体" w:hAnsi="宋体"/>
          <w:b/>
          <w:sz w:val="24"/>
          <w:szCs w:val="24"/>
        </w:rPr>
        <w:t>差距分析</w:t>
      </w:r>
    </w:p>
    <w:p>
      <w:pPr>
        <w:spacing w:line="360" w:lineRule="auto"/>
        <w:ind w:firstLine="480" w:firstLineChars="200"/>
        <w:rPr>
          <w:rFonts w:ascii="宋体" w:hAnsi="宋体"/>
          <w:sz w:val="24"/>
          <w:szCs w:val="24"/>
        </w:rPr>
      </w:pPr>
      <w:r>
        <w:rPr>
          <w:rFonts w:hint="eastAsia" w:ascii="宋体" w:hAnsi="宋体"/>
          <w:sz w:val="24"/>
          <w:szCs w:val="24"/>
        </w:rPr>
        <w:t>在运维过程控制方面，公司虽然具备以上能力，但明显存在以下几个方面的不足：</w:t>
      </w:r>
    </w:p>
    <w:p>
      <w:pPr>
        <w:spacing w:line="360" w:lineRule="auto"/>
        <w:ind w:firstLine="480" w:firstLineChars="200"/>
        <w:rPr>
          <w:rFonts w:ascii="宋体" w:hAnsi="宋体"/>
          <w:sz w:val="24"/>
          <w:szCs w:val="24"/>
        </w:rPr>
      </w:pPr>
      <w:r>
        <w:rPr>
          <w:rFonts w:hint="eastAsia" w:ascii="宋体" w:hAnsi="宋体"/>
          <w:sz w:val="24"/>
          <w:szCs w:val="24"/>
        </w:rPr>
        <w:t>（1）缺乏所有运维流程的推行落地，严格控制公司运维服务过程。</w:t>
      </w:r>
    </w:p>
    <w:p>
      <w:pPr>
        <w:spacing w:line="360" w:lineRule="auto"/>
        <w:ind w:firstLine="480" w:firstLineChars="200"/>
        <w:rPr>
          <w:rFonts w:ascii="宋体" w:hAnsi="宋体"/>
          <w:sz w:val="24"/>
          <w:szCs w:val="24"/>
        </w:rPr>
      </w:pPr>
      <w:r>
        <w:rPr>
          <w:rFonts w:hint="eastAsia" w:ascii="宋体" w:hAnsi="宋体"/>
          <w:sz w:val="24"/>
          <w:szCs w:val="24"/>
        </w:rPr>
        <w:t>（2）服务级别未能有效清晰的予以界定，包含同用户的合同签订方面，还缺乏同用户的SLA的明确的定义，对用户的服务改进也未能在服务报告中予以体现；</w:t>
      </w:r>
    </w:p>
    <w:p>
      <w:pPr>
        <w:spacing w:line="360" w:lineRule="auto"/>
        <w:ind w:firstLine="480" w:firstLineChars="200"/>
        <w:rPr>
          <w:rFonts w:ascii="宋体" w:hAnsi="宋体"/>
          <w:sz w:val="24"/>
          <w:szCs w:val="24"/>
        </w:rPr>
      </w:pPr>
      <w:r>
        <w:rPr>
          <w:rFonts w:hint="eastAsia" w:ascii="宋体" w:hAnsi="宋体"/>
          <w:sz w:val="24"/>
          <w:szCs w:val="24"/>
        </w:rPr>
        <w:t>（3）针对有需求的用户我们提交了服务报告，但对未要求的用户未能提供；</w:t>
      </w:r>
    </w:p>
    <w:p>
      <w:pPr>
        <w:spacing w:line="360" w:lineRule="auto"/>
        <w:ind w:firstLine="480" w:firstLineChars="200"/>
        <w:rPr>
          <w:rFonts w:ascii="宋体" w:hAnsi="宋体"/>
          <w:sz w:val="24"/>
          <w:szCs w:val="24"/>
        </w:rPr>
      </w:pPr>
      <w:r>
        <w:rPr>
          <w:rFonts w:hint="eastAsia" w:ascii="宋体" w:hAnsi="宋体"/>
          <w:sz w:val="24"/>
          <w:szCs w:val="24"/>
        </w:rPr>
        <w:t>（4）在配置管理上，未能将配置数据库中相关信息予以关联，同时，数据库的更新也不能通过工具予以有效控制，配置管理人员存在疏忽而忘记修改配置信息的可能，对配置的审核也缺乏相应的机制。</w:t>
      </w:r>
    </w:p>
    <w:p>
      <w:pPr>
        <w:spacing w:line="360" w:lineRule="auto"/>
        <w:ind w:firstLine="480" w:firstLineChars="200"/>
        <w:rPr>
          <w:rFonts w:ascii="宋体" w:hAnsi="宋体"/>
          <w:sz w:val="24"/>
          <w:szCs w:val="24"/>
        </w:rPr>
      </w:pPr>
      <w:r>
        <w:rPr>
          <w:rFonts w:hint="eastAsia" w:ascii="宋体" w:hAnsi="宋体"/>
          <w:sz w:val="24"/>
          <w:szCs w:val="24"/>
        </w:rPr>
        <w:t>以上问题需要通过过程管理工具强化管理予以改进。</w:t>
      </w:r>
    </w:p>
    <w:p>
      <w:pPr>
        <w:pStyle w:val="2"/>
        <w:pageBreakBefore/>
        <w:spacing w:before="120" w:after="120" w:line="360" w:lineRule="auto"/>
        <w:ind w:left="492" w:hanging="492" w:hangingChars="204"/>
        <w:rPr>
          <w:rFonts w:ascii="宋体" w:hAnsi="宋体" w:cs="宋体"/>
          <w:sz w:val="24"/>
          <w:szCs w:val="24"/>
          <w:lang w:val="en-GB"/>
        </w:rPr>
      </w:pPr>
      <w:bookmarkStart w:id="14" w:name="_Toc7203"/>
      <w:r>
        <w:rPr>
          <w:rFonts w:hint="eastAsia" w:ascii="宋体" w:hAnsi="宋体" w:eastAsia="宋体" w:cs="宋体"/>
          <w:sz w:val="24"/>
          <w:szCs w:val="24"/>
          <w:lang w:val="en-GB"/>
        </w:rPr>
        <w:t>IT服务能力管理计划</w:t>
      </w:r>
      <w:bookmarkEnd w:id="8"/>
      <w:bookmarkEnd w:id="14"/>
    </w:p>
    <w:p>
      <w:pPr>
        <w:spacing w:line="360" w:lineRule="auto"/>
        <w:ind w:firstLine="480" w:firstLineChars="200"/>
        <w:rPr>
          <w:rFonts w:ascii="宋体" w:hAnsi="宋体"/>
          <w:sz w:val="24"/>
          <w:szCs w:val="24"/>
        </w:rPr>
      </w:pPr>
      <w:r>
        <w:rPr>
          <w:rFonts w:hint="eastAsia" w:ascii="宋体" w:hAnsi="宋体"/>
          <w:sz w:val="24"/>
          <w:szCs w:val="24"/>
        </w:rPr>
        <w:t>201</w:t>
      </w:r>
      <w:r>
        <w:rPr>
          <w:rFonts w:ascii="宋体" w:hAnsi="宋体"/>
          <w:sz w:val="24"/>
          <w:szCs w:val="24"/>
        </w:rPr>
        <w:t>9</w:t>
      </w:r>
      <w:r>
        <w:rPr>
          <w:rFonts w:hint="eastAsia" w:ascii="宋体" w:hAnsi="宋体"/>
          <w:sz w:val="24"/>
          <w:szCs w:val="24"/>
        </w:rPr>
        <w:t xml:space="preserve">年九邮信息IT服务能力管理计划包括人力资源管理计划、IT服务资源管理计划、技术研发计划、服务过程管理计划和IT服务管理系统改进计划。 </w:t>
      </w:r>
    </w:p>
    <w:p>
      <w:pPr>
        <w:pStyle w:val="3"/>
        <w:spacing w:before="120" w:after="120" w:line="360" w:lineRule="auto"/>
        <w:ind w:left="663" w:hanging="663" w:hangingChars="275"/>
        <w:rPr>
          <w:rFonts w:ascii="宋体" w:hAnsi="宋体" w:cs="宋体"/>
          <w:szCs w:val="24"/>
        </w:rPr>
      </w:pPr>
      <w:bookmarkStart w:id="15" w:name="_Toc472596548"/>
      <w:bookmarkStart w:id="16" w:name="_Toc22485"/>
      <w:r>
        <w:rPr>
          <w:rFonts w:hint="eastAsia" w:ascii="宋体" w:hAnsi="宋体" w:eastAsia="宋体" w:cs="宋体"/>
          <w:szCs w:val="24"/>
        </w:rPr>
        <w:t>运维能力总体计划</w:t>
      </w:r>
      <w:bookmarkEnd w:id="15"/>
      <w:bookmarkEnd w:id="16"/>
    </w:p>
    <w:p>
      <w:pPr>
        <w:spacing w:line="360" w:lineRule="auto"/>
        <w:ind w:firstLine="480" w:firstLineChars="200"/>
        <w:rPr>
          <w:rFonts w:ascii="宋体" w:hAnsi="宋体"/>
          <w:sz w:val="24"/>
          <w:szCs w:val="24"/>
        </w:rPr>
      </w:pPr>
      <w:r>
        <w:rPr>
          <w:rFonts w:hint="eastAsia" w:ascii="宋体" w:hAnsi="宋体"/>
          <w:sz w:val="24"/>
          <w:szCs w:val="24"/>
        </w:rPr>
        <w:t>201</w:t>
      </w:r>
      <w:r>
        <w:rPr>
          <w:rFonts w:ascii="宋体" w:hAnsi="宋体"/>
          <w:sz w:val="24"/>
          <w:szCs w:val="24"/>
        </w:rPr>
        <w:t>9</w:t>
      </w:r>
      <w:r>
        <w:rPr>
          <w:rFonts w:hint="eastAsia" w:ascii="宋体" w:hAnsi="宋体"/>
          <w:sz w:val="24"/>
          <w:szCs w:val="24"/>
        </w:rPr>
        <w:t>年的运维能力总体管理计划如下：</w:t>
      </w:r>
    </w:p>
    <w:tbl>
      <w:tblPr>
        <w:tblStyle w:val="43"/>
        <w:tblW w:w="8569" w:type="dxa"/>
        <w:tblInd w:w="93" w:type="dxa"/>
        <w:tblLayout w:type="fixed"/>
        <w:tblCellMar>
          <w:top w:w="0" w:type="dxa"/>
          <w:left w:w="108" w:type="dxa"/>
          <w:bottom w:w="0" w:type="dxa"/>
          <w:right w:w="108" w:type="dxa"/>
        </w:tblCellMar>
      </w:tblPr>
      <w:tblGrid>
        <w:gridCol w:w="1457"/>
        <w:gridCol w:w="5087"/>
        <w:gridCol w:w="2025"/>
      </w:tblGrid>
      <w:tr>
        <w:tblPrEx>
          <w:tblCellMar>
            <w:top w:w="0" w:type="dxa"/>
            <w:left w:w="108" w:type="dxa"/>
            <w:bottom w:w="0" w:type="dxa"/>
            <w:right w:w="108" w:type="dxa"/>
          </w:tblCellMar>
        </w:tblPrEx>
        <w:trPr>
          <w:trHeight w:val="285" w:hRule="atLeast"/>
          <w:tblHeader/>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事项</w:t>
            </w:r>
          </w:p>
        </w:tc>
        <w:tc>
          <w:tcPr>
            <w:tcW w:w="5087"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描述</w:t>
            </w:r>
          </w:p>
        </w:tc>
        <w:tc>
          <w:tcPr>
            <w:tcW w:w="2025"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完成时间（月）</w:t>
            </w:r>
          </w:p>
        </w:tc>
      </w:tr>
      <w:tr>
        <w:tblPrEx>
          <w:tblCellMar>
            <w:top w:w="0" w:type="dxa"/>
            <w:left w:w="108" w:type="dxa"/>
            <w:bottom w:w="0" w:type="dxa"/>
            <w:right w:w="108" w:type="dxa"/>
          </w:tblCellMar>
        </w:tblPrEx>
        <w:trPr>
          <w:trHeight w:val="570" w:hRule="atLeast"/>
        </w:trPr>
        <w:tc>
          <w:tcPr>
            <w:tcW w:w="1457" w:type="dxa"/>
            <w:vMerge w:val="restart"/>
            <w:tcBorders>
              <w:top w:val="nil"/>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规划</w:t>
            </w:r>
          </w:p>
        </w:tc>
        <w:tc>
          <w:tcPr>
            <w:tcW w:w="5087" w:type="dxa"/>
            <w:tcBorders>
              <w:top w:val="nil"/>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强化服务管理计划制定的阶段性工作的标识与管理，防止脱节现象发生</w:t>
            </w:r>
          </w:p>
        </w:tc>
        <w:tc>
          <w:tcPr>
            <w:tcW w:w="2025"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1</w:t>
            </w:r>
          </w:p>
        </w:tc>
      </w:tr>
      <w:tr>
        <w:tblPrEx>
          <w:tblCellMar>
            <w:top w:w="0" w:type="dxa"/>
            <w:left w:w="108" w:type="dxa"/>
            <w:bottom w:w="0" w:type="dxa"/>
            <w:right w:w="108" w:type="dxa"/>
          </w:tblCellMar>
        </w:tblPrEx>
        <w:trPr>
          <w:trHeight w:val="570" w:hRule="atLeast"/>
        </w:trPr>
        <w:tc>
          <w:tcPr>
            <w:tcW w:w="1457" w:type="dxa"/>
            <w:vMerge w:val="continue"/>
            <w:tcBorders>
              <w:top w:val="nil"/>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p>
        </w:tc>
        <w:tc>
          <w:tcPr>
            <w:tcW w:w="5087" w:type="dxa"/>
            <w:tcBorders>
              <w:top w:val="nil"/>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加强公司的运维能力管理计划的制定与管理，提高计划的可执行性</w:t>
            </w:r>
          </w:p>
        </w:tc>
        <w:tc>
          <w:tcPr>
            <w:tcW w:w="2025"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1</w:t>
            </w:r>
          </w:p>
        </w:tc>
      </w:tr>
      <w:tr>
        <w:tblPrEx>
          <w:tblCellMar>
            <w:top w:w="0" w:type="dxa"/>
            <w:left w:w="108" w:type="dxa"/>
            <w:bottom w:w="0" w:type="dxa"/>
            <w:right w:w="108" w:type="dxa"/>
          </w:tblCellMar>
        </w:tblPrEx>
        <w:trPr>
          <w:trHeight w:val="570" w:hRule="atLeast"/>
        </w:trPr>
        <w:tc>
          <w:tcPr>
            <w:tcW w:w="1457" w:type="dxa"/>
            <w:vMerge w:val="continue"/>
            <w:tcBorders>
              <w:top w:val="nil"/>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p>
        </w:tc>
        <w:tc>
          <w:tcPr>
            <w:tcW w:w="5087" w:type="dxa"/>
            <w:tcBorders>
              <w:top w:val="nil"/>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健全运维服务能力策划内容，强化策划方面的组织管理与内容描述</w:t>
            </w:r>
          </w:p>
        </w:tc>
        <w:tc>
          <w:tcPr>
            <w:tcW w:w="2025"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1</w:t>
            </w:r>
          </w:p>
        </w:tc>
      </w:tr>
      <w:tr>
        <w:tblPrEx>
          <w:tblCellMar>
            <w:top w:w="0" w:type="dxa"/>
            <w:left w:w="108" w:type="dxa"/>
            <w:bottom w:w="0" w:type="dxa"/>
            <w:right w:w="108" w:type="dxa"/>
          </w:tblCellMar>
        </w:tblPrEx>
        <w:trPr>
          <w:trHeight w:val="810" w:hRule="atLeast"/>
        </w:trPr>
        <w:tc>
          <w:tcPr>
            <w:tcW w:w="1457" w:type="dxa"/>
            <w:vMerge w:val="continue"/>
            <w:tcBorders>
              <w:top w:val="nil"/>
              <w:left w:val="single" w:color="auto" w:sz="4" w:space="0"/>
              <w:bottom w:val="single" w:color="auto" w:sz="4" w:space="0"/>
              <w:right w:val="single" w:color="auto" w:sz="4" w:space="0"/>
            </w:tcBorders>
            <w:vAlign w:val="center"/>
          </w:tcPr>
          <w:p>
            <w:pPr>
              <w:rPr>
                <w:rFonts w:ascii="宋体" w:hAnsi="宋体" w:cs="宋体"/>
                <w:b/>
                <w:bCs/>
                <w:sz w:val="24"/>
                <w:szCs w:val="24"/>
              </w:rPr>
            </w:pPr>
          </w:p>
        </w:tc>
        <w:tc>
          <w:tcPr>
            <w:tcW w:w="5087" w:type="dxa"/>
            <w:tcBorders>
              <w:top w:val="nil"/>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制定2019年服务质量管理计划、审核与改进系列文件</w:t>
            </w:r>
          </w:p>
        </w:tc>
        <w:tc>
          <w:tcPr>
            <w:tcW w:w="2025"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1</w:t>
            </w:r>
          </w:p>
        </w:tc>
      </w:tr>
      <w:tr>
        <w:tblPrEx>
          <w:tblCellMar>
            <w:top w:w="0" w:type="dxa"/>
            <w:left w:w="108" w:type="dxa"/>
            <w:bottom w:w="0" w:type="dxa"/>
            <w:right w:w="108" w:type="dxa"/>
          </w:tblCellMar>
        </w:tblPrEx>
        <w:trPr>
          <w:trHeight w:val="540" w:hRule="atLeast"/>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实施</w:t>
            </w:r>
          </w:p>
        </w:tc>
        <w:tc>
          <w:tcPr>
            <w:tcW w:w="5087" w:type="dxa"/>
            <w:tcBorders>
              <w:top w:val="nil"/>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强化公司运维服务能力管理的实施机制与保障体系，确保计划的有序落实</w:t>
            </w:r>
          </w:p>
        </w:tc>
        <w:tc>
          <w:tcPr>
            <w:tcW w:w="2025"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12</w:t>
            </w:r>
          </w:p>
        </w:tc>
      </w:tr>
      <w:tr>
        <w:tblPrEx>
          <w:tblCellMar>
            <w:top w:w="0" w:type="dxa"/>
            <w:left w:w="108" w:type="dxa"/>
            <w:bottom w:w="0" w:type="dxa"/>
            <w:right w:w="108" w:type="dxa"/>
          </w:tblCellMar>
        </w:tblPrEx>
        <w:trPr>
          <w:trHeight w:val="540" w:hRule="atLeast"/>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监控</w:t>
            </w:r>
          </w:p>
        </w:tc>
        <w:tc>
          <w:tcPr>
            <w:tcW w:w="5087" w:type="dxa"/>
            <w:tcBorders>
              <w:top w:val="nil"/>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依据ITSS管理要求，全面检查过程设计文件，健全并完善过程文件，并发布应用</w:t>
            </w:r>
          </w:p>
        </w:tc>
        <w:tc>
          <w:tcPr>
            <w:tcW w:w="2025"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12</w:t>
            </w:r>
          </w:p>
        </w:tc>
      </w:tr>
      <w:tr>
        <w:tblPrEx>
          <w:tblCellMar>
            <w:top w:w="0" w:type="dxa"/>
            <w:left w:w="108" w:type="dxa"/>
            <w:bottom w:w="0" w:type="dxa"/>
            <w:right w:w="108" w:type="dxa"/>
          </w:tblCellMar>
        </w:tblPrEx>
        <w:trPr>
          <w:trHeight w:val="540" w:hRule="atLeast"/>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改进</w:t>
            </w:r>
          </w:p>
        </w:tc>
        <w:tc>
          <w:tcPr>
            <w:tcW w:w="5087" w:type="dxa"/>
            <w:tcBorders>
              <w:top w:val="nil"/>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强化服务改进机制，落实并跟踪服务改进计划</w:t>
            </w:r>
          </w:p>
        </w:tc>
        <w:tc>
          <w:tcPr>
            <w:tcW w:w="2025"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2</w:t>
            </w:r>
          </w:p>
        </w:tc>
      </w:tr>
    </w:tbl>
    <w:p>
      <w:pPr>
        <w:ind w:left="773"/>
        <w:rPr>
          <w:rFonts w:ascii="宋体" w:hAnsi="宋体" w:cs="宋体"/>
          <w:sz w:val="24"/>
          <w:szCs w:val="24"/>
        </w:rPr>
      </w:pPr>
    </w:p>
    <w:p>
      <w:pPr>
        <w:spacing w:line="360" w:lineRule="auto"/>
        <w:ind w:firstLine="480" w:firstLineChars="200"/>
        <w:rPr>
          <w:rFonts w:ascii="宋体" w:hAnsi="宋体"/>
          <w:sz w:val="24"/>
          <w:szCs w:val="24"/>
        </w:rPr>
      </w:pPr>
      <w:r>
        <w:rPr>
          <w:rFonts w:hint="eastAsia" w:ascii="宋体" w:hAnsi="宋体"/>
          <w:sz w:val="24"/>
          <w:szCs w:val="24"/>
        </w:rPr>
        <w:t>详细计划见各服务管理计划。</w:t>
      </w:r>
    </w:p>
    <w:p>
      <w:pPr>
        <w:pStyle w:val="3"/>
        <w:spacing w:before="120" w:after="120" w:line="360" w:lineRule="auto"/>
        <w:ind w:left="663" w:hanging="663" w:hangingChars="275"/>
        <w:rPr>
          <w:rFonts w:ascii="宋体" w:hAnsi="宋体" w:cs="宋体"/>
          <w:szCs w:val="24"/>
        </w:rPr>
      </w:pPr>
      <w:bookmarkStart w:id="17" w:name="_Toc472596549"/>
      <w:bookmarkStart w:id="18" w:name="_Toc19363"/>
      <w:r>
        <w:rPr>
          <w:rFonts w:hint="eastAsia" w:ascii="宋体" w:hAnsi="宋体" w:eastAsia="宋体" w:cs="宋体"/>
          <w:szCs w:val="24"/>
        </w:rPr>
        <w:t>人力资源计划</w:t>
      </w:r>
      <w:bookmarkEnd w:id="17"/>
      <w:bookmarkEnd w:id="18"/>
    </w:p>
    <w:p>
      <w:pPr>
        <w:spacing w:line="360" w:lineRule="auto"/>
        <w:ind w:firstLine="482" w:firstLineChars="200"/>
        <w:rPr>
          <w:rFonts w:ascii="宋体" w:hAnsi="宋体"/>
          <w:b/>
          <w:sz w:val="24"/>
          <w:szCs w:val="24"/>
        </w:rPr>
      </w:pPr>
      <w:r>
        <w:rPr>
          <w:rFonts w:ascii="宋体" w:hAnsi="宋体"/>
          <w:b/>
          <w:sz w:val="24"/>
          <w:szCs w:val="24"/>
        </w:rPr>
        <w:t>人员招聘计划</w:t>
      </w:r>
    </w:p>
    <w:p>
      <w:pPr>
        <w:spacing w:line="360" w:lineRule="auto"/>
        <w:ind w:firstLine="480" w:firstLineChars="200"/>
        <w:rPr>
          <w:rFonts w:ascii="宋体" w:hAnsi="宋体"/>
          <w:sz w:val="24"/>
          <w:szCs w:val="24"/>
        </w:rPr>
      </w:pPr>
      <w:r>
        <w:rPr>
          <w:rFonts w:hint="eastAsia" w:ascii="宋体" w:hAnsi="宋体"/>
          <w:sz w:val="24"/>
          <w:szCs w:val="24"/>
        </w:rPr>
        <w:t>根据201</w:t>
      </w:r>
      <w:r>
        <w:rPr>
          <w:rFonts w:ascii="宋体" w:hAnsi="宋体"/>
          <w:sz w:val="24"/>
          <w:szCs w:val="24"/>
        </w:rPr>
        <w:t>8</w:t>
      </w:r>
      <w:r>
        <w:rPr>
          <w:rFonts w:hint="eastAsia" w:ascii="宋体" w:hAnsi="宋体"/>
          <w:sz w:val="24"/>
          <w:szCs w:val="24"/>
        </w:rPr>
        <w:t>年IT运维服务业务发展要求，结合服务项目种类、分布要求，每个项目都有服务工程师，保证满足客户服务合同SLA要求。每个服务项目由具有合格资质的工程师提供技术支持。人员储备率10%，以保证必要时有充足的技术支持人员，满足服务项目SLA的要求。</w:t>
      </w:r>
    </w:p>
    <w:p>
      <w:pPr>
        <w:spacing w:line="360" w:lineRule="auto"/>
        <w:ind w:firstLine="480" w:firstLineChars="200"/>
        <w:rPr>
          <w:rFonts w:ascii="宋体" w:hAnsi="宋体"/>
          <w:sz w:val="24"/>
          <w:szCs w:val="24"/>
        </w:rPr>
      </w:pPr>
      <w:r>
        <w:rPr>
          <w:rFonts w:hint="eastAsia" w:ascii="宋体" w:hAnsi="宋体"/>
          <w:sz w:val="24"/>
          <w:szCs w:val="24"/>
        </w:rPr>
        <w:t>根据201</w:t>
      </w:r>
      <w:r>
        <w:rPr>
          <w:rFonts w:ascii="宋体" w:hAnsi="宋体"/>
          <w:sz w:val="24"/>
          <w:szCs w:val="24"/>
        </w:rPr>
        <w:t>9</w:t>
      </w:r>
      <w:r>
        <w:rPr>
          <w:rFonts w:hint="eastAsia" w:ascii="宋体" w:hAnsi="宋体"/>
          <w:sz w:val="24"/>
          <w:szCs w:val="24"/>
        </w:rPr>
        <w:t>年IT服务人员储备率10%的要求，在技术人员需招聘2人，其中技术支持岗1人、操作岗1人，并储备</w:t>
      </w:r>
      <w:r>
        <w:rPr>
          <w:rFonts w:ascii="宋体" w:hAnsi="宋体"/>
          <w:sz w:val="24"/>
          <w:szCs w:val="24"/>
        </w:rPr>
        <w:t>1</w:t>
      </w:r>
      <w:r>
        <w:rPr>
          <w:rFonts w:hint="eastAsia" w:ascii="宋体" w:hAnsi="宋体"/>
          <w:sz w:val="24"/>
          <w:szCs w:val="24"/>
        </w:rPr>
        <w:t>人，为技术支持岗。</w:t>
      </w:r>
    </w:p>
    <w:p>
      <w:pPr>
        <w:spacing w:line="360" w:lineRule="auto"/>
        <w:ind w:firstLine="480" w:firstLineChars="200"/>
        <w:rPr>
          <w:rFonts w:ascii="宋体" w:hAnsi="宋体"/>
          <w:sz w:val="24"/>
          <w:szCs w:val="24"/>
        </w:rPr>
      </w:pPr>
      <w:r>
        <w:rPr>
          <w:rFonts w:hint="eastAsia" w:ascii="宋体" w:hAnsi="宋体"/>
          <w:sz w:val="24"/>
          <w:szCs w:val="24"/>
        </w:rPr>
        <w:t>公司根据储备要求特制定2019年招聘计划:</w:t>
      </w:r>
    </w:p>
    <w:tbl>
      <w:tblPr>
        <w:tblStyle w:val="43"/>
        <w:tblW w:w="8906" w:type="dxa"/>
        <w:tblInd w:w="0" w:type="dxa"/>
        <w:tblLayout w:type="fixed"/>
        <w:tblCellMar>
          <w:top w:w="0" w:type="dxa"/>
          <w:left w:w="108" w:type="dxa"/>
          <w:bottom w:w="0" w:type="dxa"/>
          <w:right w:w="108" w:type="dxa"/>
        </w:tblCellMar>
      </w:tblPr>
      <w:tblGrid>
        <w:gridCol w:w="1951"/>
        <w:gridCol w:w="1610"/>
        <w:gridCol w:w="1780"/>
        <w:gridCol w:w="1780"/>
        <w:gridCol w:w="1785"/>
      </w:tblGrid>
      <w:tr>
        <w:tblPrEx>
          <w:tblCellMar>
            <w:top w:w="0" w:type="dxa"/>
            <w:left w:w="108" w:type="dxa"/>
            <w:bottom w:w="0" w:type="dxa"/>
            <w:right w:w="108" w:type="dxa"/>
          </w:tblCellMar>
        </w:tblPrEx>
        <w:trPr>
          <w:trHeight w:val="450" w:hRule="atLeast"/>
        </w:trPr>
        <w:tc>
          <w:tcPr>
            <w:tcW w:w="1951" w:type="dxa"/>
            <w:tcBorders>
              <w:top w:val="single" w:color="auto" w:sz="8" w:space="0"/>
              <w:left w:val="single" w:color="auto" w:sz="8"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招聘岗位</w:t>
            </w:r>
          </w:p>
        </w:tc>
        <w:tc>
          <w:tcPr>
            <w:tcW w:w="1610" w:type="dxa"/>
            <w:tcBorders>
              <w:top w:val="single" w:color="auto" w:sz="8"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第一季度</w:t>
            </w:r>
          </w:p>
        </w:tc>
        <w:tc>
          <w:tcPr>
            <w:tcW w:w="1780" w:type="dxa"/>
            <w:tcBorders>
              <w:top w:val="single" w:color="auto" w:sz="8"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第二季度</w:t>
            </w:r>
          </w:p>
        </w:tc>
        <w:tc>
          <w:tcPr>
            <w:tcW w:w="1780" w:type="dxa"/>
            <w:tcBorders>
              <w:top w:val="single" w:color="auto" w:sz="8"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第三季度</w:t>
            </w:r>
          </w:p>
        </w:tc>
        <w:tc>
          <w:tcPr>
            <w:tcW w:w="1785" w:type="dxa"/>
            <w:tcBorders>
              <w:top w:val="single" w:color="auto" w:sz="8" w:space="0"/>
              <w:left w:val="nil"/>
              <w:bottom w:val="single" w:color="auto" w:sz="4" w:space="0"/>
              <w:right w:val="single" w:color="auto" w:sz="8"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第四季度</w:t>
            </w:r>
          </w:p>
        </w:tc>
      </w:tr>
      <w:tr>
        <w:tblPrEx>
          <w:tblCellMar>
            <w:top w:w="0" w:type="dxa"/>
            <w:left w:w="108" w:type="dxa"/>
            <w:bottom w:w="0" w:type="dxa"/>
            <w:right w:w="108" w:type="dxa"/>
          </w:tblCellMar>
        </w:tblPrEx>
        <w:trPr>
          <w:trHeight w:val="495" w:hRule="atLeast"/>
        </w:trPr>
        <w:tc>
          <w:tcPr>
            <w:tcW w:w="1951" w:type="dxa"/>
            <w:tcBorders>
              <w:top w:val="nil"/>
              <w:left w:val="single" w:color="auto" w:sz="8" w:space="0"/>
              <w:bottom w:val="single" w:color="auto" w:sz="4" w:space="0"/>
              <w:right w:val="single" w:color="auto" w:sz="4" w:space="0"/>
            </w:tcBorders>
            <w:shd w:val="clear" w:color="auto" w:fill="auto"/>
            <w:vAlign w:val="center"/>
          </w:tcPr>
          <w:p>
            <w:pPr>
              <w:jc w:val="center"/>
              <w:rPr>
                <w:rFonts w:ascii="宋体" w:hAnsi="宋体" w:eastAsia="宋体" w:cs="宋体"/>
                <w:b/>
                <w:bCs/>
                <w:sz w:val="24"/>
                <w:szCs w:val="24"/>
              </w:rPr>
            </w:pPr>
            <w:r>
              <w:rPr>
                <w:rFonts w:hint="eastAsia" w:ascii="宋体" w:hAnsi="宋体" w:eastAsia="宋体" w:cs="宋体"/>
                <w:b/>
                <w:bCs/>
                <w:sz w:val="24"/>
                <w:szCs w:val="24"/>
              </w:rPr>
              <w:t>操作岗</w:t>
            </w:r>
          </w:p>
          <w:p>
            <w:pPr>
              <w:jc w:val="center"/>
              <w:rPr>
                <w:rFonts w:ascii="宋体" w:hAnsi="宋体" w:eastAsia="宋体" w:cs="宋体"/>
                <w:b/>
                <w:bCs/>
                <w:sz w:val="24"/>
                <w:szCs w:val="24"/>
              </w:rPr>
            </w:pPr>
            <w:r>
              <w:rPr>
                <w:rFonts w:hint="eastAsia" w:ascii="宋体" w:hAnsi="宋体" w:eastAsia="宋体" w:cs="宋体"/>
                <w:b/>
                <w:bCs/>
                <w:sz w:val="24"/>
                <w:szCs w:val="24"/>
              </w:rPr>
              <w:t>（初级运维工程师）</w:t>
            </w:r>
          </w:p>
        </w:tc>
        <w:tc>
          <w:tcPr>
            <w:tcW w:w="161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ascii="宋体" w:hAnsi="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cs="宋体"/>
                <w:sz w:val="24"/>
                <w:szCs w:val="24"/>
              </w:rPr>
              <w:t>1</w:t>
            </w:r>
          </w:p>
        </w:tc>
        <w:tc>
          <w:tcPr>
            <w:tcW w:w="1785" w:type="dxa"/>
            <w:tcBorders>
              <w:top w:val="nil"/>
              <w:left w:val="nil"/>
              <w:bottom w:val="single" w:color="auto" w:sz="4" w:space="0"/>
              <w:right w:val="single" w:color="auto" w:sz="8" w:space="0"/>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r>
        <w:tblPrEx>
          <w:tblCellMar>
            <w:top w:w="0" w:type="dxa"/>
            <w:left w:w="108" w:type="dxa"/>
            <w:bottom w:w="0" w:type="dxa"/>
            <w:right w:w="108" w:type="dxa"/>
          </w:tblCellMar>
        </w:tblPrEx>
        <w:trPr>
          <w:trHeight w:val="155" w:hRule="atLeast"/>
        </w:trPr>
        <w:tc>
          <w:tcPr>
            <w:tcW w:w="1951" w:type="dxa"/>
            <w:tcBorders>
              <w:top w:val="nil"/>
              <w:left w:val="single" w:color="auto" w:sz="8" w:space="0"/>
              <w:bottom w:val="single" w:color="auto" w:sz="8" w:space="0"/>
              <w:right w:val="single" w:color="auto" w:sz="4" w:space="0"/>
            </w:tcBorders>
            <w:shd w:val="clear" w:color="auto" w:fill="auto"/>
            <w:vAlign w:val="center"/>
          </w:tcPr>
          <w:p>
            <w:pPr>
              <w:jc w:val="center"/>
              <w:rPr>
                <w:rFonts w:ascii="宋体" w:hAnsi="宋体" w:eastAsia="宋体" w:cs="宋体"/>
                <w:b/>
                <w:bCs/>
                <w:sz w:val="24"/>
                <w:szCs w:val="24"/>
              </w:rPr>
            </w:pPr>
            <w:r>
              <w:rPr>
                <w:rFonts w:hint="eastAsia" w:ascii="宋体" w:hAnsi="宋体" w:eastAsia="宋体" w:cs="宋体"/>
                <w:b/>
                <w:bCs/>
                <w:sz w:val="24"/>
                <w:szCs w:val="24"/>
              </w:rPr>
              <w:t>技术支持岗</w:t>
            </w:r>
          </w:p>
          <w:p>
            <w:pPr>
              <w:jc w:val="center"/>
              <w:rPr>
                <w:rFonts w:ascii="宋体" w:hAnsi="宋体" w:eastAsia="宋体" w:cs="宋体"/>
                <w:b/>
                <w:bCs/>
                <w:sz w:val="24"/>
                <w:szCs w:val="24"/>
              </w:rPr>
            </w:pPr>
            <w:r>
              <w:rPr>
                <w:rFonts w:hint="eastAsia" w:ascii="宋体" w:hAnsi="宋体" w:eastAsia="宋体" w:cs="宋体"/>
                <w:b/>
                <w:bCs/>
                <w:sz w:val="24"/>
                <w:szCs w:val="24"/>
              </w:rPr>
              <w:t>（高级运维工程师）</w:t>
            </w:r>
          </w:p>
        </w:tc>
        <w:tc>
          <w:tcPr>
            <w:tcW w:w="1610" w:type="dxa"/>
            <w:tcBorders>
              <w:top w:val="nil"/>
              <w:left w:val="nil"/>
              <w:bottom w:val="single" w:color="auto" w:sz="8" w:space="0"/>
              <w:right w:val="single" w:color="auto" w:sz="4" w:space="0"/>
            </w:tcBorders>
            <w:shd w:val="clear" w:color="auto" w:fill="auto"/>
            <w:vAlign w:val="center"/>
          </w:tcPr>
          <w:p>
            <w:pPr>
              <w:jc w:val="center"/>
              <w:rPr>
                <w:rFonts w:ascii="宋体" w:hAnsi="宋体" w:cs="宋体"/>
                <w:sz w:val="24"/>
                <w:szCs w:val="24"/>
              </w:rPr>
            </w:pPr>
            <w:r>
              <w:rPr>
                <w:rFonts w:ascii="宋体" w:hAnsi="宋体" w:eastAsia="宋体" w:cs="宋体"/>
                <w:sz w:val="24"/>
                <w:szCs w:val="24"/>
              </w:rPr>
              <w:t>0</w:t>
            </w:r>
          </w:p>
        </w:tc>
        <w:tc>
          <w:tcPr>
            <w:tcW w:w="1780" w:type="dxa"/>
            <w:tcBorders>
              <w:top w:val="nil"/>
              <w:left w:val="nil"/>
              <w:bottom w:val="single" w:color="auto" w:sz="8" w:space="0"/>
              <w:right w:val="single" w:color="auto" w:sz="4" w:space="0"/>
            </w:tcBorders>
            <w:shd w:val="clear" w:color="auto" w:fill="auto"/>
            <w:vAlign w:val="center"/>
          </w:tcPr>
          <w:p>
            <w:pPr>
              <w:jc w:val="center"/>
              <w:rPr>
                <w:rFonts w:ascii="宋体" w:hAnsi="宋体" w:cs="宋体"/>
                <w:sz w:val="24"/>
                <w:szCs w:val="24"/>
              </w:rPr>
            </w:pPr>
            <w:r>
              <w:rPr>
                <w:rFonts w:ascii="宋体" w:hAnsi="宋体" w:cs="宋体"/>
                <w:sz w:val="24"/>
                <w:szCs w:val="24"/>
              </w:rPr>
              <w:t>1</w:t>
            </w:r>
          </w:p>
        </w:tc>
        <w:tc>
          <w:tcPr>
            <w:tcW w:w="1780" w:type="dxa"/>
            <w:tcBorders>
              <w:top w:val="nil"/>
              <w:left w:val="nil"/>
              <w:bottom w:val="single" w:color="auto" w:sz="8" w:space="0"/>
              <w:right w:val="single" w:color="auto" w:sz="4" w:space="0"/>
            </w:tcBorders>
            <w:shd w:val="clear" w:color="auto" w:fill="auto"/>
            <w:vAlign w:val="center"/>
          </w:tcPr>
          <w:p>
            <w:pPr>
              <w:jc w:val="center"/>
              <w:rPr>
                <w:rFonts w:ascii="宋体" w:hAnsi="宋体" w:cs="宋体"/>
                <w:sz w:val="24"/>
                <w:szCs w:val="24"/>
              </w:rPr>
            </w:pPr>
            <w:r>
              <w:rPr>
                <w:rFonts w:ascii="宋体" w:hAnsi="宋体" w:cs="宋体"/>
                <w:sz w:val="24"/>
                <w:szCs w:val="24"/>
              </w:rPr>
              <w:t>0</w:t>
            </w:r>
          </w:p>
        </w:tc>
        <w:tc>
          <w:tcPr>
            <w:tcW w:w="1785" w:type="dxa"/>
            <w:tcBorders>
              <w:top w:val="nil"/>
              <w:left w:val="nil"/>
              <w:bottom w:val="single" w:color="auto" w:sz="8" w:space="0"/>
              <w:right w:val="single" w:color="auto" w:sz="8" w:space="0"/>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bl>
    <w:p>
      <w:pPr>
        <w:rPr>
          <w:rFonts w:ascii="宋体" w:hAnsi="宋体" w:cs="宋体"/>
          <w:sz w:val="24"/>
          <w:szCs w:val="24"/>
          <w:highlight w:val="yellow"/>
          <w:lang w:val="en-GB"/>
        </w:rPr>
      </w:pPr>
    </w:p>
    <w:p>
      <w:pPr>
        <w:spacing w:line="360" w:lineRule="auto"/>
        <w:ind w:firstLine="480" w:firstLineChars="200"/>
        <w:rPr>
          <w:rFonts w:ascii="宋体" w:hAnsi="宋体"/>
          <w:sz w:val="24"/>
          <w:szCs w:val="24"/>
        </w:rPr>
      </w:pPr>
      <w:r>
        <w:rPr>
          <w:rFonts w:hint="eastAsia" w:ascii="宋体" w:hAnsi="宋体"/>
          <w:sz w:val="24"/>
          <w:szCs w:val="24"/>
        </w:rPr>
        <w:t>公司根据储备要求特制定2019年储备计划:</w:t>
      </w:r>
    </w:p>
    <w:tbl>
      <w:tblPr>
        <w:tblStyle w:val="43"/>
        <w:tblW w:w="8906" w:type="dxa"/>
        <w:tblInd w:w="0" w:type="dxa"/>
        <w:tblLayout w:type="fixed"/>
        <w:tblCellMar>
          <w:top w:w="0" w:type="dxa"/>
          <w:left w:w="108" w:type="dxa"/>
          <w:bottom w:w="0" w:type="dxa"/>
          <w:right w:w="108" w:type="dxa"/>
        </w:tblCellMar>
      </w:tblPr>
      <w:tblGrid>
        <w:gridCol w:w="1951"/>
        <w:gridCol w:w="1610"/>
        <w:gridCol w:w="1780"/>
        <w:gridCol w:w="1780"/>
        <w:gridCol w:w="1785"/>
      </w:tblGrid>
      <w:tr>
        <w:tblPrEx>
          <w:tblCellMar>
            <w:top w:w="0" w:type="dxa"/>
            <w:left w:w="108" w:type="dxa"/>
            <w:bottom w:w="0" w:type="dxa"/>
            <w:right w:w="108" w:type="dxa"/>
          </w:tblCellMar>
        </w:tblPrEx>
        <w:trPr>
          <w:trHeight w:val="450" w:hRule="atLeast"/>
        </w:trPr>
        <w:tc>
          <w:tcPr>
            <w:tcW w:w="1951" w:type="dxa"/>
            <w:tcBorders>
              <w:top w:val="single" w:color="auto" w:sz="8" w:space="0"/>
              <w:left w:val="single" w:color="auto" w:sz="8"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招聘岗位</w:t>
            </w:r>
          </w:p>
        </w:tc>
        <w:tc>
          <w:tcPr>
            <w:tcW w:w="1610" w:type="dxa"/>
            <w:tcBorders>
              <w:top w:val="single" w:color="auto" w:sz="8"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第一季度</w:t>
            </w:r>
          </w:p>
        </w:tc>
        <w:tc>
          <w:tcPr>
            <w:tcW w:w="1780" w:type="dxa"/>
            <w:tcBorders>
              <w:top w:val="single" w:color="auto" w:sz="8"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第二季度</w:t>
            </w:r>
          </w:p>
        </w:tc>
        <w:tc>
          <w:tcPr>
            <w:tcW w:w="1780" w:type="dxa"/>
            <w:tcBorders>
              <w:top w:val="single" w:color="auto" w:sz="8"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第三季度</w:t>
            </w:r>
          </w:p>
        </w:tc>
        <w:tc>
          <w:tcPr>
            <w:tcW w:w="1785" w:type="dxa"/>
            <w:tcBorders>
              <w:top w:val="single" w:color="auto" w:sz="8" w:space="0"/>
              <w:left w:val="nil"/>
              <w:bottom w:val="single" w:color="auto" w:sz="4" w:space="0"/>
              <w:right w:val="single" w:color="auto" w:sz="8"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第四季度</w:t>
            </w:r>
          </w:p>
        </w:tc>
      </w:tr>
      <w:tr>
        <w:tblPrEx>
          <w:tblCellMar>
            <w:top w:w="0" w:type="dxa"/>
            <w:left w:w="108" w:type="dxa"/>
            <w:bottom w:w="0" w:type="dxa"/>
            <w:right w:w="108" w:type="dxa"/>
          </w:tblCellMar>
        </w:tblPrEx>
        <w:trPr>
          <w:trHeight w:val="495" w:hRule="atLeast"/>
        </w:trPr>
        <w:tc>
          <w:tcPr>
            <w:tcW w:w="1951" w:type="dxa"/>
            <w:tcBorders>
              <w:top w:val="nil"/>
              <w:left w:val="single" w:color="auto" w:sz="8" w:space="0"/>
              <w:bottom w:val="single" w:color="auto" w:sz="4" w:space="0"/>
              <w:right w:val="single" w:color="auto" w:sz="4" w:space="0"/>
            </w:tcBorders>
            <w:shd w:val="clear" w:color="auto" w:fill="auto"/>
            <w:vAlign w:val="center"/>
          </w:tcPr>
          <w:p>
            <w:pPr>
              <w:jc w:val="center"/>
              <w:rPr>
                <w:rFonts w:ascii="宋体" w:hAnsi="宋体" w:eastAsia="宋体" w:cs="宋体"/>
                <w:b/>
                <w:bCs/>
                <w:sz w:val="24"/>
                <w:szCs w:val="24"/>
              </w:rPr>
            </w:pPr>
            <w:r>
              <w:rPr>
                <w:rFonts w:hint="eastAsia" w:ascii="宋体" w:hAnsi="宋体" w:eastAsia="宋体" w:cs="宋体"/>
                <w:b/>
                <w:bCs/>
                <w:sz w:val="24"/>
                <w:szCs w:val="24"/>
              </w:rPr>
              <w:t>操作岗</w:t>
            </w:r>
          </w:p>
        </w:tc>
        <w:tc>
          <w:tcPr>
            <w:tcW w:w="161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eastAsia="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ascii="宋体" w:hAnsi="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cs="宋体"/>
                <w:sz w:val="24"/>
                <w:szCs w:val="24"/>
              </w:rPr>
              <w:t>0</w:t>
            </w:r>
          </w:p>
        </w:tc>
        <w:tc>
          <w:tcPr>
            <w:tcW w:w="1785" w:type="dxa"/>
            <w:tcBorders>
              <w:top w:val="nil"/>
              <w:left w:val="nil"/>
              <w:bottom w:val="single" w:color="auto" w:sz="4" w:space="0"/>
              <w:right w:val="single" w:color="auto" w:sz="8" w:space="0"/>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r>
        <w:tblPrEx>
          <w:tblCellMar>
            <w:top w:w="0" w:type="dxa"/>
            <w:left w:w="108" w:type="dxa"/>
            <w:bottom w:w="0" w:type="dxa"/>
            <w:right w:w="108" w:type="dxa"/>
          </w:tblCellMar>
        </w:tblPrEx>
        <w:trPr>
          <w:trHeight w:val="155" w:hRule="atLeast"/>
        </w:trPr>
        <w:tc>
          <w:tcPr>
            <w:tcW w:w="1951" w:type="dxa"/>
            <w:tcBorders>
              <w:top w:val="nil"/>
              <w:left w:val="single" w:color="auto" w:sz="8" w:space="0"/>
              <w:bottom w:val="single" w:color="auto" w:sz="8" w:space="0"/>
              <w:right w:val="single" w:color="auto" w:sz="4" w:space="0"/>
            </w:tcBorders>
            <w:shd w:val="clear" w:color="auto" w:fill="auto"/>
            <w:vAlign w:val="center"/>
          </w:tcPr>
          <w:p>
            <w:pPr>
              <w:jc w:val="center"/>
              <w:rPr>
                <w:rFonts w:ascii="宋体" w:hAnsi="宋体" w:eastAsia="宋体" w:cs="宋体"/>
                <w:b/>
                <w:bCs/>
                <w:sz w:val="24"/>
                <w:szCs w:val="24"/>
              </w:rPr>
            </w:pPr>
            <w:r>
              <w:rPr>
                <w:rFonts w:hint="eastAsia" w:ascii="宋体" w:hAnsi="宋体" w:eastAsia="宋体" w:cs="宋体"/>
                <w:b/>
                <w:bCs/>
                <w:sz w:val="24"/>
                <w:szCs w:val="24"/>
              </w:rPr>
              <w:t>技术支持岗</w:t>
            </w:r>
          </w:p>
          <w:p>
            <w:pPr>
              <w:jc w:val="center"/>
              <w:rPr>
                <w:rFonts w:ascii="宋体" w:hAnsi="宋体" w:eastAsia="宋体" w:cs="宋体"/>
                <w:b/>
                <w:bCs/>
                <w:sz w:val="24"/>
                <w:szCs w:val="24"/>
              </w:rPr>
            </w:pPr>
            <w:r>
              <w:rPr>
                <w:rFonts w:hint="eastAsia" w:ascii="宋体" w:hAnsi="宋体" w:eastAsia="宋体" w:cs="宋体"/>
                <w:b/>
                <w:bCs/>
                <w:sz w:val="24"/>
                <w:szCs w:val="24"/>
              </w:rPr>
              <w:t>（高级运维工程师）</w:t>
            </w:r>
          </w:p>
        </w:tc>
        <w:tc>
          <w:tcPr>
            <w:tcW w:w="1610" w:type="dxa"/>
            <w:tcBorders>
              <w:top w:val="nil"/>
              <w:left w:val="nil"/>
              <w:bottom w:val="single" w:color="auto" w:sz="8" w:space="0"/>
              <w:right w:val="single" w:color="auto" w:sz="4" w:space="0"/>
            </w:tcBorders>
            <w:shd w:val="clear" w:color="auto" w:fill="auto"/>
            <w:vAlign w:val="center"/>
          </w:tcPr>
          <w:p>
            <w:pPr>
              <w:jc w:val="center"/>
              <w:rPr>
                <w:rFonts w:ascii="宋体" w:hAnsi="宋体" w:cs="宋体"/>
                <w:sz w:val="24"/>
                <w:szCs w:val="24"/>
              </w:rPr>
            </w:pPr>
            <w:r>
              <w:rPr>
                <w:rFonts w:ascii="宋体" w:hAnsi="宋体" w:eastAsia="宋体" w:cs="宋体"/>
                <w:sz w:val="24"/>
                <w:szCs w:val="24"/>
              </w:rPr>
              <w:t>0</w:t>
            </w:r>
          </w:p>
        </w:tc>
        <w:tc>
          <w:tcPr>
            <w:tcW w:w="1780" w:type="dxa"/>
            <w:tcBorders>
              <w:top w:val="nil"/>
              <w:left w:val="nil"/>
              <w:bottom w:val="single" w:color="auto" w:sz="8"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cs="宋体"/>
                <w:sz w:val="24"/>
                <w:szCs w:val="24"/>
              </w:rPr>
              <w:t>0</w:t>
            </w:r>
          </w:p>
        </w:tc>
        <w:tc>
          <w:tcPr>
            <w:tcW w:w="1780" w:type="dxa"/>
            <w:tcBorders>
              <w:top w:val="nil"/>
              <w:left w:val="nil"/>
              <w:bottom w:val="single" w:color="auto" w:sz="8"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cs="宋体"/>
                <w:sz w:val="24"/>
                <w:szCs w:val="24"/>
              </w:rPr>
              <w:t>1</w:t>
            </w:r>
          </w:p>
        </w:tc>
        <w:tc>
          <w:tcPr>
            <w:tcW w:w="1785" w:type="dxa"/>
            <w:tcBorders>
              <w:top w:val="nil"/>
              <w:left w:val="nil"/>
              <w:bottom w:val="single" w:color="auto" w:sz="8" w:space="0"/>
              <w:right w:val="single" w:color="auto" w:sz="8" w:space="0"/>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bl>
    <w:p>
      <w:pPr>
        <w:rPr>
          <w:rFonts w:ascii="宋体" w:hAnsi="宋体" w:cs="宋体"/>
          <w:sz w:val="24"/>
          <w:szCs w:val="24"/>
          <w:highlight w:val="yellow"/>
          <w:lang w:val="en-GB"/>
        </w:rPr>
      </w:pPr>
    </w:p>
    <w:p>
      <w:pPr>
        <w:rPr>
          <w:rFonts w:ascii="宋体" w:hAnsi="宋体" w:cs="宋体"/>
          <w:sz w:val="24"/>
          <w:szCs w:val="24"/>
          <w:highlight w:val="yellow"/>
          <w:lang w:val="en-GB"/>
        </w:rPr>
      </w:pPr>
    </w:p>
    <w:p>
      <w:pPr>
        <w:spacing w:line="360" w:lineRule="auto"/>
        <w:ind w:firstLine="482" w:firstLineChars="200"/>
        <w:rPr>
          <w:rFonts w:ascii="宋体" w:hAnsi="宋体"/>
          <w:b/>
          <w:sz w:val="24"/>
          <w:szCs w:val="24"/>
        </w:rPr>
      </w:pPr>
      <w:r>
        <w:rPr>
          <w:rFonts w:ascii="宋体" w:hAnsi="宋体"/>
          <w:b/>
          <w:sz w:val="24"/>
          <w:szCs w:val="24"/>
        </w:rPr>
        <w:t>培训计划</w:t>
      </w:r>
    </w:p>
    <w:p>
      <w:pPr>
        <w:spacing w:line="360" w:lineRule="auto"/>
        <w:ind w:firstLine="480" w:firstLineChars="200"/>
        <w:rPr>
          <w:rFonts w:ascii="宋体" w:hAnsi="宋体"/>
          <w:sz w:val="24"/>
          <w:szCs w:val="24"/>
        </w:rPr>
      </w:pPr>
      <w:r>
        <w:rPr>
          <w:rFonts w:hint="eastAsia" w:ascii="宋体" w:hAnsi="宋体"/>
          <w:sz w:val="24"/>
          <w:szCs w:val="24"/>
        </w:rPr>
        <w:t>人力资源部为保证达到人均培训课时20学时的目标特制定运维服务人员201</w:t>
      </w:r>
      <w:r>
        <w:rPr>
          <w:rFonts w:ascii="宋体" w:hAnsi="宋体"/>
          <w:sz w:val="24"/>
          <w:szCs w:val="24"/>
        </w:rPr>
        <w:t>9</w:t>
      </w:r>
      <w:r>
        <w:rPr>
          <w:rFonts w:hint="eastAsia" w:ascii="宋体" w:hAnsi="宋体"/>
          <w:sz w:val="24"/>
          <w:szCs w:val="24"/>
        </w:rPr>
        <w:t>年培训计划，培训至少包括专业技术培训、ITSS知识培训和素质培训。</w:t>
      </w:r>
    </w:p>
    <w:p>
      <w:pPr>
        <w:spacing w:line="360" w:lineRule="auto"/>
        <w:ind w:firstLine="480" w:firstLineChars="200"/>
        <w:rPr>
          <w:rFonts w:ascii="宋体" w:hAnsi="宋体"/>
          <w:sz w:val="24"/>
          <w:szCs w:val="24"/>
        </w:rPr>
      </w:pPr>
      <w:r>
        <w:rPr>
          <w:rFonts w:hint="eastAsia" w:ascii="宋体" w:hAnsi="宋体"/>
          <w:sz w:val="24"/>
          <w:szCs w:val="24"/>
        </w:rPr>
        <w:t>201</w:t>
      </w:r>
      <w:r>
        <w:rPr>
          <w:rFonts w:ascii="宋体" w:hAnsi="宋体"/>
          <w:sz w:val="24"/>
          <w:szCs w:val="24"/>
        </w:rPr>
        <w:t>9</w:t>
      </w:r>
      <w:r>
        <w:rPr>
          <w:rFonts w:hint="eastAsia" w:ascii="宋体" w:hAnsi="宋体"/>
          <w:sz w:val="24"/>
          <w:szCs w:val="24"/>
        </w:rPr>
        <w:t>年公司将根据IT运维服务管理系统软件升级换代要求，安排二次运维服务管理系统操作使用培训（3，7月），普及贯彻 ITSS.1-2015《信息技术服务 运行维护服务能力成熟度模型》的要求进行ITSS服务项目经理和服务工程师的培训（9月）。</w:t>
      </w:r>
    </w:p>
    <w:tbl>
      <w:tblPr>
        <w:tblStyle w:val="43"/>
        <w:tblW w:w="9602"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1583"/>
        <w:gridCol w:w="2961"/>
        <w:gridCol w:w="743"/>
        <w:gridCol w:w="737"/>
        <w:gridCol w:w="737"/>
        <w:gridCol w:w="1039"/>
        <w:gridCol w:w="480"/>
        <w:gridCol w:w="507"/>
        <w:gridCol w:w="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8776" w:type="dxa"/>
            <w:gridSpan w:val="8"/>
            <w:tcBorders>
              <w:top w:val="nil"/>
              <w:left w:val="nil"/>
              <w:right w:val="nil"/>
            </w:tcBorders>
            <w:shd w:val="clear" w:color="000000" w:fill="FFFFFF"/>
            <w:vAlign w:val="center"/>
          </w:tcPr>
          <w:p>
            <w:pPr>
              <w:pStyle w:val="145"/>
              <w:spacing w:line="360" w:lineRule="auto"/>
              <w:rPr>
                <w:b/>
                <w:sz w:val="28"/>
                <w:szCs w:val="28"/>
              </w:rPr>
            </w:pPr>
            <w:bookmarkStart w:id="19" w:name="_Hlk490146279"/>
            <w:r>
              <w:rPr>
                <w:b/>
                <w:sz w:val="28"/>
                <w:szCs w:val="28"/>
              </w:rPr>
              <w:t>2019</w:t>
            </w:r>
            <w:r>
              <w:rPr>
                <w:rFonts w:hint="eastAsia"/>
                <w:b/>
                <w:sz w:val="28"/>
                <w:szCs w:val="28"/>
              </w:rPr>
              <w:t>年度培训计划表</w:t>
            </w:r>
          </w:p>
        </w:tc>
        <w:tc>
          <w:tcPr>
            <w:tcW w:w="826" w:type="dxa"/>
            <w:gridSpan w:val="2"/>
            <w:tcBorders>
              <w:top w:val="nil"/>
              <w:left w:val="nil"/>
              <w:right w:val="nil"/>
            </w:tcBorders>
            <w:shd w:val="clear" w:color="000000" w:fill="FFFFFF"/>
            <w:vAlign w:val="center"/>
          </w:tcPr>
          <w:p>
            <w:pPr>
              <w:pStyle w:val="145"/>
              <w:spacing w:line="36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480" w:hRule="atLeast"/>
        </w:trPr>
        <w:tc>
          <w:tcPr>
            <w:tcW w:w="496" w:type="dxa"/>
            <w:shd w:val="clear" w:color="auto" w:fill="D9D9D9"/>
            <w:vAlign w:val="center"/>
          </w:tcPr>
          <w:p>
            <w:pPr>
              <w:pStyle w:val="145"/>
              <w:spacing w:line="360" w:lineRule="auto"/>
              <w:rPr>
                <w:b/>
                <w:bCs/>
              </w:rPr>
            </w:pPr>
            <w:r>
              <w:rPr>
                <w:rFonts w:hint="eastAsia"/>
                <w:b/>
                <w:bCs/>
              </w:rPr>
              <w:t>序号</w:t>
            </w:r>
          </w:p>
        </w:tc>
        <w:tc>
          <w:tcPr>
            <w:tcW w:w="1583" w:type="dxa"/>
            <w:shd w:val="clear" w:color="auto" w:fill="D9D9D9"/>
            <w:vAlign w:val="center"/>
          </w:tcPr>
          <w:p>
            <w:pPr>
              <w:pStyle w:val="145"/>
              <w:spacing w:line="360" w:lineRule="auto"/>
              <w:rPr>
                <w:b/>
                <w:bCs/>
              </w:rPr>
            </w:pPr>
            <w:r>
              <w:rPr>
                <w:rFonts w:hint="eastAsia"/>
                <w:b/>
                <w:bCs/>
              </w:rPr>
              <w:t>培训名称</w:t>
            </w:r>
          </w:p>
        </w:tc>
        <w:tc>
          <w:tcPr>
            <w:tcW w:w="2961" w:type="dxa"/>
            <w:shd w:val="clear" w:color="auto" w:fill="D9D9D9"/>
            <w:vAlign w:val="center"/>
          </w:tcPr>
          <w:p>
            <w:pPr>
              <w:pStyle w:val="145"/>
              <w:spacing w:line="360" w:lineRule="auto"/>
              <w:rPr>
                <w:b/>
                <w:bCs/>
              </w:rPr>
            </w:pPr>
            <w:r>
              <w:rPr>
                <w:rFonts w:hint="eastAsia"/>
                <w:b/>
                <w:bCs/>
              </w:rPr>
              <w:t>培训内容</w:t>
            </w:r>
          </w:p>
        </w:tc>
        <w:tc>
          <w:tcPr>
            <w:tcW w:w="743" w:type="dxa"/>
            <w:shd w:val="clear" w:color="auto" w:fill="D9D9D9"/>
            <w:vAlign w:val="center"/>
          </w:tcPr>
          <w:p>
            <w:pPr>
              <w:pStyle w:val="145"/>
              <w:spacing w:line="360" w:lineRule="auto"/>
              <w:rPr>
                <w:b/>
                <w:bCs/>
              </w:rPr>
            </w:pPr>
            <w:r>
              <w:rPr>
                <w:rFonts w:hint="eastAsia"/>
                <w:b/>
                <w:bCs/>
              </w:rPr>
              <w:t>培训班次</w:t>
            </w:r>
          </w:p>
        </w:tc>
        <w:tc>
          <w:tcPr>
            <w:tcW w:w="737" w:type="dxa"/>
            <w:shd w:val="clear" w:color="auto" w:fill="D9D9D9"/>
            <w:vAlign w:val="center"/>
          </w:tcPr>
          <w:p>
            <w:pPr>
              <w:pStyle w:val="145"/>
              <w:spacing w:line="360" w:lineRule="auto"/>
              <w:rPr>
                <w:b/>
                <w:bCs/>
              </w:rPr>
            </w:pPr>
            <w:r>
              <w:rPr>
                <w:rFonts w:hint="eastAsia"/>
                <w:b/>
                <w:bCs/>
              </w:rPr>
              <w:t>培训人次</w:t>
            </w:r>
          </w:p>
        </w:tc>
        <w:tc>
          <w:tcPr>
            <w:tcW w:w="737" w:type="dxa"/>
            <w:shd w:val="clear" w:color="auto" w:fill="D9D9D9"/>
            <w:vAlign w:val="center"/>
          </w:tcPr>
          <w:p>
            <w:pPr>
              <w:pStyle w:val="145"/>
              <w:spacing w:line="360" w:lineRule="auto"/>
              <w:rPr>
                <w:b/>
                <w:bCs/>
              </w:rPr>
            </w:pPr>
            <w:r>
              <w:rPr>
                <w:rFonts w:hint="eastAsia"/>
                <w:b/>
                <w:bCs/>
              </w:rPr>
              <w:t>培训</w:t>
            </w:r>
          </w:p>
          <w:p>
            <w:pPr>
              <w:pStyle w:val="145"/>
              <w:spacing w:line="360" w:lineRule="auto"/>
              <w:rPr>
                <w:b/>
                <w:bCs/>
              </w:rPr>
            </w:pPr>
            <w:r>
              <w:rPr>
                <w:rFonts w:hint="eastAsia"/>
                <w:b/>
                <w:bCs/>
              </w:rPr>
              <w:t>天数</w:t>
            </w:r>
          </w:p>
        </w:tc>
        <w:tc>
          <w:tcPr>
            <w:tcW w:w="1039" w:type="dxa"/>
            <w:shd w:val="clear" w:color="auto" w:fill="D9D9D9"/>
            <w:vAlign w:val="center"/>
          </w:tcPr>
          <w:p>
            <w:pPr>
              <w:pStyle w:val="145"/>
              <w:spacing w:line="360" w:lineRule="auto"/>
              <w:rPr>
                <w:b/>
                <w:bCs/>
              </w:rPr>
            </w:pPr>
            <w:r>
              <w:rPr>
                <w:rFonts w:hint="eastAsia"/>
                <w:b/>
                <w:bCs/>
              </w:rPr>
              <w:t>培训时间</w:t>
            </w:r>
          </w:p>
        </w:tc>
        <w:tc>
          <w:tcPr>
            <w:tcW w:w="987" w:type="dxa"/>
            <w:gridSpan w:val="2"/>
            <w:shd w:val="clear" w:color="auto" w:fill="D9D9D9"/>
            <w:vAlign w:val="center"/>
          </w:tcPr>
          <w:p>
            <w:pPr>
              <w:pStyle w:val="145"/>
              <w:spacing w:line="360" w:lineRule="auto"/>
              <w:rPr>
                <w:b/>
                <w:bCs/>
              </w:rPr>
            </w:pPr>
            <w:r>
              <w:rPr>
                <w:rFonts w:hint="eastAsia"/>
                <w:b/>
                <w:bCs/>
              </w:rPr>
              <w:t>费用</w:t>
            </w:r>
          </w:p>
          <w:p>
            <w:pPr>
              <w:pStyle w:val="145"/>
              <w:spacing w:line="360" w:lineRule="auto"/>
              <w:rPr>
                <w:b/>
                <w:bCs/>
              </w:rPr>
            </w:pPr>
            <w:r>
              <w:rPr>
                <w:rFonts w:hint="eastAsia"/>
                <w:b/>
                <w:bCs/>
              </w:rPr>
              <w:t>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720" w:hRule="atLeast"/>
        </w:trPr>
        <w:tc>
          <w:tcPr>
            <w:tcW w:w="496" w:type="dxa"/>
            <w:shd w:val="clear" w:color="000000" w:fill="FFFFFF"/>
            <w:vAlign w:val="center"/>
          </w:tcPr>
          <w:p>
            <w:pPr>
              <w:pStyle w:val="145"/>
              <w:spacing w:line="360" w:lineRule="auto"/>
            </w:pPr>
            <w:r>
              <w:t>1</w:t>
            </w:r>
          </w:p>
        </w:tc>
        <w:tc>
          <w:tcPr>
            <w:tcW w:w="1583" w:type="dxa"/>
            <w:shd w:val="clear" w:color="000000" w:fill="FFFFFF"/>
            <w:vAlign w:val="center"/>
          </w:tcPr>
          <w:p>
            <w:pPr>
              <w:widowControl/>
              <w:jc w:val="center"/>
              <w:rPr>
                <w:kern w:val="0"/>
                <w:sz w:val="20"/>
                <w:szCs w:val="20"/>
              </w:rPr>
            </w:pPr>
            <w:r>
              <w:rPr>
                <w:rFonts w:hint="eastAsia"/>
                <w:sz w:val="20"/>
                <w:szCs w:val="20"/>
              </w:rPr>
              <w:t>HANA培训</w:t>
            </w:r>
          </w:p>
        </w:tc>
        <w:tc>
          <w:tcPr>
            <w:tcW w:w="2961" w:type="dxa"/>
            <w:shd w:val="clear" w:color="000000" w:fill="FFFFFF"/>
            <w:vAlign w:val="center"/>
          </w:tcPr>
          <w:p>
            <w:pPr>
              <w:widowControl/>
              <w:jc w:val="center"/>
              <w:rPr>
                <w:kern w:val="0"/>
                <w:sz w:val="20"/>
                <w:szCs w:val="20"/>
              </w:rPr>
            </w:pPr>
            <w:r>
              <w:rPr>
                <w:rFonts w:hint="eastAsia"/>
                <w:sz w:val="20"/>
                <w:szCs w:val="20"/>
              </w:rPr>
              <w:t>提升HANA开发能力</w:t>
            </w:r>
          </w:p>
        </w:tc>
        <w:tc>
          <w:tcPr>
            <w:tcW w:w="743" w:type="dxa"/>
            <w:shd w:val="clear" w:color="000000" w:fill="FFFFFF"/>
            <w:vAlign w:val="center"/>
          </w:tcPr>
          <w:p>
            <w:pPr>
              <w:pStyle w:val="145"/>
              <w:spacing w:line="360" w:lineRule="auto"/>
            </w:pPr>
            <w:r>
              <w:t>1</w:t>
            </w:r>
          </w:p>
        </w:tc>
        <w:tc>
          <w:tcPr>
            <w:tcW w:w="737" w:type="dxa"/>
            <w:shd w:val="clear" w:color="000000" w:fill="FFFFFF"/>
            <w:vAlign w:val="center"/>
          </w:tcPr>
          <w:p>
            <w:pPr>
              <w:pStyle w:val="145"/>
              <w:spacing w:line="360" w:lineRule="auto"/>
            </w:pPr>
            <w:r>
              <w:rPr>
                <w:rFonts w:hint="eastAsia"/>
              </w:rPr>
              <w:t>9</w:t>
            </w:r>
          </w:p>
        </w:tc>
        <w:tc>
          <w:tcPr>
            <w:tcW w:w="737" w:type="dxa"/>
            <w:shd w:val="clear" w:color="000000" w:fill="FFFFFF"/>
            <w:vAlign w:val="center"/>
          </w:tcPr>
          <w:p>
            <w:pPr>
              <w:pStyle w:val="145"/>
              <w:spacing w:line="360" w:lineRule="auto"/>
            </w:pPr>
            <w:r>
              <w:t>1</w:t>
            </w:r>
          </w:p>
        </w:tc>
        <w:tc>
          <w:tcPr>
            <w:tcW w:w="1039" w:type="dxa"/>
            <w:shd w:val="clear" w:color="000000" w:fill="FFFFFF"/>
            <w:vAlign w:val="center"/>
          </w:tcPr>
          <w:p>
            <w:pPr>
              <w:widowControl/>
              <w:jc w:val="center"/>
              <w:rPr>
                <w:kern w:val="0"/>
                <w:sz w:val="20"/>
                <w:szCs w:val="20"/>
              </w:rPr>
            </w:pPr>
            <w:r>
              <w:rPr>
                <w:rFonts w:hint="eastAsia"/>
                <w:sz w:val="20"/>
                <w:szCs w:val="20"/>
              </w:rPr>
              <w:t>1月</w:t>
            </w:r>
          </w:p>
        </w:tc>
        <w:tc>
          <w:tcPr>
            <w:tcW w:w="987" w:type="dxa"/>
            <w:gridSpan w:val="2"/>
            <w:shd w:val="clear" w:color="000000" w:fill="FFFFFF"/>
            <w:vAlign w:val="center"/>
          </w:tcPr>
          <w:p>
            <w:pPr>
              <w:widowControl/>
              <w:jc w:val="center"/>
              <w:rPr>
                <w:kern w:val="0"/>
                <w:sz w:val="20"/>
                <w:szCs w:val="20"/>
              </w:rPr>
            </w:pPr>
            <w:r>
              <w:rPr>
                <w:rFonts w:hint="eastAsia"/>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720" w:hRule="atLeast"/>
        </w:trPr>
        <w:tc>
          <w:tcPr>
            <w:tcW w:w="496" w:type="dxa"/>
            <w:shd w:val="clear" w:color="000000" w:fill="FFFFFF"/>
            <w:vAlign w:val="center"/>
          </w:tcPr>
          <w:p>
            <w:pPr>
              <w:pStyle w:val="145"/>
              <w:spacing w:line="360" w:lineRule="auto"/>
            </w:pPr>
            <w:r>
              <w:t>2</w:t>
            </w:r>
          </w:p>
        </w:tc>
        <w:tc>
          <w:tcPr>
            <w:tcW w:w="1583" w:type="dxa"/>
            <w:shd w:val="clear" w:color="000000" w:fill="FFFFFF"/>
            <w:vAlign w:val="center"/>
          </w:tcPr>
          <w:p>
            <w:pPr>
              <w:jc w:val="center"/>
              <w:rPr>
                <w:sz w:val="20"/>
                <w:szCs w:val="20"/>
              </w:rPr>
            </w:pPr>
            <w:r>
              <w:rPr>
                <w:rFonts w:hint="eastAsia"/>
                <w:sz w:val="20"/>
                <w:szCs w:val="20"/>
              </w:rPr>
              <w:t>服务意识培训</w:t>
            </w:r>
          </w:p>
        </w:tc>
        <w:tc>
          <w:tcPr>
            <w:tcW w:w="2961" w:type="dxa"/>
            <w:shd w:val="clear" w:color="000000" w:fill="FFFFFF"/>
            <w:vAlign w:val="center"/>
          </w:tcPr>
          <w:p>
            <w:pPr>
              <w:jc w:val="left"/>
              <w:rPr>
                <w:szCs w:val="21"/>
              </w:rPr>
            </w:pPr>
            <w:r>
              <w:rPr>
                <w:rFonts w:hint="eastAsia"/>
                <w:szCs w:val="21"/>
              </w:rPr>
              <w:t>提升运维人员服务意识</w:t>
            </w:r>
          </w:p>
        </w:tc>
        <w:tc>
          <w:tcPr>
            <w:tcW w:w="743" w:type="dxa"/>
            <w:shd w:val="clear" w:color="000000" w:fill="FFFFFF"/>
            <w:vAlign w:val="center"/>
          </w:tcPr>
          <w:p>
            <w:pPr>
              <w:pStyle w:val="145"/>
              <w:spacing w:line="360" w:lineRule="auto"/>
            </w:pPr>
            <w:r>
              <w:t>1</w:t>
            </w:r>
          </w:p>
        </w:tc>
        <w:tc>
          <w:tcPr>
            <w:tcW w:w="737" w:type="dxa"/>
            <w:shd w:val="clear" w:color="000000" w:fill="FFFFFF"/>
            <w:vAlign w:val="center"/>
          </w:tcPr>
          <w:p>
            <w:pPr>
              <w:pStyle w:val="145"/>
              <w:spacing w:line="360" w:lineRule="auto"/>
            </w:pPr>
            <w:r>
              <w:t>16</w:t>
            </w:r>
          </w:p>
        </w:tc>
        <w:tc>
          <w:tcPr>
            <w:tcW w:w="737" w:type="dxa"/>
            <w:shd w:val="clear" w:color="000000" w:fill="FFFFFF"/>
            <w:vAlign w:val="center"/>
          </w:tcPr>
          <w:p>
            <w:pPr>
              <w:pStyle w:val="145"/>
              <w:spacing w:line="360" w:lineRule="auto"/>
            </w:pPr>
            <w:r>
              <w:t>1</w:t>
            </w:r>
          </w:p>
        </w:tc>
        <w:tc>
          <w:tcPr>
            <w:tcW w:w="1039" w:type="dxa"/>
            <w:shd w:val="clear" w:color="000000" w:fill="FFFFFF"/>
            <w:vAlign w:val="center"/>
          </w:tcPr>
          <w:p>
            <w:pPr>
              <w:jc w:val="center"/>
              <w:rPr>
                <w:sz w:val="20"/>
                <w:szCs w:val="20"/>
              </w:rPr>
            </w:pPr>
            <w:r>
              <w:rPr>
                <w:rFonts w:hint="eastAsia"/>
                <w:sz w:val="20"/>
                <w:szCs w:val="20"/>
              </w:rPr>
              <w:t>2月</w:t>
            </w:r>
          </w:p>
        </w:tc>
        <w:tc>
          <w:tcPr>
            <w:tcW w:w="987" w:type="dxa"/>
            <w:gridSpan w:val="2"/>
            <w:shd w:val="clear" w:color="000000" w:fill="FFFFFF"/>
            <w:vAlign w:val="center"/>
          </w:tcPr>
          <w:p>
            <w:pPr>
              <w:jc w:val="center"/>
              <w:rPr>
                <w:sz w:val="20"/>
                <w:szCs w:val="20"/>
              </w:rPr>
            </w:pPr>
            <w:r>
              <w:rPr>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480" w:hRule="atLeast"/>
        </w:trPr>
        <w:tc>
          <w:tcPr>
            <w:tcW w:w="496" w:type="dxa"/>
            <w:shd w:val="clear" w:color="000000" w:fill="FFFFFF"/>
            <w:vAlign w:val="center"/>
          </w:tcPr>
          <w:p>
            <w:pPr>
              <w:pStyle w:val="145"/>
              <w:spacing w:line="360" w:lineRule="auto"/>
            </w:pPr>
            <w:r>
              <w:t>3</w:t>
            </w:r>
          </w:p>
        </w:tc>
        <w:tc>
          <w:tcPr>
            <w:tcW w:w="1583" w:type="dxa"/>
            <w:shd w:val="clear" w:color="000000" w:fill="FFFFFF"/>
            <w:vAlign w:val="center"/>
          </w:tcPr>
          <w:p>
            <w:pPr>
              <w:jc w:val="center"/>
              <w:rPr>
                <w:sz w:val="20"/>
                <w:szCs w:val="20"/>
              </w:rPr>
            </w:pPr>
            <w:r>
              <w:rPr>
                <w:rFonts w:hint="eastAsia"/>
                <w:sz w:val="20"/>
                <w:szCs w:val="20"/>
              </w:rPr>
              <w:t>.net培训</w:t>
            </w:r>
          </w:p>
        </w:tc>
        <w:tc>
          <w:tcPr>
            <w:tcW w:w="2961" w:type="dxa"/>
            <w:shd w:val="clear" w:color="000000" w:fill="FFFFFF"/>
            <w:vAlign w:val="center"/>
          </w:tcPr>
          <w:p>
            <w:pPr>
              <w:jc w:val="center"/>
              <w:rPr>
                <w:sz w:val="20"/>
                <w:szCs w:val="20"/>
              </w:rPr>
            </w:pPr>
            <w:r>
              <w:rPr>
                <w:rFonts w:hint="eastAsia"/>
                <w:sz w:val="20"/>
                <w:szCs w:val="20"/>
              </w:rPr>
              <w:t>规范.net开发代码规范</w:t>
            </w:r>
          </w:p>
        </w:tc>
        <w:tc>
          <w:tcPr>
            <w:tcW w:w="743" w:type="dxa"/>
            <w:shd w:val="clear" w:color="000000" w:fill="FFFFFF"/>
            <w:vAlign w:val="center"/>
          </w:tcPr>
          <w:p>
            <w:pPr>
              <w:pStyle w:val="145"/>
              <w:spacing w:line="360" w:lineRule="auto"/>
            </w:pPr>
            <w:r>
              <w:t>1</w:t>
            </w:r>
          </w:p>
        </w:tc>
        <w:tc>
          <w:tcPr>
            <w:tcW w:w="737" w:type="dxa"/>
            <w:shd w:val="clear" w:color="000000" w:fill="FFFFFF"/>
            <w:vAlign w:val="center"/>
          </w:tcPr>
          <w:p>
            <w:pPr>
              <w:pStyle w:val="145"/>
              <w:spacing w:line="360" w:lineRule="auto"/>
            </w:pPr>
            <w:r>
              <w:rPr>
                <w:rFonts w:hint="eastAsia"/>
              </w:rPr>
              <w:t>13</w:t>
            </w:r>
          </w:p>
        </w:tc>
        <w:tc>
          <w:tcPr>
            <w:tcW w:w="737" w:type="dxa"/>
            <w:shd w:val="clear" w:color="000000" w:fill="FFFFFF"/>
            <w:vAlign w:val="center"/>
          </w:tcPr>
          <w:p>
            <w:pPr>
              <w:pStyle w:val="145"/>
              <w:spacing w:line="360" w:lineRule="auto"/>
            </w:pPr>
            <w:r>
              <w:t>1</w:t>
            </w:r>
          </w:p>
        </w:tc>
        <w:tc>
          <w:tcPr>
            <w:tcW w:w="1039" w:type="dxa"/>
            <w:shd w:val="clear" w:color="000000" w:fill="FFFFFF"/>
            <w:vAlign w:val="center"/>
          </w:tcPr>
          <w:p>
            <w:pPr>
              <w:jc w:val="center"/>
              <w:rPr>
                <w:sz w:val="20"/>
                <w:szCs w:val="20"/>
              </w:rPr>
            </w:pPr>
            <w:r>
              <w:rPr>
                <w:rFonts w:hint="eastAsia"/>
                <w:sz w:val="20"/>
                <w:szCs w:val="20"/>
              </w:rPr>
              <w:t>3月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t>4</w:t>
            </w:r>
          </w:p>
        </w:tc>
        <w:tc>
          <w:tcPr>
            <w:tcW w:w="1583" w:type="dxa"/>
            <w:shd w:val="clear" w:color="000000" w:fill="FFFFFF"/>
            <w:vAlign w:val="center"/>
          </w:tcPr>
          <w:p>
            <w:pPr>
              <w:jc w:val="center"/>
              <w:rPr>
                <w:sz w:val="20"/>
                <w:szCs w:val="20"/>
              </w:rPr>
            </w:pPr>
            <w:r>
              <w:rPr>
                <w:rFonts w:hint="eastAsia"/>
                <w:sz w:val="20"/>
                <w:szCs w:val="20"/>
              </w:rPr>
              <w:t>员工手册培训</w:t>
            </w:r>
          </w:p>
        </w:tc>
        <w:tc>
          <w:tcPr>
            <w:tcW w:w="2961" w:type="dxa"/>
            <w:shd w:val="clear" w:color="000000" w:fill="FFFFFF"/>
            <w:vAlign w:val="center"/>
          </w:tcPr>
          <w:p>
            <w:pPr>
              <w:jc w:val="center"/>
              <w:rPr>
                <w:sz w:val="20"/>
                <w:szCs w:val="20"/>
              </w:rPr>
            </w:pPr>
            <w:r>
              <w:rPr>
                <w:rFonts w:hint="eastAsia"/>
                <w:sz w:val="20"/>
                <w:szCs w:val="20"/>
              </w:rPr>
              <w:t>加强新员工对制度、规范的理解</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32</w:t>
            </w:r>
          </w:p>
        </w:tc>
        <w:tc>
          <w:tcPr>
            <w:tcW w:w="737" w:type="dxa"/>
            <w:shd w:val="clear" w:color="000000" w:fill="FFFFFF"/>
            <w:vAlign w:val="center"/>
          </w:tcPr>
          <w:p>
            <w:pPr>
              <w:pStyle w:val="145"/>
              <w:spacing w:line="360" w:lineRule="auto"/>
            </w:pPr>
            <w:r>
              <w:rPr>
                <w:rFonts w:hint="eastAsia"/>
              </w:rPr>
              <w:t>1</w:t>
            </w:r>
          </w:p>
        </w:tc>
        <w:tc>
          <w:tcPr>
            <w:tcW w:w="1039" w:type="dxa"/>
            <w:shd w:val="clear" w:color="000000" w:fill="FFFFFF"/>
            <w:vAlign w:val="center"/>
          </w:tcPr>
          <w:p>
            <w:pPr>
              <w:jc w:val="center"/>
              <w:rPr>
                <w:sz w:val="20"/>
                <w:szCs w:val="20"/>
              </w:rPr>
            </w:pPr>
            <w:r>
              <w:rPr>
                <w:sz w:val="20"/>
                <w:szCs w:val="20"/>
              </w:rPr>
              <w:t>2</w:t>
            </w:r>
            <w:r>
              <w:rPr>
                <w:rFonts w:hint="eastAsia"/>
                <w:sz w:val="20"/>
                <w:szCs w:val="20"/>
              </w:rPr>
              <w:t>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t>5</w:t>
            </w:r>
          </w:p>
        </w:tc>
        <w:tc>
          <w:tcPr>
            <w:tcW w:w="1583" w:type="dxa"/>
            <w:shd w:val="clear" w:color="000000" w:fill="FFFFFF"/>
            <w:vAlign w:val="center"/>
          </w:tcPr>
          <w:p>
            <w:pPr>
              <w:jc w:val="center"/>
              <w:rPr>
                <w:sz w:val="20"/>
                <w:szCs w:val="20"/>
              </w:rPr>
            </w:pPr>
            <w:r>
              <w:rPr>
                <w:rFonts w:hint="eastAsia"/>
                <w:sz w:val="20"/>
                <w:szCs w:val="20"/>
              </w:rPr>
              <w:t>Java架构培训</w:t>
            </w:r>
          </w:p>
        </w:tc>
        <w:tc>
          <w:tcPr>
            <w:tcW w:w="2961" w:type="dxa"/>
            <w:shd w:val="clear" w:color="000000" w:fill="FFFFFF"/>
            <w:vAlign w:val="center"/>
          </w:tcPr>
          <w:p>
            <w:pPr>
              <w:jc w:val="center"/>
              <w:rPr>
                <w:sz w:val="20"/>
                <w:szCs w:val="20"/>
              </w:rPr>
            </w:pPr>
            <w:r>
              <w:rPr>
                <w:rFonts w:hint="eastAsia"/>
                <w:sz w:val="20"/>
                <w:szCs w:val="20"/>
              </w:rPr>
              <w:t>学习并掌握Java架构</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6</w:t>
            </w:r>
          </w:p>
        </w:tc>
        <w:tc>
          <w:tcPr>
            <w:tcW w:w="737" w:type="dxa"/>
            <w:shd w:val="clear" w:color="000000" w:fill="FFFFFF"/>
            <w:vAlign w:val="center"/>
          </w:tcPr>
          <w:p>
            <w:pPr>
              <w:pStyle w:val="145"/>
              <w:spacing w:line="360" w:lineRule="auto"/>
            </w:pPr>
            <w:r>
              <w:t>1</w:t>
            </w:r>
          </w:p>
        </w:tc>
        <w:tc>
          <w:tcPr>
            <w:tcW w:w="1039" w:type="dxa"/>
            <w:shd w:val="clear" w:color="000000" w:fill="FFFFFF"/>
            <w:vAlign w:val="center"/>
          </w:tcPr>
          <w:p>
            <w:pPr>
              <w:jc w:val="center"/>
              <w:rPr>
                <w:sz w:val="20"/>
                <w:szCs w:val="20"/>
              </w:rPr>
            </w:pPr>
            <w:r>
              <w:rPr>
                <w:rFonts w:hint="eastAsia"/>
                <w:sz w:val="20"/>
                <w:szCs w:val="20"/>
              </w:rPr>
              <w:t>5月</w:t>
            </w:r>
          </w:p>
        </w:tc>
        <w:tc>
          <w:tcPr>
            <w:tcW w:w="987" w:type="dxa"/>
            <w:gridSpan w:val="2"/>
            <w:shd w:val="clear" w:color="000000" w:fill="FFFFFF"/>
            <w:vAlign w:val="center"/>
          </w:tcPr>
          <w:p>
            <w:pPr>
              <w:jc w:val="center"/>
              <w:rPr>
                <w:sz w:val="20"/>
                <w:szCs w:val="20"/>
              </w:rPr>
            </w:pPr>
            <w:r>
              <w:rPr>
                <w:rFonts w:hint="eastAsia"/>
                <w:sz w:val="20"/>
                <w:szCs w:val="20"/>
              </w:rPr>
              <w:t>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6</w:t>
            </w:r>
          </w:p>
        </w:tc>
        <w:tc>
          <w:tcPr>
            <w:tcW w:w="1583" w:type="dxa"/>
            <w:shd w:val="clear" w:color="000000" w:fill="FFFFFF"/>
            <w:vAlign w:val="center"/>
          </w:tcPr>
          <w:p>
            <w:pPr>
              <w:jc w:val="center"/>
              <w:rPr>
                <w:sz w:val="20"/>
                <w:szCs w:val="20"/>
              </w:rPr>
            </w:pPr>
            <w:r>
              <w:rPr>
                <w:rFonts w:hint="eastAsia"/>
                <w:sz w:val="20"/>
                <w:szCs w:val="20"/>
              </w:rPr>
              <w:t>addon培训</w:t>
            </w:r>
          </w:p>
        </w:tc>
        <w:tc>
          <w:tcPr>
            <w:tcW w:w="2961" w:type="dxa"/>
            <w:shd w:val="clear" w:color="000000" w:fill="FFFFFF"/>
            <w:vAlign w:val="center"/>
          </w:tcPr>
          <w:p>
            <w:pPr>
              <w:jc w:val="center"/>
              <w:rPr>
                <w:sz w:val="20"/>
                <w:szCs w:val="20"/>
              </w:rPr>
            </w:pPr>
            <w:r>
              <w:rPr>
                <w:rFonts w:hint="eastAsia"/>
                <w:sz w:val="20"/>
                <w:szCs w:val="20"/>
              </w:rPr>
              <w:t>提升addon开发能力</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11</w:t>
            </w:r>
          </w:p>
        </w:tc>
        <w:tc>
          <w:tcPr>
            <w:tcW w:w="737" w:type="dxa"/>
            <w:shd w:val="clear" w:color="000000" w:fill="FFFFFF"/>
            <w:vAlign w:val="center"/>
          </w:tcPr>
          <w:p>
            <w:pPr>
              <w:pStyle w:val="145"/>
              <w:spacing w:line="360" w:lineRule="auto"/>
            </w:pPr>
            <w:r>
              <w:t>1</w:t>
            </w:r>
          </w:p>
        </w:tc>
        <w:tc>
          <w:tcPr>
            <w:tcW w:w="1039" w:type="dxa"/>
            <w:shd w:val="clear" w:color="000000" w:fill="FFFFFF"/>
            <w:vAlign w:val="center"/>
          </w:tcPr>
          <w:p>
            <w:pPr>
              <w:jc w:val="center"/>
              <w:rPr>
                <w:sz w:val="20"/>
                <w:szCs w:val="20"/>
              </w:rPr>
            </w:pPr>
            <w:r>
              <w:rPr>
                <w:rFonts w:hint="eastAsia"/>
                <w:sz w:val="20"/>
                <w:szCs w:val="20"/>
              </w:rPr>
              <w:t>6月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t>7</w:t>
            </w:r>
          </w:p>
        </w:tc>
        <w:tc>
          <w:tcPr>
            <w:tcW w:w="1583" w:type="dxa"/>
            <w:shd w:val="clear" w:color="000000" w:fill="FFFFFF"/>
            <w:vAlign w:val="center"/>
          </w:tcPr>
          <w:p>
            <w:pPr>
              <w:jc w:val="center"/>
              <w:rPr>
                <w:sz w:val="20"/>
                <w:szCs w:val="20"/>
              </w:rPr>
            </w:pPr>
            <w:r>
              <w:rPr>
                <w:rFonts w:hint="eastAsia"/>
                <w:sz w:val="20"/>
                <w:szCs w:val="20"/>
              </w:rPr>
              <w:t>项目管理实务</w:t>
            </w:r>
          </w:p>
        </w:tc>
        <w:tc>
          <w:tcPr>
            <w:tcW w:w="2961" w:type="dxa"/>
            <w:shd w:val="clear" w:color="000000" w:fill="FFFFFF"/>
            <w:vAlign w:val="center"/>
          </w:tcPr>
          <w:p>
            <w:pPr>
              <w:jc w:val="center"/>
              <w:rPr>
                <w:sz w:val="20"/>
                <w:szCs w:val="20"/>
              </w:rPr>
            </w:pPr>
            <w:r>
              <w:rPr>
                <w:rFonts w:hint="eastAsia"/>
                <w:sz w:val="20"/>
                <w:szCs w:val="20"/>
              </w:rPr>
              <w:t>提升项目管理能力</w:t>
            </w:r>
          </w:p>
        </w:tc>
        <w:tc>
          <w:tcPr>
            <w:tcW w:w="743" w:type="dxa"/>
            <w:shd w:val="clear" w:color="000000" w:fill="FFFFFF"/>
            <w:vAlign w:val="center"/>
          </w:tcPr>
          <w:p>
            <w:pPr>
              <w:pStyle w:val="145"/>
              <w:spacing w:line="360" w:lineRule="auto"/>
            </w:pPr>
            <w:r>
              <w:t>1</w:t>
            </w:r>
          </w:p>
        </w:tc>
        <w:tc>
          <w:tcPr>
            <w:tcW w:w="737" w:type="dxa"/>
            <w:shd w:val="clear" w:color="000000" w:fill="FFFFFF"/>
            <w:vAlign w:val="center"/>
          </w:tcPr>
          <w:p>
            <w:pPr>
              <w:pStyle w:val="145"/>
              <w:spacing w:line="360" w:lineRule="auto"/>
            </w:pPr>
            <w:r>
              <w:rPr>
                <w:rFonts w:hint="eastAsia"/>
              </w:rPr>
              <w:t>9</w:t>
            </w:r>
          </w:p>
        </w:tc>
        <w:tc>
          <w:tcPr>
            <w:tcW w:w="737" w:type="dxa"/>
            <w:shd w:val="clear" w:color="000000" w:fill="FFFFFF"/>
            <w:vAlign w:val="center"/>
          </w:tcPr>
          <w:p>
            <w:pPr>
              <w:pStyle w:val="145"/>
              <w:spacing w:line="360" w:lineRule="auto"/>
            </w:pPr>
            <w:r>
              <w:t>1</w:t>
            </w:r>
          </w:p>
        </w:tc>
        <w:tc>
          <w:tcPr>
            <w:tcW w:w="1039" w:type="dxa"/>
            <w:shd w:val="clear" w:color="000000" w:fill="FFFFFF"/>
            <w:vAlign w:val="center"/>
          </w:tcPr>
          <w:p>
            <w:pPr>
              <w:jc w:val="center"/>
              <w:rPr>
                <w:sz w:val="20"/>
                <w:szCs w:val="20"/>
              </w:rPr>
            </w:pPr>
            <w:r>
              <w:rPr>
                <w:rFonts w:hint="eastAsia"/>
                <w:sz w:val="20"/>
                <w:szCs w:val="20"/>
              </w:rPr>
              <w:t>7月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8</w:t>
            </w:r>
          </w:p>
        </w:tc>
        <w:tc>
          <w:tcPr>
            <w:tcW w:w="1583" w:type="dxa"/>
            <w:shd w:val="clear" w:color="000000" w:fill="FFFFFF"/>
            <w:vAlign w:val="center"/>
          </w:tcPr>
          <w:p>
            <w:pPr>
              <w:jc w:val="center"/>
              <w:rPr>
                <w:sz w:val="20"/>
                <w:szCs w:val="20"/>
              </w:rPr>
            </w:pPr>
            <w:r>
              <w:rPr>
                <w:rFonts w:hint="eastAsia"/>
                <w:sz w:val="20"/>
                <w:szCs w:val="20"/>
              </w:rPr>
              <w:t>管理能力提升</w:t>
            </w:r>
          </w:p>
        </w:tc>
        <w:tc>
          <w:tcPr>
            <w:tcW w:w="2961" w:type="dxa"/>
            <w:shd w:val="clear" w:color="000000" w:fill="FFFFFF"/>
            <w:vAlign w:val="center"/>
          </w:tcPr>
          <w:p>
            <w:pPr>
              <w:jc w:val="center"/>
              <w:rPr>
                <w:sz w:val="20"/>
                <w:szCs w:val="20"/>
              </w:rPr>
            </w:pPr>
            <w:r>
              <w:rPr>
                <w:rFonts w:hint="eastAsia"/>
                <w:sz w:val="20"/>
                <w:szCs w:val="20"/>
              </w:rPr>
              <w:t>提高部门经理管理能力</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7</w:t>
            </w:r>
          </w:p>
        </w:tc>
        <w:tc>
          <w:tcPr>
            <w:tcW w:w="737" w:type="dxa"/>
            <w:shd w:val="clear" w:color="000000" w:fill="FFFFFF"/>
            <w:vAlign w:val="center"/>
          </w:tcPr>
          <w:p>
            <w:pPr>
              <w:pStyle w:val="145"/>
              <w:spacing w:line="360" w:lineRule="auto"/>
            </w:pPr>
            <w:r>
              <w:rPr>
                <w:rFonts w:hint="eastAsia"/>
              </w:rPr>
              <w:t>1</w:t>
            </w:r>
          </w:p>
        </w:tc>
        <w:tc>
          <w:tcPr>
            <w:tcW w:w="1039" w:type="dxa"/>
            <w:shd w:val="clear" w:color="000000" w:fill="FFFFFF"/>
            <w:vAlign w:val="center"/>
          </w:tcPr>
          <w:p>
            <w:pPr>
              <w:jc w:val="center"/>
              <w:rPr>
                <w:sz w:val="20"/>
                <w:szCs w:val="20"/>
              </w:rPr>
            </w:pPr>
            <w:r>
              <w:rPr>
                <w:rFonts w:hint="eastAsia"/>
                <w:sz w:val="20"/>
                <w:szCs w:val="20"/>
              </w:rPr>
              <w:t>8月</w:t>
            </w:r>
          </w:p>
        </w:tc>
        <w:tc>
          <w:tcPr>
            <w:tcW w:w="987" w:type="dxa"/>
            <w:gridSpan w:val="2"/>
            <w:shd w:val="clear" w:color="000000" w:fill="FFFFFF"/>
            <w:vAlign w:val="center"/>
          </w:tcPr>
          <w:p>
            <w:pPr>
              <w:jc w:val="center"/>
              <w:rPr>
                <w:sz w:val="20"/>
                <w:szCs w:val="20"/>
              </w:rPr>
            </w:pPr>
            <w:r>
              <w:rPr>
                <w:rFonts w:hint="eastAsia"/>
                <w:sz w:val="20"/>
                <w:szCs w:val="20"/>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9</w:t>
            </w:r>
          </w:p>
        </w:tc>
        <w:tc>
          <w:tcPr>
            <w:tcW w:w="1583" w:type="dxa"/>
            <w:shd w:val="clear" w:color="000000" w:fill="FFFFFF"/>
            <w:vAlign w:val="center"/>
          </w:tcPr>
          <w:p>
            <w:pPr>
              <w:jc w:val="center"/>
              <w:rPr>
                <w:sz w:val="20"/>
                <w:szCs w:val="20"/>
              </w:rPr>
            </w:pPr>
            <w:r>
              <w:rPr>
                <w:rFonts w:hint="eastAsia"/>
                <w:sz w:val="20"/>
                <w:szCs w:val="20"/>
              </w:rPr>
              <w:t>组织标准过程集培训</w:t>
            </w:r>
          </w:p>
        </w:tc>
        <w:tc>
          <w:tcPr>
            <w:tcW w:w="2961" w:type="dxa"/>
            <w:shd w:val="clear" w:color="000000" w:fill="FFFFFF"/>
            <w:vAlign w:val="center"/>
          </w:tcPr>
          <w:p>
            <w:pPr>
              <w:jc w:val="center"/>
              <w:rPr>
                <w:sz w:val="20"/>
                <w:szCs w:val="20"/>
              </w:rPr>
            </w:pPr>
            <w:r>
              <w:rPr>
                <w:rFonts w:hint="eastAsia"/>
                <w:sz w:val="20"/>
                <w:szCs w:val="20"/>
              </w:rPr>
              <w:t>加强研发过程管理</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14</w:t>
            </w:r>
          </w:p>
        </w:tc>
        <w:tc>
          <w:tcPr>
            <w:tcW w:w="737" w:type="dxa"/>
            <w:shd w:val="clear" w:color="000000" w:fill="FFFFFF"/>
            <w:vAlign w:val="center"/>
          </w:tcPr>
          <w:p>
            <w:pPr>
              <w:pStyle w:val="145"/>
              <w:spacing w:line="360" w:lineRule="auto"/>
            </w:pPr>
            <w:r>
              <w:t>2</w:t>
            </w:r>
          </w:p>
        </w:tc>
        <w:tc>
          <w:tcPr>
            <w:tcW w:w="1039" w:type="dxa"/>
            <w:shd w:val="clear" w:color="000000" w:fill="FFFFFF"/>
            <w:vAlign w:val="center"/>
          </w:tcPr>
          <w:p>
            <w:pPr>
              <w:jc w:val="center"/>
              <w:rPr>
                <w:sz w:val="20"/>
                <w:szCs w:val="20"/>
              </w:rPr>
            </w:pPr>
            <w:r>
              <w:rPr>
                <w:rFonts w:hint="eastAsia"/>
                <w:sz w:val="20"/>
                <w:szCs w:val="20"/>
              </w:rPr>
              <w:t>9月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10</w:t>
            </w:r>
          </w:p>
        </w:tc>
        <w:tc>
          <w:tcPr>
            <w:tcW w:w="1583" w:type="dxa"/>
            <w:shd w:val="clear" w:color="000000" w:fill="FFFFFF"/>
            <w:vAlign w:val="center"/>
          </w:tcPr>
          <w:p>
            <w:pPr>
              <w:jc w:val="center"/>
              <w:rPr>
                <w:color w:val="000000"/>
                <w:sz w:val="20"/>
                <w:szCs w:val="20"/>
              </w:rPr>
            </w:pPr>
            <w:r>
              <w:rPr>
                <w:rFonts w:hint="eastAsia"/>
                <w:color w:val="000000"/>
                <w:sz w:val="20"/>
                <w:szCs w:val="20"/>
              </w:rPr>
              <w:t>商务风险防范</w:t>
            </w:r>
          </w:p>
        </w:tc>
        <w:tc>
          <w:tcPr>
            <w:tcW w:w="2961" w:type="dxa"/>
            <w:shd w:val="clear" w:color="000000" w:fill="FFFFFF"/>
            <w:vAlign w:val="center"/>
          </w:tcPr>
          <w:p>
            <w:pPr>
              <w:jc w:val="center"/>
              <w:rPr>
                <w:color w:val="000000"/>
                <w:sz w:val="20"/>
                <w:szCs w:val="20"/>
              </w:rPr>
            </w:pPr>
            <w:r>
              <w:rPr>
                <w:rFonts w:hint="eastAsia"/>
                <w:color w:val="000000"/>
                <w:sz w:val="20"/>
                <w:szCs w:val="20"/>
              </w:rPr>
              <w:t>强化商务风险意识</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5</w:t>
            </w:r>
          </w:p>
        </w:tc>
        <w:tc>
          <w:tcPr>
            <w:tcW w:w="737" w:type="dxa"/>
            <w:shd w:val="clear" w:color="000000" w:fill="FFFFFF"/>
            <w:vAlign w:val="center"/>
          </w:tcPr>
          <w:p>
            <w:pPr>
              <w:pStyle w:val="145"/>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10月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11</w:t>
            </w:r>
          </w:p>
        </w:tc>
        <w:tc>
          <w:tcPr>
            <w:tcW w:w="1583" w:type="dxa"/>
            <w:shd w:val="clear" w:color="000000" w:fill="FFFFFF"/>
            <w:vAlign w:val="center"/>
          </w:tcPr>
          <w:p>
            <w:pPr>
              <w:jc w:val="center"/>
              <w:rPr>
                <w:color w:val="000000"/>
                <w:sz w:val="20"/>
                <w:szCs w:val="20"/>
              </w:rPr>
            </w:pPr>
            <w:r>
              <w:rPr>
                <w:rFonts w:hint="eastAsia"/>
                <w:color w:val="000000"/>
                <w:sz w:val="20"/>
                <w:szCs w:val="20"/>
              </w:rPr>
              <w:t>运维工具使用培训</w:t>
            </w:r>
          </w:p>
        </w:tc>
        <w:tc>
          <w:tcPr>
            <w:tcW w:w="2961" w:type="dxa"/>
            <w:shd w:val="clear" w:color="000000" w:fill="FFFFFF"/>
            <w:vAlign w:val="center"/>
          </w:tcPr>
          <w:p>
            <w:pPr>
              <w:jc w:val="center"/>
              <w:rPr>
                <w:sz w:val="20"/>
                <w:szCs w:val="20"/>
              </w:rPr>
            </w:pPr>
            <w:r>
              <w:rPr>
                <w:rFonts w:hint="eastAsia"/>
                <w:sz w:val="20"/>
                <w:szCs w:val="20"/>
              </w:rPr>
              <w:t>运维服务管理系统操作使用培训和监控工具使用培训</w:t>
            </w:r>
          </w:p>
        </w:tc>
        <w:tc>
          <w:tcPr>
            <w:tcW w:w="743" w:type="dxa"/>
            <w:shd w:val="clear" w:color="000000" w:fill="FFFFFF"/>
            <w:vAlign w:val="center"/>
          </w:tcPr>
          <w:p>
            <w:pPr>
              <w:pStyle w:val="145"/>
              <w:spacing w:line="360" w:lineRule="auto"/>
            </w:pPr>
            <w:r>
              <w:rPr>
                <w:rFonts w:hint="eastAsia"/>
              </w:rPr>
              <w:t>2</w:t>
            </w:r>
          </w:p>
        </w:tc>
        <w:tc>
          <w:tcPr>
            <w:tcW w:w="737" w:type="dxa"/>
            <w:shd w:val="clear" w:color="000000" w:fill="FFFFFF"/>
            <w:vAlign w:val="center"/>
          </w:tcPr>
          <w:p>
            <w:pPr>
              <w:pStyle w:val="145"/>
              <w:spacing w:line="360" w:lineRule="auto"/>
            </w:pPr>
            <w:r>
              <w:rPr>
                <w:rFonts w:hint="eastAsia"/>
              </w:rPr>
              <w:t>20</w:t>
            </w:r>
          </w:p>
        </w:tc>
        <w:tc>
          <w:tcPr>
            <w:tcW w:w="737" w:type="dxa"/>
            <w:shd w:val="clear" w:color="000000" w:fill="FFFFFF"/>
            <w:vAlign w:val="center"/>
          </w:tcPr>
          <w:p>
            <w:pPr>
              <w:pStyle w:val="145"/>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3/7月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12</w:t>
            </w:r>
          </w:p>
        </w:tc>
        <w:tc>
          <w:tcPr>
            <w:tcW w:w="1583" w:type="dxa"/>
            <w:shd w:val="clear" w:color="000000" w:fill="FFFFFF"/>
            <w:vAlign w:val="center"/>
          </w:tcPr>
          <w:p>
            <w:pPr>
              <w:jc w:val="center"/>
              <w:rPr>
                <w:color w:val="000000"/>
                <w:sz w:val="20"/>
                <w:szCs w:val="20"/>
              </w:rPr>
            </w:pPr>
            <w:r>
              <w:rPr>
                <w:rFonts w:hint="eastAsia"/>
                <w:color w:val="000000"/>
                <w:sz w:val="20"/>
                <w:szCs w:val="20"/>
              </w:rPr>
              <w:t>ITSS标准培训</w:t>
            </w:r>
          </w:p>
        </w:tc>
        <w:tc>
          <w:tcPr>
            <w:tcW w:w="2961" w:type="dxa"/>
            <w:shd w:val="clear" w:color="000000" w:fill="FFFFFF"/>
            <w:vAlign w:val="center"/>
          </w:tcPr>
          <w:p>
            <w:pPr>
              <w:jc w:val="center"/>
              <w:rPr>
                <w:sz w:val="20"/>
                <w:szCs w:val="20"/>
              </w:rPr>
            </w:pPr>
            <w:r>
              <w:rPr>
                <w:rFonts w:hint="eastAsia"/>
                <w:sz w:val="20"/>
                <w:szCs w:val="20"/>
              </w:rPr>
              <w:t>ITSS.1-2015《信息技术服务 运行维护服务能力成熟度模型》</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5</w:t>
            </w:r>
          </w:p>
        </w:tc>
        <w:tc>
          <w:tcPr>
            <w:tcW w:w="737" w:type="dxa"/>
            <w:shd w:val="clear" w:color="000000" w:fill="FFFFFF"/>
            <w:vAlign w:val="center"/>
          </w:tcPr>
          <w:p>
            <w:pPr>
              <w:pStyle w:val="145"/>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8月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13</w:t>
            </w:r>
          </w:p>
        </w:tc>
        <w:tc>
          <w:tcPr>
            <w:tcW w:w="1583" w:type="dxa"/>
            <w:shd w:val="clear" w:color="000000" w:fill="FFFFFF"/>
            <w:vAlign w:val="center"/>
          </w:tcPr>
          <w:p>
            <w:pPr>
              <w:rPr>
                <w:color w:val="000000"/>
                <w:sz w:val="20"/>
                <w:szCs w:val="20"/>
              </w:rPr>
            </w:pPr>
            <w:r>
              <w:rPr>
                <w:rFonts w:hint="eastAsia"/>
                <w:color w:val="000000"/>
                <w:sz w:val="20"/>
                <w:szCs w:val="20"/>
              </w:rPr>
              <w:t>ITSS服务工程师培训</w:t>
            </w:r>
          </w:p>
        </w:tc>
        <w:tc>
          <w:tcPr>
            <w:tcW w:w="2961" w:type="dxa"/>
            <w:shd w:val="clear" w:color="000000" w:fill="FFFFFF"/>
            <w:vAlign w:val="center"/>
          </w:tcPr>
          <w:p>
            <w:pPr>
              <w:jc w:val="center"/>
              <w:rPr>
                <w:sz w:val="20"/>
                <w:szCs w:val="20"/>
              </w:rPr>
            </w:pPr>
            <w:r>
              <w:rPr>
                <w:rFonts w:hint="eastAsia"/>
                <w:sz w:val="20"/>
                <w:szCs w:val="20"/>
              </w:rPr>
              <w:t>ITSS服务工程师教程</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2</w:t>
            </w:r>
          </w:p>
        </w:tc>
        <w:tc>
          <w:tcPr>
            <w:tcW w:w="737" w:type="dxa"/>
            <w:shd w:val="clear" w:color="000000" w:fill="FFFFFF"/>
            <w:vAlign w:val="center"/>
          </w:tcPr>
          <w:p>
            <w:pPr>
              <w:pStyle w:val="145"/>
              <w:spacing w:line="360" w:lineRule="auto"/>
            </w:pPr>
            <w:r>
              <w:rPr>
                <w:rFonts w:hint="eastAsia"/>
              </w:rPr>
              <w:t>3</w:t>
            </w:r>
          </w:p>
        </w:tc>
        <w:tc>
          <w:tcPr>
            <w:tcW w:w="1039" w:type="dxa"/>
            <w:shd w:val="clear" w:color="000000" w:fill="FFFFFF"/>
            <w:vAlign w:val="center"/>
          </w:tcPr>
          <w:p>
            <w:pPr>
              <w:jc w:val="center"/>
              <w:rPr>
                <w:color w:val="000000"/>
                <w:sz w:val="20"/>
                <w:szCs w:val="20"/>
              </w:rPr>
            </w:pPr>
            <w:r>
              <w:rPr>
                <w:rFonts w:hint="eastAsia"/>
                <w:color w:val="000000"/>
                <w:sz w:val="20"/>
                <w:szCs w:val="20"/>
              </w:rPr>
              <w:t>10月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6000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640" w:hRule="atLeast"/>
        </w:trPr>
        <w:tc>
          <w:tcPr>
            <w:tcW w:w="496" w:type="dxa"/>
            <w:shd w:val="clear" w:color="000000" w:fill="FFFFFF"/>
            <w:vAlign w:val="center"/>
          </w:tcPr>
          <w:p>
            <w:pPr>
              <w:pStyle w:val="145"/>
              <w:spacing w:line="360" w:lineRule="auto"/>
            </w:pPr>
            <w:r>
              <w:rPr>
                <w:rFonts w:hint="eastAsia"/>
              </w:rPr>
              <w:t>14</w:t>
            </w:r>
          </w:p>
        </w:tc>
        <w:tc>
          <w:tcPr>
            <w:tcW w:w="1583" w:type="dxa"/>
            <w:shd w:val="clear" w:color="000000" w:fill="FFFFFF"/>
            <w:vAlign w:val="center"/>
          </w:tcPr>
          <w:p>
            <w:pPr>
              <w:rPr>
                <w:color w:val="000000"/>
                <w:sz w:val="20"/>
                <w:szCs w:val="20"/>
              </w:rPr>
            </w:pPr>
            <w:r>
              <w:rPr>
                <w:rFonts w:hint="eastAsia"/>
                <w:color w:val="000000"/>
                <w:sz w:val="20"/>
                <w:szCs w:val="20"/>
              </w:rPr>
              <w:t>ITSS项目经理培训</w:t>
            </w:r>
          </w:p>
        </w:tc>
        <w:tc>
          <w:tcPr>
            <w:tcW w:w="2961" w:type="dxa"/>
            <w:shd w:val="clear" w:color="000000" w:fill="FFFFFF"/>
            <w:vAlign w:val="center"/>
          </w:tcPr>
          <w:p>
            <w:pPr>
              <w:jc w:val="center"/>
              <w:rPr>
                <w:sz w:val="20"/>
                <w:szCs w:val="20"/>
              </w:rPr>
            </w:pPr>
            <w:r>
              <w:rPr>
                <w:rFonts w:hint="eastAsia"/>
                <w:sz w:val="20"/>
                <w:szCs w:val="20"/>
              </w:rPr>
              <w:t>ITSS项目经理教程</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5</w:t>
            </w:r>
          </w:p>
        </w:tc>
        <w:tc>
          <w:tcPr>
            <w:tcW w:w="1039" w:type="dxa"/>
            <w:shd w:val="clear" w:color="000000" w:fill="FFFFFF"/>
            <w:vAlign w:val="center"/>
          </w:tcPr>
          <w:p>
            <w:pPr>
              <w:jc w:val="center"/>
              <w:rPr>
                <w:color w:val="000000"/>
                <w:sz w:val="20"/>
                <w:szCs w:val="20"/>
              </w:rPr>
            </w:pPr>
            <w:r>
              <w:rPr>
                <w:rFonts w:hint="eastAsia"/>
                <w:color w:val="000000"/>
                <w:sz w:val="20"/>
                <w:szCs w:val="20"/>
              </w:rPr>
              <w:t>12月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6800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15</w:t>
            </w:r>
          </w:p>
        </w:tc>
        <w:tc>
          <w:tcPr>
            <w:tcW w:w="1583" w:type="dxa"/>
            <w:shd w:val="clear" w:color="000000" w:fill="FFFFFF"/>
            <w:vAlign w:val="center"/>
          </w:tcPr>
          <w:p>
            <w:pPr>
              <w:rPr>
                <w:color w:val="000000"/>
                <w:sz w:val="20"/>
                <w:szCs w:val="20"/>
              </w:rPr>
            </w:pPr>
            <w:r>
              <w:rPr>
                <w:rFonts w:hint="eastAsia"/>
                <w:color w:val="000000"/>
                <w:sz w:val="20"/>
                <w:szCs w:val="20"/>
              </w:rPr>
              <w:t>SAP培训</w:t>
            </w:r>
          </w:p>
        </w:tc>
        <w:tc>
          <w:tcPr>
            <w:tcW w:w="2961" w:type="dxa"/>
            <w:shd w:val="clear" w:color="000000" w:fill="FFFFFF"/>
            <w:vAlign w:val="center"/>
          </w:tcPr>
          <w:p>
            <w:pPr>
              <w:jc w:val="center"/>
              <w:rPr>
                <w:sz w:val="20"/>
                <w:szCs w:val="20"/>
              </w:rPr>
            </w:pPr>
            <w:r>
              <w:rPr>
                <w:rFonts w:hint="eastAsia"/>
                <w:sz w:val="20"/>
                <w:szCs w:val="20"/>
              </w:rPr>
              <w:t>SAP系统模块介绍</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30</w:t>
            </w:r>
          </w:p>
        </w:tc>
        <w:tc>
          <w:tcPr>
            <w:tcW w:w="737" w:type="dxa"/>
            <w:shd w:val="clear" w:color="000000" w:fill="FFFFFF"/>
            <w:vAlign w:val="center"/>
          </w:tcPr>
          <w:p>
            <w:pPr>
              <w:pStyle w:val="145"/>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4/8月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pPr>
              <w:pStyle w:val="145"/>
              <w:spacing w:line="360" w:lineRule="auto"/>
            </w:pPr>
            <w:r>
              <w:rPr>
                <w:rFonts w:hint="eastAsia"/>
              </w:rPr>
              <w:t>16</w:t>
            </w:r>
          </w:p>
        </w:tc>
        <w:tc>
          <w:tcPr>
            <w:tcW w:w="1583" w:type="dxa"/>
            <w:shd w:val="clear" w:color="000000" w:fill="FFFFFF"/>
            <w:vAlign w:val="center"/>
          </w:tcPr>
          <w:p>
            <w:pPr>
              <w:rPr>
                <w:color w:val="000000"/>
                <w:sz w:val="20"/>
                <w:szCs w:val="20"/>
              </w:rPr>
            </w:pPr>
            <w:r>
              <w:rPr>
                <w:rFonts w:hint="eastAsia"/>
                <w:color w:val="000000"/>
                <w:sz w:val="20"/>
                <w:szCs w:val="20"/>
              </w:rPr>
              <w:t>服务台培训</w:t>
            </w:r>
          </w:p>
        </w:tc>
        <w:tc>
          <w:tcPr>
            <w:tcW w:w="2961" w:type="dxa"/>
            <w:shd w:val="clear" w:color="000000" w:fill="FFFFFF"/>
            <w:vAlign w:val="center"/>
          </w:tcPr>
          <w:p>
            <w:pPr>
              <w:jc w:val="center"/>
              <w:rPr>
                <w:sz w:val="20"/>
                <w:szCs w:val="20"/>
              </w:rPr>
            </w:pPr>
            <w:r>
              <w:rPr>
                <w:rFonts w:hint="eastAsia"/>
                <w:sz w:val="20"/>
                <w:szCs w:val="20"/>
              </w:rPr>
              <w:t>客户服务过程、满意度调查</w:t>
            </w:r>
          </w:p>
        </w:tc>
        <w:tc>
          <w:tcPr>
            <w:tcW w:w="743" w:type="dxa"/>
            <w:shd w:val="clear" w:color="000000" w:fill="FFFFFF"/>
            <w:vAlign w:val="center"/>
          </w:tcPr>
          <w:p>
            <w:pPr>
              <w:pStyle w:val="145"/>
              <w:spacing w:line="360" w:lineRule="auto"/>
            </w:pPr>
            <w:r>
              <w:rPr>
                <w:rFonts w:hint="eastAsia"/>
              </w:rPr>
              <w:t>1</w:t>
            </w:r>
          </w:p>
        </w:tc>
        <w:tc>
          <w:tcPr>
            <w:tcW w:w="737" w:type="dxa"/>
            <w:shd w:val="clear" w:color="000000" w:fill="FFFFFF"/>
            <w:vAlign w:val="center"/>
          </w:tcPr>
          <w:p>
            <w:pPr>
              <w:pStyle w:val="145"/>
              <w:spacing w:line="360" w:lineRule="auto"/>
            </w:pPr>
            <w:r>
              <w:rPr>
                <w:rFonts w:hint="eastAsia"/>
              </w:rPr>
              <w:t>4</w:t>
            </w:r>
          </w:p>
        </w:tc>
        <w:tc>
          <w:tcPr>
            <w:tcW w:w="737" w:type="dxa"/>
            <w:shd w:val="clear" w:color="000000" w:fill="FFFFFF"/>
            <w:vAlign w:val="center"/>
          </w:tcPr>
          <w:p>
            <w:pPr>
              <w:pStyle w:val="145"/>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3/9月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bookmarkEnd w:id="19"/>
    </w:tbl>
    <w:p>
      <w:pPr>
        <w:rPr>
          <w:rFonts w:ascii="宋体" w:hAnsi="宋体" w:cs="宋体"/>
          <w:sz w:val="24"/>
          <w:szCs w:val="24"/>
          <w:highlight w:val="yellow"/>
          <w:lang w:val="en-GB"/>
        </w:rPr>
      </w:pPr>
    </w:p>
    <w:p>
      <w:pPr>
        <w:spacing w:line="360" w:lineRule="auto"/>
        <w:ind w:firstLine="480" w:firstLineChars="200"/>
        <w:rPr>
          <w:rFonts w:ascii="宋体" w:hAnsi="宋体"/>
          <w:sz w:val="24"/>
          <w:szCs w:val="24"/>
        </w:rPr>
      </w:pPr>
      <w:r>
        <w:rPr>
          <w:rFonts w:hint="eastAsia" w:ascii="宋体" w:hAnsi="宋体"/>
          <w:sz w:val="24"/>
          <w:szCs w:val="24"/>
        </w:rPr>
        <w:t>公司人力资源部将依照上述要求和2019年运维服务目标编制《2019年人员招聘计划》、《2019年培训计划》，贯彻执行。</w:t>
      </w:r>
    </w:p>
    <w:p>
      <w:pPr>
        <w:spacing w:line="360" w:lineRule="auto"/>
        <w:ind w:firstLine="482" w:firstLineChars="200"/>
        <w:rPr>
          <w:rFonts w:ascii="宋体" w:hAnsi="宋体"/>
          <w:b/>
          <w:sz w:val="24"/>
          <w:szCs w:val="24"/>
        </w:rPr>
      </w:pPr>
      <w:r>
        <w:rPr>
          <w:rFonts w:ascii="宋体" w:hAnsi="宋体"/>
          <w:b/>
          <w:sz w:val="24"/>
          <w:szCs w:val="24"/>
        </w:rPr>
        <w:t>绩效考核</w:t>
      </w:r>
    </w:p>
    <w:p>
      <w:pPr>
        <w:spacing w:line="360" w:lineRule="auto"/>
        <w:ind w:firstLine="480" w:firstLineChars="200"/>
        <w:rPr>
          <w:rFonts w:ascii="宋体" w:hAnsi="宋体"/>
          <w:sz w:val="24"/>
          <w:szCs w:val="24"/>
        </w:rPr>
      </w:pPr>
      <w:r>
        <w:rPr>
          <w:rFonts w:hint="eastAsia" w:ascii="宋体" w:hAnsi="宋体"/>
          <w:sz w:val="24"/>
          <w:szCs w:val="24"/>
        </w:rPr>
        <w:t>2019年公司将在总结以前年度绩效考核工作经验的基础上，结合工作目标，对绩效考核方法进行优化完善，建立更加科学的绩效考核评价体系，对员工的工作、学习、成长、效率、培训、发展等进行全方位的定量和定性的考核。主要工作计划如下：</w:t>
      </w:r>
    </w:p>
    <w:p>
      <w:pPr>
        <w:spacing w:line="360" w:lineRule="auto"/>
        <w:ind w:firstLine="480" w:firstLineChars="200"/>
        <w:rPr>
          <w:rFonts w:ascii="宋体" w:hAnsi="宋体"/>
          <w:sz w:val="24"/>
          <w:szCs w:val="24"/>
        </w:rPr>
      </w:pPr>
      <w:r>
        <w:rPr>
          <w:rFonts w:hint="eastAsia" w:ascii="宋体" w:hAnsi="宋体"/>
          <w:sz w:val="24"/>
          <w:szCs w:val="24"/>
        </w:rPr>
        <w:t>(1)在2019年</w:t>
      </w:r>
      <w:r>
        <w:rPr>
          <w:rFonts w:ascii="宋体" w:hAnsi="宋体"/>
          <w:sz w:val="24"/>
          <w:szCs w:val="24"/>
        </w:rPr>
        <w:t>1</w:t>
      </w:r>
      <w:r>
        <w:rPr>
          <w:rFonts w:hint="eastAsia" w:ascii="宋体" w:hAnsi="宋体"/>
          <w:sz w:val="24"/>
          <w:szCs w:val="24"/>
        </w:rPr>
        <w:t>2月底前，更新完善岗位职责说明书，并根据实际情况每年进行一次修改完善。</w:t>
      </w:r>
    </w:p>
    <w:p>
      <w:pPr>
        <w:spacing w:line="360" w:lineRule="auto"/>
        <w:ind w:firstLine="480" w:firstLineChars="200"/>
        <w:rPr>
          <w:rFonts w:ascii="宋体" w:hAnsi="宋体"/>
          <w:sz w:val="24"/>
          <w:szCs w:val="24"/>
        </w:rPr>
      </w:pPr>
      <w:r>
        <w:rPr>
          <w:rFonts w:hint="eastAsia" w:ascii="宋体" w:hAnsi="宋体"/>
          <w:sz w:val="24"/>
          <w:szCs w:val="24"/>
        </w:rPr>
        <w:t>(2)在2019年</w:t>
      </w:r>
      <w:r>
        <w:rPr>
          <w:rFonts w:ascii="宋体" w:hAnsi="宋体"/>
          <w:sz w:val="24"/>
          <w:szCs w:val="24"/>
        </w:rPr>
        <w:t>1</w:t>
      </w:r>
      <w:r>
        <w:rPr>
          <w:rFonts w:hint="eastAsia" w:ascii="宋体" w:hAnsi="宋体"/>
          <w:sz w:val="24"/>
          <w:szCs w:val="24"/>
        </w:rPr>
        <w:t>2月底前，基于公司原有年度绩效考核方法进行优化完善，颁布公司《绩效考核管理办法》。</w:t>
      </w:r>
    </w:p>
    <w:p>
      <w:pPr>
        <w:spacing w:line="360" w:lineRule="auto"/>
        <w:ind w:firstLine="480" w:firstLineChars="200"/>
        <w:rPr>
          <w:rFonts w:ascii="宋体" w:hAnsi="宋体" w:cs="宋体"/>
          <w:sz w:val="24"/>
          <w:szCs w:val="24"/>
        </w:rPr>
      </w:pPr>
      <w:r>
        <w:rPr>
          <w:rFonts w:hint="eastAsia" w:ascii="宋体" w:hAnsi="宋体"/>
          <w:sz w:val="24"/>
          <w:szCs w:val="24"/>
        </w:rPr>
        <w:t>(3)根椐《绩效考核管理办法》，在 12月对员工绩效进行年度考核。</w:t>
      </w:r>
    </w:p>
    <w:p>
      <w:pPr>
        <w:pStyle w:val="3"/>
        <w:spacing w:before="120" w:after="120"/>
        <w:ind w:left="663" w:hanging="663" w:hangingChars="275"/>
        <w:rPr>
          <w:rFonts w:ascii="宋体" w:hAnsi="宋体" w:cs="宋体"/>
          <w:szCs w:val="24"/>
        </w:rPr>
      </w:pPr>
      <w:bookmarkStart w:id="20" w:name="_Toc472596550"/>
      <w:bookmarkStart w:id="21" w:name="_Toc17016"/>
      <w:r>
        <w:rPr>
          <w:rFonts w:hint="eastAsia" w:ascii="宋体" w:hAnsi="宋体" w:eastAsia="宋体" w:cs="宋体"/>
          <w:szCs w:val="24"/>
        </w:rPr>
        <w:t>资源管理计划</w:t>
      </w:r>
      <w:bookmarkEnd w:id="20"/>
      <w:bookmarkEnd w:id="21"/>
    </w:p>
    <w:p>
      <w:pPr>
        <w:spacing w:line="360" w:lineRule="auto"/>
        <w:ind w:firstLine="480" w:firstLineChars="200"/>
        <w:rPr>
          <w:rFonts w:ascii="宋体" w:hAnsi="宋体"/>
          <w:sz w:val="24"/>
          <w:szCs w:val="24"/>
        </w:rPr>
      </w:pPr>
      <w:r>
        <w:rPr>
          <w:rFonts w:ascii="宋体" w:hAnsi="宋体"/>
          <w:sz w:val="24"/>
          <w:szCs w:val="24"/>
        </w:rPr>
        <w:t>资源达成目标</w:t>
      </w:r>
    </w:p>
    <w:tbl>
      <w:tblPr>
        <w:tblStyle w:val="43"/>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CellMar>
            <w:top w:w="0" w:type="dxa"/>
            <w:left w:w="108" w:type="dxa"/>
            <w:bottom w:w="0" w:type="dxa"/>
            <w:right w:w="108" w:type="dxa"/>
          </w:tblCellMar>
        </w:tblPrEx>
        <w:trPr>
          <w:trHeight w:val="285" w:hRule="atLeast"/>
          <w:tblHeader/>
        </w:trPr>
        <w:tc>
          <w:tcPr>
            <w:tcW w:w="1080" w:type="dxa"/>
            <w:tcBorders>
              <w:top w:val="single" w:color="auto" w:sz="4" w:space="0"/>
              <w:left w:val="single" w:color="auto" w:sz="4" w:space="0"/>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tcBorders>
              <w:top w:val="single" w:color="auto" w:sz="4" w:space="0"/>
              <w:left w:val="nil"/>
              <w:bottom w:val="single" w:color="auto" w:sz="4" w:space="0"/>
              <w:right w:val="single" w:color="auto" w:sz="4" w:space="0"/>
            </w:tcBorders>
            <w:shd w:val="clear" w:color="000000" w:fill="C0C0C0"/>
            <w:vAlign w:val="center"/>
          </w:tcPr>
          <w:p>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cs="宋体"/>
                <w:kern w:val="0"/>
                <w:sz w:val="24"/>
                <w:szCs w:val="24"/>
              </w:rPr>
            </w:pPr>
            <w:r>
              <w:rPr>
                <w:rFonts w:hint="eastAsia" w:ascii="宋体" w:hAnsi="宋体" w:cs="宋体"/>
                <w:kern w:val="0"/>
                <w:sz w:val="24"/>
                <w:szCs w:val="24"/>
              </w:rPr>
              <w:t>运维工具</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rPr>
            </w:pPr>
            <w:r>
              <w:rPr>
                <w:rFonts w:hint="eastAsia" w:ascii="宋体" w:hAnsi="宋体" w:cs="宋体"/>
                <w:kern w:val="0"/>
                <w:szCs w:val="21"/>
              </w:rPr>
              <w:t>运维过程管理工具优化</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rPr>
            </w:pPr>
            <w:r>
              <w:rPr>
                <w:rFonts w:hint="eastAsia" w:ascii="宋体" w:hAnsi="宋体" w:cs="宋体"/>
                <w:kern w:val="0"/>
                <w:sz w:val="20"/>
              </w:rPr>
              <w:t>新增一个功能</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0"/>
              </w:rPr>
            </w:pPr>
            <w:r>
              <w:rPr>
                <w:rFonts w:hint="eastAsia" w:ascii="宋体" w:hAnsi="宋体" w:cs="宋体"/>
                <w:kern w:val="0"/>
                <w:sz w:val="20"/>
              </w:rPr>
              <w:t>运维管理部</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cs="宋体"/>
                <w:kern w:val="0"/>
                <w:sz w:val="20"/>
              </w:rPr>
              <w:t>评估报告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软件功能测试</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服务台</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93%</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服务台人员</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电话接通数量/来电总数╳100%</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知识库</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新增知识条目数量</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60条</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每半年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每年实际新增知识条目数量</w:t>
            </w:r>
          </w:p>
        </w:tc>
      </w:tr>
    </w:tbl>
    <w:p>
      <w:pPr>
        <w:spacing w:line="360" w:lineRule="auto"/>
        <w:ind w:firstLine="480" w:firstLineChars="200"/>
        <w:rPr>
          <w:rFonts w:ascii="宋体" w:hAnsi="宋体"/>
          <w:sz w:val="24"/>
          <w:szCs w:val="24"/>
        </w:rPr>
      </w:pPr>
      <w:r>
        <w:rPr>
          <w:rFonts w:hint="eastAsia" w:ascii="宋体" w:hAnsi="宋体"/>
          <w:sz w:val="24"/>
          <w:szCs w:val="24"/>
        </w:rPr>
        <w:t>为满足以上目标，特制定2019年的资源管理计划如下：</w:t>
      </w:r>
    </w:p>
    <w:tbl>
      <w:tblPr>
        <w:tblStyle w:val="43"/>
        <w:tblW w:w="8819" w:type="dxa"/>
        <w:tblInd w:w="93" w:type="dxa"/>
        <w:tblLayout w:type="fixed"/>
        <w:tblCellMar>
          <w:top w:w="0" w:type="dxa"/>
          <w:left w:w="108" w:type="dxa"/>
          <w:bottom w:w="0" w:type="dxa"/>
          <w:right w:w="108" w:type="dxa"/>
        </w:tblCellMar>
      </w:tblPr>
      <w:tblGrid>
        <w:gridCol w:w="1744"/>
        <w:gridCol w:w="4375"/>
        <w:gridCol w:w="1150"/>
        <w:gridCol w:w="1550"/>
      </w:tblGrid>
      <w:tr>
        <w:tblPrEx>
          <w:tblCellMar>
            <w:top w:w="0" w:type="dxa"/>
            <w:left w:w="108" w:type="dxa"/>
            <w:bottom w:w="0" w:type="dxa"/>
            <w:right w:w="108" w:type="dxa"/>
          </w:tblCellMar>
        </w:tblPrEx>
        <w:trPr>
          <w:trHeight w:val="285" w:hRule="atLeast"/>
        </w:trPr>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Cs w:val="21"/>
              </w:rPr>
            </w:pPr>
            <w:r>
              <w:rPr>
                <w:rFonts w:hint="eastAsia" w:ascii="宋体" w:hAnsi="宋体" w:eastAsia="宋体" w:cs="宋体"/>
                <w:b/>
                <w:bCs/>
                <w:szCs w:val="21"/>
              </w:rPr>
              <w:t>事项</w:t>
            </w:r>
          </w:p>
        </w:tc>
        <w:tc>
          <w:tcPr>
            <w:tcW w:w="4375"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b/>
                <w:bCs/>
                <w:szCs w:val="21"/>
              </w:rPr>
            </w:pPr>
            <w:r>
              <w:rPr>
                <w:rFonts w:hint="eastAsia" w:ascii="宋体" w:hAnsi="宋体" w:eastAsia="宋体" w:cs="宋体"/>
                <w:b/>
                <w:bCs/>
                <w:szCs w:val="21"/>
              </w:rPr>
              <w:t>描述</w:t>
            </w:r>
          </w:p>
        </w:tc>
        <w:tc>
          <w:tcPr>
            <w:tcW w:w="115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b/>
                <w:bCs/>
                <w:szCs w:val="21"/>
              </w:rPr>
            </w:pPr>
            <w:r>
              <w:rPr>
                <w:rFonts w:hint="eastAsia" w:ascii="宋体" w:hAnsi="宋体" w:eastAsia="宋体" w:cs="宋体"/>
                <w:b/>
                <w:bCs/>
                <w:szCs w:val="21"/>
              </w:rPr>
              <w:t>责任人</w:t>
            </w:r>
          </w:p>
        </w:tc>
        <w:tc>
          <w:tcPr>
            <w:tcW w:w="1550" w:type="dxa"/>
            <w:tcBorders>
              <w:top w:val="single" w:color="auto" w:sz="4" w:space="0"/>
              <w:left w:val="nil"/>
              <w:bottom w:val="single" w:color="auto" w:sz="4" w:space="0"/>
              <w:right w:val="single" w:color="auto" w:sz="4" w:space="0"/>
            </w:tcBorders>
          </w:tcPr>
          <w:p>
            <w:pPr>
              <w:jc w:val="center"/>
              <w:rPr>
                <w:rFonts w:ascii="宋体" w:hAnsi="宋体" w:cs="宋体"/>
                <w:b/>
                <w:bCs/>
                <w:szCs w:val="21"/>
              </w:rPr>
            </w:pPr>
            <w:r>
              <w:rPr>
                <w:rFonts w:hint="eastAsia" w:ascii="宋体" w:hAnsi="宋体" w:eastAsia="宋体" w:cs="宋体"/>
                <w:b/>
                <w:bCs/>
                <w:szCs w:val="21"/>
              </w:rPr>
              <w:t>完成时间</w:t>
            </w:r>
          </w:p>
        </w:tc>
      </w:tr>
      <w:tr>
        <w:tblPrEx>
          <w:tblCellMar>
            <w:top w:w="0" w:type="dxa"/>
            <w:left w:w="108" w:type="dxa"/>
            <w:bottom w:w="0" w:type="dxa"/>
            <w:right w:w="108" w:type="dxa"/>
          </w:tblCellMar>
        </w:tblPrEx>
        <w:trPr>
          <w:trHeight w:val="570" w:hRule="atLeast"/>
        </w:trPr>
        <w:tc>
          <w:tcPr>
            <w:tcW w:w="1744" w:type="dxa"/>
            <w:tcBorders>
              <w:top w:val="nil"/>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Cs w:val="21"/>
              </w:rPr>
            </w:pPr>
            <w:r>
              <w:rPr>
                <w:rFonts w:hint="eastAsia" w:ascii="宋体" w:hAnsi="宋体" w:eastAsia="宋体" w:cs="宋体"/>
                <w:b/>
                <w:bCs/>
                <w:szCs w:val="21"/>
              </w:rPr>
              <w:t>运行维护工具</w:t>
            </w:r>
          </w:p>
        </w:tc>
        <w:tc>
          <w:tcPr>
            <w:tcW w:w="4375" w:type="dxa"/>
            <w:tcBorders>
              <w:top w:val="nil"/>
              <w:left w:val="nil"/>
              <w:bottom w:val="single" w:color="auto" w:sz="4" w:space="0"/>
              <w:right w:val="single" w:color="auto" w:sz="4" w:space="0"/>
            </w:tcBorders>
            <w:shd w:val="clear" w:color="auto" w:fill="auto"/>
            <w:vAlign w:val="center"/>
          </w:tcPr>
          <w:p>
            <w:pPr>
              <w:rPr>
                <w:rFonts w:ascii="宋体" w:hAnsi="宋体" w:cs="宋体"/>
                <w:szCs w:val="21"/>
              </w:rPr>
            </w:pPr>
            <w:r>
              <w:rPr>
                <w:rFonts w:hint="eastAsia" w:ascii="宋体" w:hAnsi="宋体" w:eastAsia="宋体" w:cs="宋体"/>
                <w:szCs w:val="21"/>
              </w:rPr>
              <w:t>结合运维服务能力计划与运维过程改进计划，充分利用运维管理工具功能，总体上提升运维服务过程管理水平</w:t>
            </w:r>
          </w:p>
        </w:tc>
        <w:tc>
          <w:tcPr>
            <w:tcW w:w="115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孙建喜</w:t>
            </w:r>
          </w:p>
        </w:tc>
        <w:tc>
          <w:tcPr>
            <w:tcW w:w="1550" w:type="dxa"/>
            <w:tcBorders>
              <w:top w:val="nil"/>
              <w:left w:val="nil"/>
              <w:bottom w:val="single" w:color="auto" w:sz="4" w:space="0"/>
              <w:right w:val="single" w:color="auto" w:sz="4" w:space="0"/>
            </w:tcBorders>
            <w:vAlign w:val="center"/>
          </w:tcPr>
          <w:p>
            <w:pPr>
              <w:jc w:val="center"/>
              <w:rPr>
                <w:rFonts w:ascii="宋体" w:hAnsi="宋体" w:cs="宋体"/>
                <w:szCs w:val="21"/>
              </w:rPr>
            </w:pPr>
            <w:r>
              <w:rPr>
                <w:rFonts w:ascii="宋体" w:hAnsi="宋体" w:eastAsia="宋体" w:cs="宋体"/>
                <w:szCs w:val="21"/>
              </w:rPr>
              <w:t>2019年4月</w:t>
            </w:r>
          </w:p>
        </w:tc>
      </w:tr>
      <w:tr>
        <w:tblPrEx>
          <w:tblCellMar>
            <w:top w:w="0" w:type="dxa"/>
            <w:left w:w="108" w:type="dxa"/>
            <w:bottom w:w="0" w:type="dxa"/>
            <w:right w:w="108" w:type="dxa"/>
          </w:tblCellMar>
        </w:tblPrEx>
        <w:trPr>
          <w:trHeight w:val="540" w:hRule="atLeast"/>
        </w:trPr>
        <w:tc>
          <w:tcPr>
            <w:tcW w:w="1744" w:type="dxa"/>
            <w:tcBorders>
              <w:top w:val="nil"/>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Cs w:val="21"/>
              </w:rPr>
            </w:pPr>
            <w:r>
              <w:rPr>
                <w:rFonts w:hint="eastAsia" w:ascii="宋体" w:hAnsi="宋体" w:eastAsia="宋体" w:cs="宋体"/>
                <w:b/>
                <w:bCs/>
                <w:szCs w:val="21"/>
              </w:rPr>
              <w:t>服务台</w:t>
            </w:r>
          </w:p>
        </w:tc>
        <w:tc>
          <w:tcPr>
            <w:tcW w:w="4375" w:type="dxa"/>
            <w:tcBorders>
              <w:top w:val="nil"/>
              <w:left w:val="nil"/>
              <w:bottom w:val="single" w:color="auto" w:sz="4" w:space="0"/>
              <w:right w:val="single" w:color="auto" w:sz="4" w:space="0"/>
            </w:tcBorders>
            <w:shd w:val="clear" w:color="auto" w:fill="auto"/>
            <w:vAlign w:val="center"/>
          </w:tcPr>
          <w:p>
            <w:pPr>
              <w:rPr>
                <w:rFonts w:ascii="宋体" w:hAnsi="宋体" w:cs="宋体"/>
                <w:szCs w:val="21"/>
              </w:rPr>
            </w:pPr>
            <w:r>
              <w:rPr>
                <w:rFonts w:hint="eastAsia" w:ascii="宋体" w:hAnsi="宋体" w:eastAsia="宋体" w:cs="宋体"/>
                <w:szCs w:val="21"/>
              </w:rPr>
              <w:t>结合SLA与运维服务能力管理计划，进一步完善服务台操作手册，提高服务台工作的效果与效率</w:t>
            </w:r>
          </w:p>
        </w:tc>
        <w:tc>
          <w:tcPr>
            <w:tcW w:w="1150" w:type="dxa"/>
            <w:tcBorders>
              <w:top w:val="nil"/>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范桂芹</w:t>
            </w:r>
          </w:p>
        </w:tc>
        <w:tc>
          <w:tcPr>
            <w:tcW w:w="1550" w:type="dxa"/>
            <w:tcBorders>
              <w:top w:val="nil"/>
              <w:left w:val="nil"/>
              <w:bottom w:val="single" w:color="auto" w:sz="4" w:space="0"/>
              <w:right w:val="single" w:color="auto" w:sz="4" w:space="0"/>
            </w:tcBorders>
            <w:vAlign w:val="center"/>
          </w:tcPr>
          <w:p>
            <w:pPr>
              <w:jc w:val="center"/>
              <w:rPr>
                <w:rFonts w:ascii="宋体" w:hAnsi="宋体" w:cs="宋体"/>
                <w:szCs w:val="21"/>
              </w:rPr>
            </w:pPr>
            <w:r>
              <w:rPr>
                <w:rFonts w:ascii="宋体" w:hAnsi="宋体" w:eastAsia="宋体" w:cs="宋体"/>
                <w:szCs w:val="21"/>
              </w:rPr>
              <w:t>2019年5月</w:t>
            </w:r>
          </w:p>
        </w:tc>
      </w:tr>
      <w:tr>
        <w:tblPrEx>
          <w:tblCellMar>
            <w:top w:w="0" w:type="dxa"/>
            <w:left w:w="108" w:type="dxa"/>
            <w:bottom w:w="0" w:type="dxa"/>
            <w:right w:w="108" w:type="dxa"/>
          </w:tblCellMar>
        </w:tblPrEx>
        <w:trPr>
          <w:trHeight w:val="810" w:hRule="atLeast"/>
        </w:trPr>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Cs w:val="21"/>
              </w:rPr>
            </w:pPr>
            <w:r>
              <w:rPr>
                <w:rFonts w:hint="eastAsia" w:ascii="宋体" w:hAnsi="宋体" w:eastAsia="宋体" w:cs="宋体"/>
                <w:b/>
                <w:bCs/>
                <w:szCs w:val="21"/>
              </w:rPr>
              <w:t>知识库</w:t>
            </w:r>
          </w:p>
        </w:tc>
        <w:tc>
          <w:tcPr>
            <w:tcW w:w="4375" w:type="dxa"/>
            <w:tcBorders>
              <w:top w:val="single" w:color="auto" w:sz="4" w:space="0"/>
              <w:left w:val="nil"/>
              <w:bottom w:val="single" w:color="auto" w:sz="4" w:space="0"/>
              <w:right w:val="single" w:color="auto" w:sz="4" w:space="0"/>
            </w:tcBorders>
            <w:shd w:val="clear" w:color="auto" w:fill="auto"/>
            <w:vAlign w:val="center"/>
          </w:tcPr>
          <w:p>
            <w:pPr>
              <w:rPr>
                <w:rFonts w:ascii="宋体" w:hAnsi="宋体" w:cs="宋体"/>
                <w:szCs w:val="21"/>
              </w:rPr>
            </w:pPr>
            <w:r>
              <w:rPr>
                <w:rFonts w:hint="eastAsia" w:ascii="宋体" w:hAnsi="宋体" w:eastAsia="宋体" w:cs="宋体"/>
                <w:szCs w:val="21"/>
              </w:rPr>
              <w:t>进一步明确知识管理范围与类别，强化知识管理方式，完善知识审核要求，确保知识的质量与高可用</w:t>
            </w:r>
          </w:p>
        </w:tc>
        <w:tc>
          <w:tcPr>
            <w:tcW w:w="115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Cs w:val="21"/>
              </w:rPr>
            </w:pPr>
            <w:r>
              <w:rPr>
                <w:rFonts w:hint="eastAsia" w:ascii="宋体" w:hAnsi="宋体" w:cs="宋体"/>
                <w:szCs w:val="21"/>
              </w:rPr>
              <w:t>孙建喜</w:t>
            </w:r>
          </w:p>
        </w:tc>
        <w:tc>
          <w:tcPr>
            <w:tcW w:w="1550" w:type="dxa"/>
            <w:tcBorders>
              <w:top w:val="single" w:color="auto" w:sz="4" w:space="0"/>
              <w:left w:val="nil"/>
              <w:bottom w:val="single" w:color="auto" w:sz="4" w:space="0"/>
              <w:right w:val="single" w:color="auto" w:sz="4" w:space="0"/>
            </w:tcBorders>
            <w:vAlign w:val="center"/>
          </w:tcPr>
          <w:p>
            <w:pPr>
              <w:jc w:val="center"/>
              <w:rPr>
                <w:rFonts w:ascii="宋体" w:hAnsi="宋体" w:cs="宋体"/>
                <w:szCs w:val="21"/>
              </w:rPr>
            </w:pPr>
            <w:r>
              <w:rPr>
                <w:rFonts w:ascii="宋体" w:hAnsi="宋体" w:eastAsia="宋体" w:cs="宋体"/>
                <w:szCs w:val="21"/>
              </w:rPr>
              <w:t>2019年5月</w:t>
            </w:r>
          </w:p>
        </w:tc>
      </w:tr>
    </w:tbl>
    <w:p>
      <w:pPr>
        <w:pStyle w:val="3"/>
        <w:spacing w:before="120" w:after="120"/>
        <w:ind w:left="663" w:hanging="663" w:hangingChars="275"/>
        <w:rPr>
          <w:rFonts w:ascii="宋体" w:hAnsi="宋体" w:cs="宋体"/>
          <w:szCs w:val="24"/>
        </w:rPr>
      </w:pPr>
      <w:bookmarkStart w:id="22" w:name="_Toc472596551"/>
      <w:bookmarkStart w:id="23" w:name="_Toc21094"/>
      <w:r>
        <w:rPr>
          <w:rFonts w:hint="eastAsia" w:ascii="宋体" w:hAnsi="宋体" w:eastAsia="宋体" w:cs="宋体"/>
          <w:szCs w:val="24"/>
        </w:rPr>
        <w:t>技术研发计划</w:t>
      </w:r>
      <w:bookmarkEnd w:id="22"/>
      <w:bookmarkEnd w:id="23"/>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2019年技术研发的目标是研发投入比例达到运维收入的5%，制定的研发计划包括运维工具研发、发现问题技术的研发、解决问题的工具研发和运维服务解决方案的研发。2019年公司运维工具研发重点放在</w:t>
      </w:r>
      <w:r>
        <w:rPr>
          <w:rFonts w:hint="eastAsia" w:ascii="宋体" w:hAnsi="宋体" w:eastAsia="宋体" w:cs="宋体"/>
          <w:sz w:val="24"/>
          <w:szCs w:val="24"/>
        </w:rPr>
        <w:t>E</w:t>
      </w:r>
      <w:r>
        <w:rPr>
          <w:rFonts w:ascii="宋体" w:hAnsi="宋体" w:eastAsia="宋体" w:cs="宋体"/>
          <w:sz w:val="24"/>
          <w:szCs w:val="24"/>
        </w:rPr>
        <w:t>SP</w:t>
      </w:r>
      <w:r>
        <w:rPr>
          <w:rFonts w:hint="eastAsia" w:ascii="宋体" w:hAnsi="宋体" w:eastAsia="宋体" w:cs="宋体"/>
          <w:sz w:val="24"/>
          <w:szCs w:val="24"/>
        </w:rPr>
        <w:t>系统优化改进</w:t>
      </w:r>
      <w:r>
        <w:rPr>
          <w:rFonts w:hint="eastAsia" w:ascii="宋体" w:hAnsi="宋体" w:eastAsia="宋体" w:cs="宋体"/>
          <w:sz w:val="24"/>
          <w:szCs w:val="24"/>
          <w:lang w:val="en-GB"/>
        </w:rPr>
        <w:t>上，并集中技术专家总结整理IT基础架构方面的发现问题和解决问题的技术，形成巡检规范，以及故障处理流程和业务恢复规范，并根据运维服务特点，编制运维服务解决方案。开发部将根据上述要求编制《2019年研发计划》。</w:t>
      </w:r>
    </w:p>
    <w:p>
      <w:pPr>
        <w:spacing w:line="360" w:lineRule="auto"/>
        <w:ind w:firstLine="480" w:firstLineChars="200"/>
        <w:rPr>
          <w:rFonts w:ascii="宋体" w:hAnsi="宋体" w:eastAsia="宋体" w:cs="宋体"/>
          <w:sz w:val="24"/>
          <w:szCs w:val="24"/>
          <w:lang w:val="en-GB"/>
        </w:rPr>
      </w:pP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研发任务如下：</w:t>
      </w:r>
    </w:p>
    <w:p>
      <w:pPr>
        <w:numPr>
          <w:ilvl w:val="0"/>
          <w:numId w:val="17"/>
        </w:numPr>
        <w:spacing w:line="360" w:lineRule="auto"/>
        <w:rPr>
          <w:rFonts w:ascii="宋体" w:hAnsi="宋体" w:eastAsia="宋体" w:cs="宋体"/>
          <w:sz w:val="24"/>
          <w:szCs w:val="24"/>
          <w:lang w:val="en-GB"/>
        </w:rPr>
      </w:pPr>
      <w:bookmarkStart w:id="24" w:name="_Toc493257594"/>
      <w:r>
        <w:rPr>
          <w:rFonts w:hint="eastAsia" w:ascii="宋体" w:hAnsi="宋体" w:eastAsia="宋体" w:cs="宋体"/>
          <w:sz w:val="24"/>
          <w:szCs w:val="24"/>
          <w:lang w:val="en-GB"/>
        </w:rPr>
        <w:t>ESP管理服务平台功能开发项目</w:t>
      </w:r>
      <w:bookmarkEnd w:id="24"/>
      <w:r>
        <w:rPr>
          <w:rFonts w:hint="eastAsia" w:ascii="宋体" w:hAnsi="宋体" w:eastAsia="宋体" w:cs="宋体"/>
          <w:sz w:val="24"/>
          <w:szCs w:val="24"/>
          <w:lang w:val="en-GB"/>
        </w:rPr>
        <w:t>（优化改进）；</w:t>
      </w:r>
    </w:p>
    <w:p>
      <w:pPr>
        <w:numPr>
          <w:ilvl w:val="0"/>
          <w:numId w:val="17"/>
        </w:numPr>
        <w:spacing w:line="360" w:lineRule="auto"/>
        <w:rPr>
          <w:rFonts w:ascii="宋体" w:hAnsi="宋体" w:eastAsia="宋体" w:cs="宋体"/>
          <w:sz w:val="24"/>
          <w:szCs w:val="24"/>
          <w:lang w:val="en-GB"/>
        </w:rPr>
      </w:pPr>
      <w:r>
        <w:rPr>
          <w:rFonts w:hint="eastAsia" w:ascii="宋体" w:hAnsi="宋体" w:eastAsia="宋体" w:cs="宋体"/>
          <w:sz w:val="24"/>
          <w:szCs w:val="24"/>
          <w:lang w:val="en-GB"/>
        </w:rPr>
        <w:t>运维常见故障解决方案分析手册；</w:t>
      </w:r>
    </w:p>
    <w:p>
      <w:pPr>
        <w:rPr>
          <w:rFonts w:ascii="宋体" w:hAnsi="宋体" w:cs="宋体"/>
          <w:sz w:val="24"/>
          <w:szCs w:val="24"/>
          <w:lang w:val="en-GB"/>
        </w:rPr>
      </w:pPr>
    </w:p>
    <w:p>
      <w:pPr>
        <w:pStyle w:val="3"/>
        <w:spacing w:before="120" w:after="120"/>
        <w:ind w:left="663" w:hanging="663" w:hangingChars="275"/>
        <w:rPr>
          <w:rFonts w:ascii="宋体" w:hAnsi="宋体" w:cs="宋体"/>
          <w:szCs w:val="24"/>
        </w:rPr>
      </w:pPr>
      <w:bookmarkStart w:id="25" w:name="_Toc472596552"/>
      <w:bookmarkStart w:id="26" w:name="_Toc17351"/>
      <w:r>
        <w:rPr>
          <w:rFonts w:hint="eastAsia" w:ascii="宋体" w:hAnsi="宋体" w:eastAsia="宋体" w:cs="宋体"/>
          <w:szCs w:val="24"/>
        </w:rPr>
        <w:t>过程管理计划</w:t>
      </w:r>
      <w:bookmarkEnd w:id="25"/>
      <w:bookmarkEnd w:id="26"/>
    </w:p>
    <w:p>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过程管理的目标</w:t>
      </w:r>
      <w:r>
        <w:rPr>
          <w:rFonts w:hint="eastAsia" w:ascii="宋体" w:hAnsi="宋体" w:eastAsia="宋体" w:cs="宋体"/>
          <w:sz w:val="24"/>
          <w:szCs w:val="24"/>
          <w:lang w:val="en-GB"/>
        </w:rPr>
        <w:t>：</w:t>
      </w:r>
    </w:p>
    <w:tbl>
      <w:tblPr>
        <w:tblStyle w:val="43"/>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CellMar>
            <w:top w:w="0" w:type="dxa"/>
            <w:left w:w="108" w:type="dxa"/>
            <w:bottom w:w="0" w:type="dxa"/>
            <w:right w:w="108" w:type="dxa"/>
          </w:tblCellMar>
        </w:tblPrEx>
        <w:trPr>
          <w:trHeight w:val="285" w:hRule="atLeast"/>
          <w:tblHeader/>
        </w:trPr>
        <w:tc>
          <w:tcPr>
            <w:tcW w:w="1080" w:type="dxa"/>
            <w:tcBorders>
              <w:top w:val="single" w:color="auto" w:sz="4" w:space="0"/>
              <w:left w:val="single" w:color="auto" w:sz="4" w:space="0"/>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tcBorders>
              <w:top w:val="single" w:color="auto" w:sz="4" w:space="0"/>
              <w:left w:val="nil"/>
              <w:bottom w:val="single" w:color="auto" w:sz="4" w:space="0"/>
              <w:right w:val="single" w:color="auto" w:sz="4" w:space="0"/>
            </w:tcBorders>
            <w:shd w:val="clear" w:color="000000" w:fill="C0C0C0"/>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tcBorders>
              <w:top w:val="single" w:color="auto" w:sz="4" w:space="0"/>
              <w:left w:val="nil"/>
              <w:bottom w:val="single" w:color="auto" w:sz="4" w:space="0"/>
              <w:right w:val="single" w:color="auto" w:sz="4" w:space="0"/>
            </w:tcBorders>
            <w:shd w:val="clear" w:color="000000" w:fill="C0C0C0"/>
            <w:vAlign w:val="center"/>
          </w:tcPr>
          <w:p>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服务级别</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SLA的达成率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ascii="宋体" w:hAnsi="宋体" w:eastAsia="宋体" w:cs="宋体"/>
                <w:color w:val="000000"/>
                <w:kern w:val="0"/>
                <w:sz w:val="20"/>
                <w:szCs w:val="20"/>
              </w:rPr>
              <w:t>90</w:t>
            </w:r>
            <w:r>
              <w:rPr>
                <w:rFonts w:hint="eastAsia" w:ascii="宋体" w:hAnsi="宋体" w:eastAsia="宋体" w:cs="宋体"/>
                <w:color w:val="000000"/>
                <w:kern w:val="0"/>
                <w:sz w:val="20"/>
                <w:szCs w:val="20"/>
              </w:rPr>
              <w:t>%</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公司SLA的达成率=SLA中达标的指标个数/SLA中总的指标数*100%</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服务报告</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服务报告及时率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提交及时率=及时提交的服务报告数量/应该提交的服务报告总数*100%</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事件管理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事件解决及时率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事件解决及时率=周期内部门及时解决的事件个数/周期内事件总数*100%</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问题管理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问题解决率=周期内已解决问题个数/周期内问题总数*100%</w:t>
            </w:r>
          </w:p>
        </w:tc>
      </w:tr>
      <w:tr>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配置管理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98%</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审计数据准确率=审计中完全匹配的CI数量/实际抽查的CI总数量*100%</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变更管理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变更成功的数量/变更总数*100%</w:t>
            </w:r>
          </w:p>
        </w:tc>
      </w:tr>
      <w:tr>
        <w:tblPrEx>
          <w:tblCellMar>
            <w:top w:w="0" w:type="dxa"/>
            <w:left w:w="108" w:type="dxa"/>
            <w:bottom w:w="0" w:type="dxa"/>
            <w:right w:w="108" w:type="dxa"/>
          </w:tblCellMar>
        </w:tblPrEx>
        <w:trPr>
          <w:trHeight w:val="480" w:hRule="atLeast"/>
        </w:trPr>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发布管理</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发布成功率=成功发布的数量/发布总数*100%</w:t>
            </w:r>
          </w:p>
        </w:tc>
      </w:tr>
      <w:tr>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信息安全</w:t>
            </w:r>
          </w:p>
        </w:tc>
        <w:tc>
          <w:tcPr>
            <w:tcW w:w="14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c>
          <w:tcPr>
            <w:tcW w:w="1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0次</w:t>
            </w:r>
          </w:p>
        </w:tc>
        <w:tc>
          <w:tcPr>
            <w:tcW w:w="108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r>
    </w:tbl>
    <w:p>
      <w:pPr>
        <w:spacing w:line="360" w:lineRule="auto"/>
        <w:ind w:firstLine="480" w:firstLineChars="200"/>
        <w:rPr>
          <w:rFonts w:ascii="宋体" w:hAnsi="宋体" w:eastAsia="宋体" w:cs="宋体"/>
          <w:sz w:val="24"/>
          <w:szCs w:val="24"/>
          <w:lang w:val="en-GB"/>
        </w:rPr>
      </w:pP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为达成以上目标公司在2019年将重点开展运维服务管理流程的具体落地和优化工作。具体计划如下：</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服务级别管理流程优化</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根据公司职责范围及信息化的实际情况梳理运维服务的对象、内容、指标要求等，优化服务目录，并根据运维服务交付要求，和客户协商、确认和签订服务级别协议，并根据对服务级别的达成情况进行改进和提高。</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服务报告管理流程优化</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完善运维服务报告管理流程及制度，提升对项目运维服务的监管能力。本年度统一由ITSS运维能力管理体系统一管理，建立以运维能力展现为核心的服务报告体系。</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变更发布管理流程优化</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变更和发布管理的流程节点、流程的执行原则，在版本控制风险管理等方面开展深入研究。结合ITSS通用要求中的变更和发布管理流程，进行优化，并在此基础上与之进行合并。在流程体系文件中，注入安全控制策略，体现控制风险的能力。</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事件管理流程优化</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事件管理执行的原则，优化事件管理考核KPI，使流程的流转更顺畅，并符合公司的要求。结合公司的业务发展现状及未来业务的发现需要，在确保服务流程能够受控的情况下，进行一定的个性化处理，符合公司运维管理中事件管理的需要。</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问题管理流程优化</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优化问题管理流程规范，明确流程活动和职责，定义问题和知识库的来源和促发机制，使问题管理能够在一个规范的制度下运行，使知识库成为运维服务业务层面统一的知识库。</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配置管理流程的优化</w:t>
      </w:r>
    </w:p>
    <w:p>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配置管理流程规范，明确流程活动和职责，重新定义配置项属性及配置项之间的关系，明确配置审核机制。在现有配置管理的基础上，努力在IT服务流程管理系统中进行落地，由于目前IT服务流程管理系统的配置管理模块尚不完善，并且部分管理功能不完善，如不具备审计功能，还无法将配置管理完全实施，形成实时动态的配置管理。未来将随着工具的不断完善，体系的不断健全，逐渐完善配置管理活动。</w:t>
      </w:r>
    </w:p>
    <w:p>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发布管理的优化</w:t>
      </w:r>
    </w:p>
    <w:p>
      <w:pPr>
        <w:spacing w:line="360" w:lineRule="auto"/>
        <w:ind w:firstLine="480" w:firstLineChars="200"/>
        <w:rPr>
          <w:rFonts w:ascii="宋体" w:hAnsi="宋体"/>
          <w:sz w:val="24"/>
        </w:rPr>
      </w:pPr>
      <w:r>
        <w:rPr>
          <w:rFonts w:hint="eastAsia" w:ascii="宋体" w:hAnsi="宋体"/>
          <w:sz w:val="24"/>
        </w:rPr>
        <w:t>发布管理流程是将一组通过测试验证后的变更，导入实际环境的管理控制流程，发布流程要求发布的版本必须是经过测试或验证的。通过发布管理流程的实施，确保IT环境中的变更得到有效控制，对IT服务产生最小影响。</w:t>
      </w:r>
    </w:p>
    <w:p>
      <w:pPr>
        <w:spacing w:line="360" w:lineRule="auto"/>
        <w:ind w:firstLine="480" w:firstLineChars="200"/>
        <w:rPr>
          <w:rFonts w:ascii="宋体" w:hAnsi="宋体"/>
          <w:sz w:val="24"/>
        </w:rPr>
      </w:pPr>
      <w:r>
        <w:rPr>
          <w:rFonts w:ascii="宋体" w:hAnsi="宋体"/>
          <w:sz w:val="24"/>
        </w:rPr>
        <w:t>要保证发布管理流程的成功运行，遵循以下原则：</w:t>
      </w:r>
    </w:p>
    <w:p>
      <w:pPr>
        <w:numPr>
          <w:ilvl w:val="0"/>
          <w:numId w:val="18"/>
        </w:numPr>
        <w:spacing w:line="360" w:lineRule="auto"/>
        <w:rPr>
          <w:rFonts w:ascii="宋体" w:hAnsi="宋体"/>
          <w:sz w:val="24"/>
        </w:rPr>
      </w:pPr>
      <w:r>
        <w:rPr>
          <w:rFonts w:hint="eastAsia" w:ascii="宋体" w:hAnsi="宋体"/>
          <w:sz w:val="24"/>
        </w:rPr>
        <w:t>发布过程要记录；</w:t>
      </w:r>
    </w:p>
    <w:p>
      <w:pPr>
        <w:numPr>
          <w:ilvl w:val="0"/>
          <w:numId w:val="18"/>
        </w:numPr>
        <w:spacing w:line="360" w:lineRule="auto"/>
        <w:rPr>
          <w:rFonts w:ascii="宋体" w:hAnsi="宋体"/>
          <w:sz w:val="24"/>
        </w:rPr>
      </w:pPr>
      <w:r>
        <w:rPr>
          <w:rFonts w:ascii="宋体" w:hAnsi="宋体"/>
          <w:sz w:val="24"/>
        </w:rPr>
        <w:t>发布要进行编号；</w:t>
      </w:r>
    </w:p>
    <w:p>
      <w:pPr>
        <w:numPr>
          <w:ilvl w:val="0"/>
          <w:numId w:val="18"/>
        </w:numPr>
        <w:spacing w:line="360" w:lineRule="auto"/>
        <w:rPr>
          <w:rFonts w:ascii="宋体" w:hAnsi="宋体"/>
          <w:sz w:val="24"/>
        </w:rPr>
      </w:pPr>
      <w:r>
        <w:rPr>
          <w:rFonts w:ascii="宋体" w:hAnsi="宋体"/>
          <w:sz w:val="24"/>
        </w:rPr>
        <w:t>发布要分类</w:t>
      </w:r>
      <w:r>
        <w:rPr>
          <w:rFonts w:hint="eastAsia" w:ascii="宋体" w:hAnsi="宋体"/>
          <w:sz w:val="24"/>
        </w:rPr>
        <w:t>和进行范围说明</w:t>
      </w:r>
      <w:r>
        <w:rPr>
          <w:rFonts w:ascii="宋体" w:hAnsi="宋体"/>
          <w:sz w:val="24"/>
        </w:rPr>
        <w:t>；</w:t>
      </w:r>
    </w:p>
    <w:p>
      <w:pPr>
        <w:numPr>
          <w:ilvl w:val="0"/>
          <w:numId w:val="18"/>
        </w:numPr>
        <w:spacing w:line="360" w:lineRule="auto"/>
        <w:rPr>
          <w:rFonts w:ascii="宋体" w:hAnsi="宋体"/>
          <w:sz w:val="24"/>
        </w:rPr>
      </w:pPr>
      <w:r>
        <w:rPr>
          <w:rFonts w:ascii="宋体" w:hAnsi="宋体"/>
          <w:sz w:val="24"/>
        </w:rPr>
        <w:t>要</w:t>
      </w:r>
      <w:r>
        <w:rPr>
          <w:rFonts w:hint="eastAsia" w:ascii="宋体" w:hAnsi="宋体"/>
          <w:sz w:val="24"/>
        </w:rPr>
        <w:t>对发布情况进行总结</w:t>
      </w:r>
      <w:r>
        <w:rPr>
          <w:rFonts w:ascii="宋体" w:hAnsi="宋体"/>
          <w:sz w:val="24"/>
        </w:rPr>
        <w:t>；</w:t>
      </w:r>
    </w:p>
    <w:p>
      <w:pPr>
        <w:numPr>
          <w:ilvl w:val="0"/>
          <w:numId w:val="18"/>
        </w:numPr>
        <w:spacing w:line="360" w:lineRule="auto"/>
        <w:rPr>
          <w:rFonts w:ascii="宋体" w:hAnsi="宋体"/>
          <w:sz w:val="24"/>
        </w:rPr>
      </w:pPr>
      <w:r>
        <w:rPr>
          <w:rFonts w:ascii="宋体" w:hAnsi="宋体"/>
          <w:sz w:val="24"/>
        </w:rPr>
        <w:t>要有全面</w:t>
      </w:r>
      <w:r>
        <w:rPr>
          <w:rFonts w:hint="eastAsia" w:ascii="宋体" w:hAnsi="宋体"/>
          <w:sz w:val="24"/>
        </w:rPr>
        <w:t>、周详</w:t>
      </w:r>
      <w:r>
        <w:rPr>
          <w:rFonts w:ascii="宋体" w:hAnsi="宋体"/>
          <w:sz w:val="24"/>
        </w:rPr>
        <w:t>的</w:t>
      </w:r>
      <w:r>
        <w:rPr>
          <w:rFonts w:hint="eastAsia" w:ascii="宋体" w:hAnsi="宋体"/>
          <w:sz w:val="24"/>
        </w:rPr>
        <w:t>发布内容、回退计划，并对发布信息进行统计</w:t>
      </w:r>
      <w:r>
        <w:rPr>
          <w:rFonts w:ascii="宋体" w:hAnsi="宋体"/>
          <w:sz w:val="24"/>
        </w:rPr>
        <w:t>。</w:t>
      </w:r>
    </w:p>
    <w:p>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信息安全管理的优化</w:t>
      </w:r>
    </w:p>
    <w:p>
      <w:pPr>
        <w:spacing w:line="360" w:lineRule="auto"/>
        <w:ind w:firstLine="480" w:firstLineChars="200"/>
        <w:rPr>
          <w:rFonts w:ascii="宋体" w:hAnsi="宋体" w:eastAsia="宋体" w:cs="宋体"/>
          <w:sz w:val="24"/>
          <w:szCs w:val="24"/>
        </w:rPr>
      </w:pPr>
      <w:r>
        <w:rPr>
          <w:rFonts w:ascii="宋体" w:hAnsi="宋体" w:eastAsia="宋体" w:cs="宋体"/>
          <w:sz w:val="24"/>
          <w:szCs w:val="24"/>
          <w:lang w:val="en-GB"/>
        </w:rPr>
        <w:t>信息安全管理要求</w:t>
      </w:r>
      <w:r>
        <w:rPr>
          <w:rFonts w:hint="eastAsia" w:ascii="宋体" w:hAnsi="宋体"/>
          <w:bCs/>
          <w:sz w:val="24"/>
          <w:szCs w:val="24"/>
        </w:rPr>
        <w:t>规范IT服务团队对用户信息系统的安全性管理。所有的信息安全管理你都是为了不发生信息安全事件，为此需要进行关键资产的识别、风险识别和评估的管理，并对员工进行信息安全培训，以保证目标的达成。</w:t>
      </w:r>
    </w:p>
    <w:p>
      <w:pPr>
        <w:pStyle w:val="3"/>
        <w:spacing w:before="120" w:after="120" w:line="360" w:lineRule="auto"/>
        <w:ind w:left="663" w:hanging="663" w:hangingChars="275"/>
        <w:rPr>
          <w:rFonts w:ascii="宋体" w:hAnsi="宋体" w:cs="宋体"/>
          <w:szCs w:val="24"/>
        </w:rPr>
      </w:pPr>
      <w:bookmarkStart w:id="27" w:name="_Toc20696"/>
      <w:bookmarkStart w:id="28" w:name="_Toc472596553"/>
      <w:r>
        <w:rPr>
          <w:rFonts w:hint="eastAsia" w:ascii="宋体" w:hAnsi="宋体" w:eastAsia="宋体" w:cs="宋体"/>
          <w:szCs w:val="24"/>
        </w:rPr>
        <w:t>质量管理计划</w:t>
      </w:r>
      <w:bookmarkEnd w:id="27"/>
      <w:bookmarkEnd w:id="28"/>
    </w:p>
    <w:p>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质量管理目标</w:t>
      </w:r>
    </w:p>
    <w:tbl>
      <w:tblPr>
        <w:tblStyle w:val="43"/>
        <w:tblW w:w="10660" w:type="dxa"/>
        <w:tblInd w:w="-11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080" w:type="dxa"/>
            <w:shd w:val="clear" w:color="000000" w:fill="FFFFFF"/>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shd w:val="clear" w:color="auto" w:fill="auto"/>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shd w:val="clear" w:color="auto" w:fill="auto"/>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shd w:val="clear" w:color="000000" w:fill="FFFFFF"/>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shd w:val="clear" w:color="000000" w:fill="FFFFFF"/>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shd w:val="clear" w:color="auto" w:fill="auto"/>
            <w:vAlign w:val="center"/>
          </w:tcPr>
          <w:p>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shd w:val="clear" w:color="auto" w:fill="auto"/>
            <w:vAlign w:val="center"/>
          </w:tcPr>
          <w:p>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080" w:type="dxa"/>
            <w:shd w:val="clear" w:color="000000" w:fill="FFFFFF"/>
            <w:vAlign w:val="center"/>
          </w:tcPr>
          <w:p>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质量</w:t>
            </w:r>
          </w:p>
        </w:tc>
        <w:tc>
          <w:tcPr>
            <w:tcW w:w="1480" w:type="dxa"/>
            <w:shd w:val="clear" w:color="auto" w:fill="auto"/>
            <w:vAlign w:val="center"/>
          </w:tcPr>
          <w:p>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客户满意率</w:t>
            </w:r>
          </w:p>
        </w:tc>
        <w:tc>
          <w:tcPr>
            <w:tcW w:w="1080" w:type="dxa"/>
            <w:shd w:val="clear" w:color="auto" w:fill="auto"/>
            <w:vAlign w:val="center"/>
          </w:tcPr>
          <w:p>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90%</w:t>
            </w:r>
          </w:p>
        </w:tc>
        <w:tc>
          <w:tcPr>
            <w:tcW w:w="1080" w:type="dxa"/>
            <w:shd w:val="clear" w:color="000000" w:fill="FFFFFF"/>
            <w:vAlign w:val="center"/>
          </w:tcPr>
          <w:p>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部门经理</w:t>
            </w:r>
          </w:p>
        </w:tc>
        <w:tc>
          <w:tcPr>
            <w:tcW w:w="1500" w:type="dxa"/>
            <w:shd w:val="clear" w:color="000000" w:fill="FFFFFF"/>
            <w:vAlign w:val="center"/>
          </w:tcPr>
          <w:p>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每年</w:t>
            </w:r>
          </w:p>
        </w:tc>
        <w:tc>
          <w:tcPr>
            <w:tcW w:w="1580" w:type="dxa"/>
            <w:shd w:val="clear" w:color="auto" w:fill="auto"/>
            <w:vAlign w:val="center"/>
          </w:tcPr>
          <w:p>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《总结报告》</w:t>
            </w:r>
          </w:p>
        </w:tc>
        <w:tc>
          <w:tcPr>
            <w:tcW w:w="2860" w:type="dxa"/>
            <w:shd w:val="clear" w:color="auto" w:fill="auto"/>
            <w:vAlign w:val="center"/>
          </w:tcPr>
          <w:p>
            <w:pPr>
              <w:widowControl/>
              <w:jc w:val="left"/>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公司级客户满意率=客户满意的问卷数/收回的问卷总数</w:t>
            </w:r>
          </w:p>
        </w:tc>
      </w:tr>
    </w:tbl>
    <w:p>
      <w:pPr>
        <w:spacing w:line="360" w:lineRule="auto"/>
        <w:ind w:firstLine="480" w:firstLineChars="200"/>
        <w:rPr>
          <w:rFonts w:ascii="宋体" w:hAnsi="宋体" w:cs="宋体"/>
          <w:sz w:val="24"/>
          <w:szCs w:val="24"/>
          <w:lang w:val="en-GB"/>
        </w:rPr>
      </w:pPr>
      <w:r>
        <w:rPr>
          <w:rFonts w:hint="eastAsia" w:ascii="宋体" w:hAnsi="宋体" w:eastAsia="宋体" w:cs="宋体"/>
          <w:sz w:val="24"/>
          <w:szCs w:val="24"/>
          <w:lang w:val="en-GB"/>
        </w:rPr>
        <w:t>为达成以上目标2019年的质量管理的主要计划如下：</w:t>
      </w:r>
    </w:p>
    <w:tbl>
      <w:tblPr>
        <w:tblStyle w:val="43"/>
        <w:tblW w:w="8275" w:type="dxa"/>
        <w:tblInd w:w="475" w:type="dxa"/>
        <w:tblLayout w:type="fixed"/>
        <w:tblCellMar>
          <w:top w:w="0" w:type="dxa"/>
          <w:left w:w="108" w:type="dxa"/>
          <w:bottom w:w="0" w:type="dxa"/>
          <w:right w:w="108" w:type="dxa"/>
        </w:tblCellMar>
      </w:tblPr>
      <w:tblGrid>
        <w:gridCol w:w="2358"/>
        <w:gridCol w:w="3654"/>
        <w:gridCol w:w="2263"/>
      </w:tblGrid>
      <w:tr>
        <w:tblPrEx>
          <w:tblCellMar>
            <w:top w:w="0" w:type="dxa"/>
            <w:left w:w="108" w:type="dxa"/>
            <w:bottom w:w="0" w:type="dxa"/>
            <w:right w:w="108" w:type="dxa"/>
          </w:tblCellMar>
        </w:tblPrEx>
        <w:trPr>
          <w:trHeight w:val="285"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事项</w:t>
            </w:r>
          </w:p>
        </w:tc>
        <w:tc>
          <w:tcPr>
            <w:tcW w:w="3654"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b/>
                <w:bCs/>
                <w:sz w:val="24"/>
                <w:szCs w:val="24"/>
              </w:rPr>
              <w:t>描述</w:t>
            </w:r>
          </w:p>
        </w:tc>
        <w:tc>
          <w:tcPr>
            <w:tcW w:w="2263"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eastAsia="宋体" w:cs="宋体"/>
                <w:b/>
                <w:bCs/>
                <w:sz w:val="24"/>
                <w:szCs w:val="24"/>
              </w:rPr>
            </w:pPr>
            <w:r>
              <w:rPr>
                <w:rFonts w:hint="eastAsia" w:ascii="宋体" w:hAnsi="宋体" w:eastAsia="宋体" w:cs="宋体"/>
                <w:b/>
                <w:bCs/>
                <w:sz w:val="24"/>
                <w:szCs w:val="24"/>
              </w:rPr>
              <w:t>完成时间（月）</w:t>
            </w:r>
          </w:p>
        </w:tc>
      </w:tr>
      <w:tr>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sz w:val="24"/>
                <w:szCs w:val="24"/>
              </w:rPr>
              <w:t>组织内审</w:t>
            </w:r>
          </w:p>
        </w:tc>
        <w:tc>
          <w:tcPr>
            <w:tcW w:w="3654" w:type="dxa"/>
            <w:tcBorders>
              <w:top w:val="single" w:color="auto" w:sz="4" w:space="0"/>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组建内审团队，制定内审计划，按计划开展内审工作</w:t>
            </w:r>
          </w:p>
        </w:tc>
        <w:tc>
          <w:tcPr>
            <w:tcW w:w="2263"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eastAsia="宋体" w:cs="宋体"/>
                <w:sz w:val="24"/>
                <w:szCs w:val="24"/>
              </w:rPr>
            </w:pPr>
            <w:r>
              <w:rPr>
                <w:rFonts w:ascii="宋体" w:hAnsi="宋体" w:eastAsia="宋体" w:cs="宋体"/>
                <w:sz w:val="24"/>
                <w:szCs w:val="24"/>
              </w:rPr>
              <w:t>4</w:t>
            </w:r>
            <w:r>
              <w:rPr>
                <w:rFonts w:hint="eastAsia" w:ascii="宋体" w:hAnsi="宋体" w:eastAsia="宋体" w:cs="宋体"/>
                <w:sz w:val="24"/>
                <w:szCs w:val="24"/>
              </w:rPr>
              <w:t>月初</w:t>
            </w:r>
          </w:p>
        </w:tc>
      </w:tr>
      <w:tr>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sz w:val="24"/>
                <w:szCs w:val="24"/>
              </w:rPr>
              <w:t>组织管理评审</w:t>
            </w:r>
          </w:p>
        </w:tc>
        <w:tc>
          <w:tcPr>
            <w:tcW w:w="3654" w:type="dxa"/>
            <w:tcBorders>
              <w:top w:val="single" w:color="auto" w:sz="4" w:space="0"/>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组建管理评审会议</w:t>
            </w:r>
          </w:p>
        </w:tc>
        <w:tc>
          <w:tcPr>
            <w:tcW w:w="2263"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ascii="宋体" w:hAnsi="宋体" w:eastAsia="宋体" w:cs="宋体"/>
                <w:sz w:val="24"/>
                <w:szCs w:val="24"/>
              </w:rPr>
              <w:t>4</w:t>
            </w:r>
          </w:p>
        </w:tc>
      </w:tr>
      <w:tr>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sz w:val="24"/>
                <w:szCs w:val="24"/>
              </w:rPr>
              <w:t>客户满意度调查</w:t>
            </w:r>
          </w:p>
        </w:tc>
        <w:tc>
          <w:tcPr>
            <w:tcW w:w="3654" w:type="dxa"/>
            <w:tcBorders>
              <w:top w:val="single" w:color="auto" w:sz="4" w:space="0"/>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开展客户满意度调查</w:t>
            </w:r>
          </w:p>
        </w:tc>
        <w:tc>
          <w:tcPr>
            <w:tcW w:w="2263"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cs="宋体"/>
                <w:sz w:val="24"/>
                <w:szCs w:val="24"/>
              </w:rPr>
              <w:t>2</w:t>
            </w:r>
          </w:p>
        </w:tc>
      </w:tr>
      <w:tr>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b/>
                <w:bCs/>
                <w:sz w:val="24"/>
                <w:szCs w:val="24"/>
              </w:rPr>
            </w:pPr>
            <w:r>
              <w:rPr>
                <w:rFonts w:hint="eastAsia" w:ascii="宋体" w:hAnsi="宋体" w:eastAsia="宋体" w:cs="宋体"/>
                <w:sz w:val="24"/>
                <w:szCs w:val="24"/>
              </w:rPr>
              <w:t>服务回顾</w:t>
            </w:r>
          </w:p>
        </w:tc>
        <w:tc>
          <w:tcPr>
            <w:tcW w:w="3654" w:type="dxa"/>
            <w:tcBorders>
              <w:top w:val="single" w:color="auto" w:sz="4" w:space="0"/>
              <w:left w:val="nil"/>
              <w:bottom w:val="single" w:color="auto" w:sz="4" w:space="0"/>
              <w:right w:val="single" w:color="auto" w:sz="4" w:space="0"/>
            </w:tcBorders>
            <w:shd w:val="clear" w:color="auto" w:fill="auto"/>
            <w:vAlign w:val="center"/>
          </w:tcPr>
          <w:p>
            <w:pPr>
              <w:rPr>
                <w:rFonts w:ascii="宋体" w:hAnsi="宋体" w:cs="宋体"/>
                <w:sz w:val="24"/>
                <w:szCs w:val="24"/>
              </w:rPr>
            </w:pPr>
            <w:r>
              <w:rPr>
                <w:rFonts w:hint="eastAsia" w:ascii="宋体" w:hAnsi="宋体" w:eastAsia="宋体" w:cs="宋体"/>
                <w:sz w:val="24"/>
                <w:szCs w:val="24"/>
              </w:rPr>
              <w:t>开展服务回顾工作</w:t>
            </w:r>
          </w:p>
        </w:tc>
        <w:tc>
          <w:tcPr>
            <w:tcW w:w="2263"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sz w:val="24"/>
                <w:szCs w:val="24"/>
              </w:rPr>
            </w:pPr>
            <w:r>
              <w:rPr>
                <w:rFonts w:hint="eastAsia" w:ascii="宋体" w:hAnsi="宋体" w:cs="宋体"/>
                <w:sz w:val="24"/>
                <w:szCs w:val="24"/>
              </w:rPr>
              <w:t>3</w:t>
            </w:r>
          </w:p>
        </w:tc>
      </w:tr>
    </w:tbl>
    <w:p>
      <w:pPr>
        <w:ind w:firstLine="480" w:firstLineChars="200"/>
        <w:rPr>
          <w:rFonts w:ascii="宋体" w:hAnsi="宋体" w:cs="宋体"/>
          <w:sz w:val="24"/>
          <w:szCs w:val="24"/>
          <w:lang w:val="en-GB"/>
        </w:rPr>
      </w:pPr>
    </w:p>
    <w:p>
      <w:pPr>
        <w:ind w:firstLine="480" w:firstLineChars="200"/>
        <w:rPr>
          <w:rFonts w:ascii="宋体" w:hAnsi="宋体" w:cs="宋体"/>
          <w:sz w:val="24"/>
          <w:szCs w:val="24"/>
        </w:rPr>
      </w:pPr>
      <w:r>
        <w:rPr>
          <w:rFonts w:hint="eastAsia" w:ascii="宋体" w:hAnsi="宋体" w:eastAsia="宋体" w:cs="宋体"/>
          <w:sz w:val="24"/>
          <w:szCs w:val="24"/>
        </w:rPr>
        <w:t>详细情况请见《运维服务质量管理计划》</w:t>
      </w:r>
      <w:r>
        <w:rPr>
          <w:rFonts w:hint="eastAsia" w:ascii="宋体" w:hAnsi="宋体" w:cs="宋体"/>
          <w:sz w:val="24"/>
          <w:szCs w:val="24"/>
        </w:rPr>
        <w:t>。</w:t>
      </w:r>
    </w:p>
    <w:p>
      <w:pPr>
        <w:rPr>
          <w:rFonts w:ascii="宋体" w:hAnsi="宋体" w:cs="宋体"/>
          <w:sz w:val="24"/>
          <w:szCs w:val="24"/>
          <w:lang w:val="en-GB"/>
        </w:rPr>
      </w:pPr>
    </w:p>
    <w:sectPr>
      <w:footerReference r:id="rId9" w:type="first"/>
      <w:footerReference r:id="rId8" w:type="default"/>
      <w:pgSz w:w="11907" w:h="16840"/>
      <w:pgMar w:top="868" w:right="1417" w:bottom="1440" w:left="1800" w:header="720" w:footer="578" w:gutter="0"/>
      <w:pgNumType w:fmt="decimal" w:start="1"/>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2020603050405020304"/>
    <w:charset w:val="00"/>
    <w:family w:val="roman"/>
    <w:pitch w:val="default"/>
    <w:sig w:usb0="00000000" w:usb1="00000000" w:usb2="00000000" w:usb3="00000000" w:csb0="00000093" w:csb1="00000000"/>
  </w:font>
  <w:font w:name="Futura Bk">
    <w:altName w:val="Segoe UI"/>
    <w:panose1 w:val="00000000000000000000"/>
    <w:charset w:val="00"/>
    <w:family w:val="swiss"/>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Arial Narrow">
    <w:panose1 w:val="020B0606020202030204"/>
    <w:charset w:val="00"/>
    <w:family w:val="swiss"/>
    <w:pitch w:val="default"/>
    <w:sig w:usb0="00000287" w:usb1="00000800" w:usb2="00000000" w:usb3="00000000" w:csb0="2000009F" w:csb1="DFD70000"/>
  </w:font>
  <w:font w:name="仿宋_GB2312">
    <w:altName w:val="仿宋"/>
    <w:panose1 w:val="00000000000000000000"/>
    <w:charset w:val="86"/>
    <w:family w:val="modern"/>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宋体-PUA">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ind w:right="360"/>
      <w:rPr>
        <w:rFonts w:ascii="宋体" w:hAnsi="宋体"/>
      </w:rPr>
    </w:pPr>
    <w:r>
      <w:rPr>
        <w:rFonts w:hint="eastAsia" w:ascii="宋体" w:hAnsi="宋体"/>
      </w:rPr>
      <w:t xml:space="preserve">                                    </w:t>
    </w:r>
    <w:r>
      <w:rPr>
        <w:rFonts w:ascii="宋体" w:hAnsi="宋体"/>
      </w:rPr>
      <w:pict>
        <v:line id="Line 1025" o:spid="_x0000_s3073" o:spt="20" style="position:absolute;left:0pt;margin-left:21.15pt;margin-top:59.5pt;height:0.15pt;width:413.85pt;z-index:251658240;mso-width-relative:page;mso-height-relative:page;" coordsize="21600,21600">
          <v:path arrowok="t"/>
          <v:fill focussize="0,0"/>
          <v:stroke/>
          <v:imagedata o:title=""/>
          <o:lock v:ext="edit"/>
        </v:lin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tabs>
        <w:tab w:val="left" w:pos="5354"/>
        <w:tab w:val="clear" w:pos="4320"/>
      </w:tabs>
      <w:ind w:right="360"/>
      <w:rPr>
        <w:rFonts w:ascii="宋体" w:hAnsi="宋体"/>
      </w:rPr>
    </w:pPr>
    <w:r>
      <w:rPr>
        <w:rFonts w:hint="eastAsia" w:ascii="宋体" w:hAnsi="宋体"/>
      </w:rPr>
      <w:t xml:space="preserve">                                    </w:t>
    </w:r>
    <w:r>
      <w:rPr>
        <w:rFonts w:ascii="宋体" w:hAnsi="宋体"/>
      </w:rPr>
      <w:pict>
        <v:line id="Line 1027" o:spid="_x0000_s3074" o:spt="20" style="position:absolute;left:0pt;margin-left:21.15pt;margin-top:59.5pt;height:0.15pt;width:413.85pt;z-index:251659264;mso-width-relative:page;mso-height-relative:page;" coordsize="21600,21600">
          <v:path arrowok="t"/>
          <v:fill focussize="0,0"/>
          <v:stroke/>
          <v:imagedata o:title=""/>
          <o:lock v:ext="edit"/>
        </v:line>
      </w:pict>
    </w:r>
    <w:r>
      <w:rPr>
        <w:rFonts w:hint="eastAsia" w:ascii="宋体" w:hAnsi="宋体"/>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DzzfY5wQIAANYFAAAOAAAAAAAA&#10;AAEAIAAAAB8BAABkcnMvZTJvRG9jLnhtbFBLBQYAAAAABgAGAFkBAABSBgAAAAA=&#10;">
              <v:fill on="f" focussize="0,0"/>
              <v:stroke on="f" weight="0.5pt"/>
              <v:imagedata o:title=""/>
              <o:lock v:ext="edit" aspectratio="f"/>
              <v:textbox inset="0mm,0mm,0mm,0mm" style="mso-fit-shape-to-text:t;">
                <w:txbxContent>
                  <w:p>
                    <w:pPr>
                      <w:pStyle w:val="2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pBdr>
        <w:bottom w:val="single" w:color="auto" w:sz="4" w:space="0"/>
      </w:pBdr>
      <w:tabs>
        <w:tab w:val="center" w:pos="4153"/>
        <w:tab w:val="right" w:pos="8306"/>
        <w:tab w:val="clear" w:pos="4320"/>
        <w:tab w:val="clear" w:pos="8640"/>
      </w:tabs>
      <w:jc w:val="center"/>
    </w:pPr>
    <w:r>
      <w:rPr>
        <w:rFonts w:hint="eastAsia"/>
      </w:rPr>
      <w:t>青岛九邮信息技术有限公司</w:t>
    </w:r>
  </w:p>
  <w:p>
    <w:pPr>
      <w:pStyle w:val="30"/>
      <w:rPr>
        <w:rFonts w:ascii="宋体" w:hAnsi="宋体"/>
        <w:u w:val="single"/>
      </w:rPr>
    </w:pPr>
    <w:r>
      <w:rPr>
        <w:rFonts w:hint="eastAsia"/>
        <w:u w:val="single"/>
      </w:rPr>
      <w:t xml:space="preserve">                                                              </w:t>
    </w:r>
    <w:r>
      <w:rPr>
        <w:rFonts w:hint="eastAsia" w:ascii="宋体" w:hAnsi="宋体"/>
        <w:sz w:val="20"/>
        <w:u w:val="single"/>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pBdr>
        <w:bottom w:val="single" w:color="auto" w:sz="4" w:space="0"/>
      </w:pBdr>
      <w:tabs>
        <w:tab w:val="center" w:pos="4153"/>
        <w:tab w:val="right" w:pos="8306"/>
        <w:tab w:val="clear" w:pos="4320"/>
        <w:tab w:val="clear" w:pos="8640"/>
      </w:tabs>
      <w:jc w:val="center"/>
    </w:pPr>
    <w:r>
      <w:rPr>
        <w:rFonts w:hint="eastAsia"/>
      </w:rPr>
      <w:t>青岛九邮信息技术有限公司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97E6C"/>
    <w:multiLevelType w:val="multilevel"/>
    <w:tmpl w:val="16597E6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17610AC6"/>
    <w:multiLevelType w:val="singleLevel"/>
    <w:tmpl w:val="17610AC6"/>
    <w:lvl w:ilvl="0" w:tentative="0">
      <w:start w:val="1"/>
      <w:numFmt w:val="bullet"/>
      <w:pStyle w:val="100"/>
      <w:lvlText w:val=""/>
      <w:lvlJc w:val="left"/>
      <w:pPr>
        <w:tabs>
          <w:tab w:val="left" w:pos="360"/>
        </w:tabs>
        <w:ind w:left="357" w:hanging="357"/>
      </w:pPr>
      <w:rPr>
        <w:rFonts w:hint="default" w:ascii="Symbol" w:hAnsi="Symbol"/>
      </w:rPr>
    </w:lvl>
  </w:abstractNum>
  <w:abstractNum w:abstractNumId="2">
    <w:nsid w:val="1F78060B"/>
    <w:multiLevelType w:val="multilevel"/>
    <w:tmpl w:val="1F78060B"/>
    <w:lvl w:ilvl="0" w:tentative="0">
      <w:start w:val="1"/>
      <w:numFmt w:val="chineseCountingThousand"/>
      <w:lvlText w:val="第%1章"/>
      <w:lvlJc w:val="left"/>
      <w:pPr>
        <w:tabs>
          <w:tab w:val="left" w:pos="0"/>
        </w:tabs>
        <w:ind w:left="0" w:firstLine="0"/>
      </w:pPr>
      <w:rPr>
        <w:rFonts w:hint="eastAsia" w:eastAsia="宋体"/>
        <w:b/>
        <w:i w:val="0"/>
        <w:color w:val="auto"/>
        <w:sz w:val="36"/>
      </w:rPr>
    </w:lvl>
    <w:lvl w:ilvl="1" w:tentative="0">
      <w:start w:val="1"/>
      <w:numFmt w:val="decimal"/>
      <w:isLgl/>
      <w:lvlText w:val="%1.%2"/>
      <w:lvlJc w:val="left"/>
      <w:pPr>
        <w:tabs>
          <w:tab w:val="left" w:pos="0"/>
        </w:tabs>
        <w:ind w:left="0" w:firstLine="0"/>
      </w:pPr>
      <w:rPr>
        <w:rFonts w:hint="default" w:ascii="Arial" w:hAnsi="Arial"/>
        <w:b/>
        <w:i w:val="0"/>
        <w:sz w:val="32"/>
      </w:rPr>
    </w:lvl>
    <w:lvl w:ilvl="2" w:tentative="0">
      <w:start w:val="1"/>
      <w:numFmt w:val="decimal"/>
      <w:pStyle w:val="4"/>
      <w:isLgl/>
      <w:lvlText w:val="%1.%2.%3"/>
      <w:lvlJc w:val="left"/>
      <w:pPr>
        <w:tabs>
          <w:tab w:val="left" w:pos="0"/>
        </w:tabs>
        <w:ind w:left="0" w:firstLine="0"/>
      </w:pPr>
      <w:rPr>
        <w:rFonts w:hint="default" w:ascii="Arial" w:hAnsi="Arial"/>
        <w:b/>
        <w:i w:val="0"/>
        <w:sz w:val="30"/>
      </w:rPr>
    </w:lvl>
    <w:lvl w:ilvl="3" w:tentative="0">
      <w:start w:val="1"/>
      <w:numFmt w:val="decimal"/>
      <w:isLgl/>
      <w:lvlText w:val="%1.%2.%3.%4"/>
      <w:lvlJc w:val="left"/>
      <w:pPr>
        <w:tabs>
          <w:tab w:val="left" w:pos="0"/>
        </w:tabs>
        <w:ind w:left="0" w:firstLine="0"/>
      </w:pPr>
      <w:rPr>
        <w:rFonts w:hint="default" w:ascii="Arial" w:hAnsi="Arial"/>
        <w:b/>
        <w:i w:val="0"/>
        <w:sz w:val="28"/>
      </w:rPr>
    </w:lvl>
    <w:lvl w:ilvl="4" w:tentative="0">
      <w:start w:val="1"/>
      <w:numFmt w:val="decimal"/>
      <w:isLgl/>
      <w:lvlText w:val="%1.%2.%3.%4.%5"/>
      <w:lvlJc w:val="left"/>
      <w:pPr>
        <w:tabs>
          <w:tab w:val="left" w:pos="0"/>
        </w:tabs>
        <w:ind w:left="0" w:firstLine="0"/>
      </w:pPr>
      <w:rPr>
        <w:rFonts w:hint="default" w:ascii="Arial" w:hAnsi="Arial"/>
        <w:b/>
        <w:i w:val="0"/>
        <w:sz w:val="24"/>
      </w:rPr>
    </w:lvl>
    <w:lvl w:ilvl="5" w:tentative="0">
      <w:start w:val="1"/>
      <w:numFmt w:val="decimal"/>
      <w:isLgl/>
      <w:lvlText w:val="%1.%2.%3.%4.%5.%6"/>
      <w:lvlJc w:val="left"/>
      <w:pPr>
        <w:tabs>
          <w:tab w:val="left" w:pos="0"/>
        </w:tabs>
        <w:ind w:left="0" w:firstLine="0"/>
      </w:pPr>
      <w:rPr>
        <w:rFonts w:hint="default" w:ascii="Arial" w:hAnsi="Arial"/>
        <w:b/>
        <w:i w:val="0"/>
        <w:sz w:val="24"/>
      </w:rPr>
    </w:lvl>
    <w:lvl w:ilvl="6" w:tentative="0">
      <w:start w:val="1"/>
      <w:numFmt w:val="decimal"/>
      <w:isLgl/>
      <w:lvlText w:val="%1.%2.%3.%4.%5.%6.%7"/>
      <w:lvlJc w:val="left"/>
      <w:pPr>
        <w:tabs>
          <w:tab w:val="left" w:pos="0"/>
        </w:tabs>
        <w:ind w:left="0" w:firstLine="0"/>
      </w:pPr>
      <w:rPr>
        <w:rFonts w:hint="default" w:ascii="Arial" w:hAnsi="Arial"/>
        <w:b/>
        <w:i w:val="0"/>
        <w:sz w:val="24"/>
      </w:rPr>
    </w:lvl>
    <w:lvl w:ilvl="7" w:tentative="0">
      <w:start w:val="1"/>
      <w:numFmt w:val="decimal"/>
      <w:isLgl/>
      <w:lvlText w:val="%1.%2.%3.%4.%5.%6.%7.%8"/>
      <w:lvlJc w:val="left"/>
      <w:pPr>
        <w:tabs>
          <w:tab w:val="left" w:pos="0"/>
        </w:tabs>
        <w:ind w:left="0" w:firstLine="0"/>
      </w:pPr>
      <w:rPr>
        <w:rFonts w:hint="default" w:ascii="Arial" w:hAnsi="Arial"/>
        <w:b/>
        <w:i w:val="0"/>
        <w:sz w:val="24"/>
        <w:szCs w:val="24"/>
      </w:rPr>
    </w:lvl>
    <w:lvl w:ilvl="8" w:tentative="0">
      <w:start w:val="1"/>
      <w:numFmt w:val="decimal"/>
      <w:isLgl/>
      <w:lvlText w:val="%1.%2.%3.%4.%5.%6.%7.%8.%9"/>
      <w:lvlJc w:val="left"/>
      <w:pPr>
        <w:tabs>
          <w:tab w:val="left" w:pos="0"/>
        </w:tabs>
        <w:ind w:left="0" w:firstLine="0"/>
      </w:pPr>
      <w:rPr>
        <w:rFonts w:hint="default" w:ascii="Arial" w:hAnsi="Arial"/>
        <w:b/>
        <w:i w:val="0"/>
        <w:sz w:val="24"/>
        <w:szCs w:val="24"/>
      </w:rPr>
    </w:lvl>
  </w:abstractNum>
  <w:abstractNum w:abstractNumId="3">
    <w:nsid w:val="2A00004D"/>
    <w:multiLevelType w:val="multilevel"/>
    <w:tmpl w:val="2A00004D"/>
    <w:lvl w:ilvl="0" w:tentative="0">
      <w:start w:val="1"/>
      <w:numFmt w:val="bullet"/>
      <w:lvlText w:val="-"/>
      <w:lvlJc w:val="left"/>
      <w:pPr>
        <w:tabs>
          <w:tab w:val="left" w:pos="2160"/>
        </w:tabs>
        <w:ind w:left="2160" w:hanging="360"/>
      </w:pPr>
      <w:rPr>
        <w:rFonts w:hint="default" w:hAnsi="Courier New"/>
      </w:rPr>
    </w:lvl>
    <w:lvl w:ilvl="1" w:tentative="0">
      <w:start w:val="1"/>
      <w:numFmt w:val="bullet"/>
      <w:pStyle w:val="69"/>
      <w:lvlText w:val=""/>
      <w:lvlJc w:val="left"/>
      <w:pPr>
        <w:tabs>
          <w:tab w:val="left" w:pos="1607"/>
        </w:tabs>
        <w:ind w:left="1588" w:hanging="341"/>
      </w:pPr>
      <w:rPr>
        <w:rFonts w:hint="default" w:ascii="Symbol" w:hAnsi="Symbol"/>
        <w:b w:val="0"/>
        <w:i w:val="0"/>
        <w:sz w:val="12"/>
      </w:rPr>
    </w:lvl>
    <w:lvl w:ilvl="2" w:tentative="0">
      <w:start w:val="1"/>
      <w:numFmt w:val="bullet"/>
      <w:lvlText w:val=""/>
      <w:lvlJc w:val="left"/>
      <w:pPr>
        <w:tabs>
          <w:tab w:val="left" w:pos="4032"/>
        </w:tabs>
        <w:ind w:left="4032" w:hanging="360"/>
      </w:pPr>
      <w:rPr>
        <w:rFonts w:hint="default" w:ascii="Wingdings" w:hAnsi="Wingdings"/>
      </w:rPr>
    </w:lvl>
    <w:lvl w:ilvl="3" w:tentative="0">
      <w:start w:val="1"/>
      <w:numFmt w:val="bullet"/>
      <w:lvlText w:val=""/>
      <w:lvlJc w:val="left"/>
      <w:pPr>
        <w:tabs>
          <w:tab w:val="left" w:pos="4752"/>
        </w:tabs>
        <w:ind w:left="4752" w:hanging="360"/>
      </w:pPr>
      <w:rPr>
        <w:rFonts w:hint="default" w:ascii="Symbol" w:hAnsi="Symbol"/>
      </w:rPr>
    </w:lvl>
    <w:lvl w:ilvl="4" w:tentative="0">
      <w:start w:val="1"/>
      <w:numFmt w:val="bullet"/>
      <w:lvlText w:val="o"/>
      <w:lvlJc w:val="left"/>
      <w:pPr>
        <w:tabs>
          <w:tab w:val="left" w:pos="5472"/>
        </w:tabs>
        <w:ind w:left="5472" w:hanging="360"/>
      </w:pPr>
      <w:rPr>
        <w:rFonts w:hint="default" w:ascii="Courier New" w:hAnsi="Courier New" w:cs="Courier New"/>
      </w:rPr>
    </w:lvl>
    <w:lvl w:ilvl="5" w:tentative="0">
      <w:start w:val="1"/>
      <w:numFmt w:val="bullet"/>
      <w:lvlText w:val=""/>
      <w:lvlJc w:val="left"/>
      <w:pPr>
        <w:tabs>
          <w:tab w:val="left" w:pos="6192"/>
        </w:tabs>
        <w:ind w:left="6192" w:hanging="360"/>
      </w:pPr>
      <w:rPr>
        <w:rFonts w:hint="default" w:ascii="Wingdings" w:hAnsi="Wingdings"/>
      </w:rPr>
    </w:lvl>
    <w:lvl w:ilvl="6" w:tentative="0">
      <w:start w:val="1"/>
      <w:numFmt w:val="bullet"/>
      <w:lvlText w:val=""/>
      <w:lvlJc w:val="left"/>
      <w:pPr>
        <w:tabs>
          <w:tab w:val="left" w:pos="6912"/>
        </w:tabs>
        <w:ind w:left="6912" w:hanging="360"/>
      </w:pPr>
      <w:rPr>
        <w:rFonts w:hint="default" w:ascii="Symbol" w:hAnsi="Symbol"/>
      </w:rPr>
    </w:lvl>
    <w:lvl w:ilvl="7" w:tentative="0">
      <w:start w:val="1"/>
      <w:numFmt w:val="bullet"/>
      <w:lvlText w:val="o"/>
      <w:lvlJc w:val="left"/>
      <w:pPr>
        <w:tabs>
          <w:tab w:val="left" w:pos="7632"/>
        </w:tabs>
        <w:ind w:left="7632" w:hanging="360"/>
      </w:pPr>
      <w:rPr>
        <w:rFonts w:hint="default" w:ascii="Courier New" w:hAnsi="Courier New" w:cs="Courier New"/>
      </w:rPr>
    </w:lvl>
    <w:lvl w:ilvl="8" w:tentative="0">
      <w:start w:val="1"/>
      <w:numFmt w:val="bullet"/>
      <w:lvlText w:val=""/>
      <w:lvlJc w:val="left"/>
      <w:pPr>
        <w:tabs>
          <w:tab w:val="left" w:pos="8352"/>
        </w:tabs>
        <w:ind w:left="8352" w:hanging="360"/>
      </w:pPr>
      <w:rPr>
        <w:rFonts w:hint="default" w:ascii="Wingdings" w:hAnsi="Wingdings"/>
      </w:rPr>
    </w:lvl>
  </w:abstractNum>
  <w:abstractNum w:abstractNumId="4">
    <w:nsid w:val="359149DC"/>
    <w:multiLevelType w:val="multilevel"/>
    <w:tmpl w:val="359149DC"/>
    <w:lvl w:ilvl="0" w:tentative="0">
      <w:start w:val="1"/>
      <w:numFmt w:val="decimal"/>
      <w:pStyle w:val="117"/>
      <w:lvlText w:val="第%1章"/>
      <w:lvlJc w:val="left"/>
      <w:pPr>
        <w:tabs>
          <w:tab w:val="left" w:pos="1440"/>
        </w:tabs>
        <w:ind w:left="0" w:firstLine="0"/>
      </w:pPr>
      <w:rPr>
        <w:rFonts w:hint="eastAsia"/>
      </w:rPr>
    </w:lvl>
    <w:lvl w:ilvl="1" w:tentative="0">
      <w:start w:val="1"/>
      <w:numFmt w:val="decimal"/>
      <w:lvlText w:val="%1.%2"/>
      <w:lvlJc w:val="left"/>
      <w:pPr>
        <w:tabs>
          <w:tab w:val="left" w:pos="720"/>
        </w:tabs>
        <w:ind w:left="0" w:firstLine="0"/>
      </w:pPr>
      <w:rPr>
        <w:rFonts w:hint="eastAsia"/>
      </w:rPr>
    </w:lvl>
    <w:lvl w:ilvl="2" w:tentative="0">
      <w:start w:val="1"/>
      <w:numFmt w:val="decimal"/>
      <w:lvlText w:val="%1.%2.%3"/>
      <w:lvlJc w:val="left"/>
      <w:pPr>
        <w:tabs>
          <w:tab w:val="left" w:pos="709"/>
        </w:tabs>
        <w:ind w:left="709" w:hanging="709"/>
      </w:pPr>
      <w:rPr>
        <w:rFonts w:hint="eastAsia" w:ascii="黑体" w:eastAsia="黑体"/>
        <w:sz w:val="28"/>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3746462F"/>
    <w:multiLevelType w:val="multilevel"/>
    <w:tmpl w:val="3746462F"/>
    <w:lvl w:ilvl="0" w:tentative="0">
      <w:start w:val="1"/>
      <w:numFmt w:val="decimal"/>
      <w:pStyle w:val="77"/>
      <w:lvlText w:val="%1."/>
      <w:lvlJc w:val="left"/>
      <w:pPr>
        <w:tabs>
          <w:tab w:val="left" w:pos="360"/>
        </w:tabs>
        <w:ind w:left="360" w:hanging="360"/>
      </w:pPr>
    </w:lvl>
    <w:lvl w:ilvl="1" w:tentative="0">
      <w:start w:val="1"/>
      <w:numFmt w:val="lowerLetter"/>
      <w:pStyle w:val="78"/>
      <w:lvlText w:val="%2)"/>
      <w:lvlJc w:val="left"/>
      <w:pPr>
        <w:tabs>
          <w:tab w:val="left" w:pos="360"/>
        </w:tabs>
        <w:ind w:left="360" w:hanging="360"/>
      </w:pPr>
    </w:lvl>
    <w:lvl w:ilvl="2" w:tentative="0">
      <w:start w:val="1"/>
      <w:numFmt w:val="lowerRoman"/>
      <w:pStyle w:val="79"/>
      <w:lvlText w:val="%3)"/>
      <w:lvlJc w:val="left"/>
      <w:pPr>
        <w:tabs>
          <w:tab w:val="left" w:pos="720"/>
        </w:tabs>
        <w:ind w:left="360" w:hanging="360"/>
      </w:pPr>
    </w:lvl>
    <w:lvl w:ilvl="3" w:tentative="0">
      <w:start w:val="1"/>
      <w:numFmt w:val="none"/>
      <w:lvlText w:val=""/>
      <w:lvlJc w:val="left"/>
      <w:pPr>
        <w:tabs>
          <w:tab w:val="left" w:pos="1440"/>
        </w:tabs>
        <w:ind w:left="1440" w:hanging="360"/>
      </w:pPr>
    </w:lvl>
    <w:lvl w:ilvl="4" w:tentative="0">
      <w:start w:val="1"/>
      <w:numFmt w:val="none"/>
      <w:lvlText w:val=""/>
      <w:lvlJc w:val="left"/>
      <w:pPr>
        <w:tabs>
          <w:tab w:val="left" w:pos="1800"/>
        </w:tabs>
        <w:ind w:left="1800" w:hanging="360"/>
      </w:pPr>
    </w:lvl>
    <w:lvl w:ilvl="5" w:tentative="0">
      <w:start w:val="1"/>
      <w:numFmt w:val="none"/>
      <w:lvlText w:val=""/>
      <w:lvlJc w:val="left"/>
      <w:pPr>
        <w:tabs>
          <w:tab w:val="left" w:pos="2160"/>
        </w:tabs>
        <w:ind w:left="2160" w:hanging="360"/>
      </w:pPr>
    </w:lvl>
    <w:lvl w:ilvl="6" w:tentative="0">
      <w:start w:val="1"/>
      <w:numFmt w:val="none"/>
      <w:lvlText w:val=""/>
      <w:lvlJc w:val="left"/>
      <w:pPr>
        <w:tabs>
          <w:tab w:val="left" w:pos="2520"/>
        </w:tabs>
        <w:ind w:left="2520" w:hanging="360"/>
      </w:pPr>
    </w:lvl>
    <w:lvl w:ilvl="7" w:tentative="0">
      <w:start w:val="1"/>
      <w:numFmt w:val="none"/>
      <w:lvlText w:val=""/>
      <w:lvlJc w:val="left"/>
      <w:pPr>
        <w:tabs>
          <w:tab w:val="left" w:pos="2880"/>
        </w:tabs>
        <w:ind w:left="2880" w:hanging="360"/>
      </w:pPr>
    </w:lvl>
    <w:lvl w:ilvl="8" w:tentative="0">
      <w:start w:val="1"/>
      <w:numFmt w:val="none"/>
      <w:lvlText w:val=""/>
      <w:lvlJc w:val="left"/>
      <w:pPr>
        <w:tabs>
          <w:tab w:val="left" w:pos="3240"/>
        </w:tabs>
        <w:ind w:left="3240" w:hanging="360"/>
      </w:pPr>
    </w:lvl>
  </w:abstractNum>
  <w:abstractNum w:abstractNumId="6">
    <w:nsid w:val="38875C82"/>
    <w:multiLevelType w:val="multilevel"/>
    <w:tmpl w:val="38875C82"/>
    <w:lvl w:ilvl="0" w:tentative="0">
      <w:start w:val="1"/>
      <w:numFmt w:val="decimal"/>
      <w:pStyle w:val="127"/>
      <w:lvlText w:val="附图%1. "/>
      <w:lvlJc w:val="left"/>
      <w:pPr>
        <w:tabs>
          <w:tab w:val="left" w:pos="7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E452EDE"/>
    <w:multiLevelType w:val="singleLevel"/>
    <w:tmpl w:val="3E452EDE"/>
    <w:lvl w:ilvl="0" w:tentative="0">
      <w:start w:val="1"/>
      <w:numFmt w:val="bullet"/>
      <w:pStyle w:val="67"/>
      <w:lvlText w:val=""/>
      <w:lvlJc w:val="left"/>
      <w:pPr>
        <w:tabs>
          <w:tab w:val="left" w:pos="720"/>
        </w:tabs>
        <w:ind w:left="720" w:hanging="360"/>
      </w:pPr>
      <w:rPr>
        <w:rFonts w:hint="default" w:ascii="Symbol" w:hAnsi="Symbol"/>
        <w:b w:val="0"/>
        <w:i w:val="0"/>
        <w:sz w:val="20"/>
      </w:rPr>
    </w:lvl>
  </w:abstractNum>
  <w:abstractNum w:abstractNumId="8">
    <w:nsid w:val="531F1DCD"/>
    <w:multiLevelType w:val="multilevel"/>
    <w:tmpl w:val="531F1DCD"/>
    <w:lvl w:ilvl="0" w:tentative="0">
      <w:start w:val="1"/>
      <w:numFmt w:val="decimal"/>
      <w:pStyle w:val="2"/>
      <w:lvlText w:val="%1"/>
      <w:lvlJc w:val="left"/>
      <w:pPr>
        <w:tabs>
          <w:tab w:val="left" w:pos="432"/>
        </w:tabs>
        <w:ind w:left="432" w:hanging="432"/>
      </w:pPr>
      <w:rPr>
        <w:rFonts w:ascii="宋体" w:hAnsi="宋体" w:eastAsia="宋体"/>
        <w:b/>
      </w:rPr>
    </w:lvl>
    <w:lvl w:ilvl="1" w:tentative="0">
      <w:start w:val="1"/>
      <w:numFmt w:val="decimal"/>
      <w:pStyle w:val="3"/>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9">
    <w:nsid w:val="55E75623"/>
    <w:multiLevelType w:val="multilevel"/>
    <w:tmpl w:val="55E75623"/>
    <w:lvl w:ilvl="0" w:tentative="0">
      <w:start w:val="1"/>
      <w:numFmt w:val="decimal"/>
      <w:pStyle w:val="114"/>
      <w:lvlText w:val="%1"/>
      <w:lvlJc w:val="left"/>
      <w:pPr>
        <w:tabs>
          <w:tab w:val="left" w:pos="927"/>
        </w:tabs>
        <w:ind w:left="567" w:firstLine="0"/>
      </w:pPr>
      <w:rPr>
        <w:rFonts w:hint="eastAsia" w:ascii="黑体" w:eastAsia="黑体"/>
        <w:b w:val="0"/>
        <w:i w:val="0"/>
        <w:sz w:val="28"/>
      </w:rPr>
    </w:lvl>
    <w:lvl w:ilvl="1" w:tentative="0">
      <w:start w:val="1"/>
      <w:numFmt w:val="decimal"/>
      <w:lvlText w:val="%1.%2"/>
      <w:lvlJc w:val="left"/>
      <w:pPr>
        <w:tabs>
          <w:tab w:val="left" w:pos="1134"/>
        </w:tabs>
        <w:ind w:left="1134" w:hanging="567"/>
      </w:pPr>
      <w:rPr>
        <w:rFonts w:hint="eastAsia"/>
      </w:rPr>
    </w:lvl>
    <w:lvl w:ilvl="2" w:tentative="0">
      <w:start w:val="1"/>
      <w:numFmt w:val="decimal"/>
      <w:lvlText w:val="%1.%2.%3"/>
      <w:lvlJc w:val="left"/>
      <w:pPr>
        <w:tabs>
          <w:tab w:val="left" w:pos="1287"/>
        </w:tabs>
        <w:ind w:left="0" w:firstLine="567"/>
      </w:pPr>
      <w:rPr>
        <w:rFonts w:hint="eastAsia"/>
      </w:rPr>
    </w:lvl>
    <w:lvl w:ilvl="3" w:tentative="0">
      <w:start w:val="1"/>
      <w:numFmt w:val="decimal"/>
      <w:lvlText w:val="%1.%2.%3.%4."/>
      <w:lvlJc w:val="left"/>
      <w:pPr>
        <w:tabs>
          <w:tab w:val="left" w:pos="1418"/>
        </w:tabs>
        <w:ind w:left="1418" w:hanging="851"/>
      </w:pPr>
      <w:rPr>
        <w:rFonts w:hint="eastAsia"/>
      </w:rPr>
    </w:lvl>
    <w:lvl w:ilvl="4" w:tentative="0">
      <w:start w:val="1"/>
      <w:numFmt w:val="decimal"/>
      <w:lvlText w:val="%1.%2.%3.%4.%5."/>
      <w:lvlJc w:val="left"/>
      <w:pPr>
        <w:tabs>
          <w:tab w:val="left" w:pos="1559"/>
        </w:tabs>
        <w:ind w:left="1559" w:hanging="992"/>
      </w:pPr>
      <w:rPr>
        <w:rFonts w:hint="eastAsia"/>
      </w:rPr>
    </w:lvl>
    <w:lvl w:ilvl="5" w:tentative="0">
      <w:start w:val="1"/>
      <w:numFmt w:val="decimal"/>
      <w:lvlText w:val="%1.%2.%3.%4.%5.%6."/>
      <w:lvlJc w:val="left"/>
      <w:pPr>
        <w:tabs>
          <w:tab w:val="left" w:pos="1701"/>
        </w:tabs>
        <w:ind w:left="1701" w:hanging="1134"/>
      </w:pPr>
      <w:rPr>
        <w:rFonts w:hint="eastAsia"/>
      </w:rPr>
    </w:lvl>
    <w:lvl w:ilvl="6" w:tentative="0">
      <w:start w:val="1"/>
      <w:numFmt w:val="decimal"/>
      <w:lvlText w:val="%1.%2.%3.%4.%5.%6.%7."/>
      <w:lvlJc w:val="left"/>
      <w:pPr>
        <w:tabs>
          <w:tab w:val="left" w:pos="1843"/>
        </w:tabs>
        <w:ind w:left="1843" w:hanging="1276"/>
      </w:pPr>
      <w:rPr>
        <w:rFonts w:hint="eastAsia"/>
      </w:rPr>
    </w:lvl>
    <w:lvl w:ilvl="7" w:tentative="0">
      <w:start w:val="1"/>
      <w:numFmt w:val="decimal"/>
      <w:lvlText w:val="%1.%2.%3.%4.%5.%6.%7.%8."/>
      <w:lvlJc w:val="left"/>
      <w:pPr>
        <w:tabs>
          <w:tab w:val="left" w:pos="1985"/>
        </w:tabs>
        <w:ind w:left="1985" w:hanging="1418"/>
      </w:pPr>
      <w:rPr>
        <w:rFonts w:hint="eastAsia"/>
      </w:rPr>
    </w:lvl>
    <w:lvl w:ilvl="8" w:tentative="0">
      <w:start w:val="1"/>
      <w:numFmt w:val="decimal"/>
      <w:lvlText w:val="%1.%2.%3.%4.%5.%6.%7.%8.%9."/>
      <w:lvlJc w:val="left"/>
      <w:pPr>
        <w:tabs>
          <w:tab w:val="left" w:pos="2126"/>
        </w:tabs>
        <w:ind w:left="2126" w:hanging="1559"/>
      </w:pPr>
      <w:rPr>
        <w:rFonts w:hint="eastAsia"/>
      </w:rPr>
    </w:lvl>
  </w:abstractNum>
  <w:abstractNum w:abstractNumId="10">
    <w:nsid w:val="56BC42B4"/>
    <w:multiLevelType w:val="multilevel"/>
    <w:tmpl w:val="56BC42B4"/>
    <w:lvl w:ilvl="0" w:tentative="0">
      <w:start w:val="1"/>
      <w:numFmt w:val="decimal"/>
      <w:pStyle w:val="122"/>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93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496"/>
        </w:tabs>
        <w:ind w:left="4394" w:hanging="1418"/>
      </w:pPr>
      <w:rPr>
        <w:rFonts w:hint="eastAsia"/>
      </w:rPr>
    </w:lvl>
    <w:lvl w:ilvl="8" w:tentative="0">
      <w:start w:val="1"/>
      <w:numFmt w:val="decimal"/>
      <w:lvlText w:val="%1.%2.%3.%4.%5.%6.%7.%8.%9"/>
      <w:lvlJc w:val="left"/>
      <w:pPr>
        <w:tabs>
          <w:tab w:val="left" w:pos="6282"/>
        </w:tabs>
        <w:ind w:left="5102" w:hanging="1700"/>
      </w:pPr>
      <w:rPr>
        <w:rFonts w:hint="eastAsia"/>
      </w:rPr>
    </w:lvl>
  </w:abstractNum>
  <w:abstractNum w:abstractNumId="11">
    <w:nsid w:val="582F4130"/>
    <w:multiLevelType w:val="singleLevel"/>
    <w:tmpl w:val="582F4130"/>
    <w:lvl w:ilvl="0" w:tentative="0">
      <w:start w:val="1"/>
      <w:numFmt w:val="bullet"/>
      <w:pStyle w:val="66"/>
      <w:lvlText w:val=""/>
      <w:lvlJc w:val="left"/>
      <w:pPr>
        <w:tabs>
          <w:tab w:val="left" w:pos="360"/>
        </w:tabs>
        <w:ind w:left="360" w:hanging="360"/>
      </w:pPr>
      <w:rPr>
        <w:rFonts w:hint="default" w:ascii="Wingdings" w:hAnsi="Wingdings"/>
        <w:b w:val="0"/>
        <w:i w:val="0"/>
        <w:sz w:val="16"/>
      </w:rPr>
    </w:lvl>
  </w:abstractNum>
  <w:abstractNum w:abstractNumId="12">
    <w:nsid w:val="5C514CE7"/>
    <w:multiLevelType w:val="singleLevel"/>
    <w:tmpl w:val="5C514CE7"/>
    <w:lvl w:ilvl="0" w:tentative="0">
      <w:start w:val="1"/>
      <w:numFmt w:val="bullet"/>
      <w:pStyle w:val="109"/>
      <w:lvlText w:val=""/>
      <w:lvlJc w:val="left"/>
      <w:pPr>
        <w:tabs>
          <w:tab w:val="left" w:pos="1440"/>
        </w:tabs>
        <w:ind w:left="1368" w:hanging="288"/>
      </w:pPr>
      <w:rPr>
        <w:rFonts w:hint="default" w:ascii="Symbol" w:hAnsi="Symbol"/>
        <w:sz w:val="16"/>
      </w:rPr>
    </w:lvl>
  </w:abstractNum>
  <w:abstractNum w:abstractNumId="13">
    <w:nsid w:val="5CEC76F0"/>
    <w:multiLevelType w:val="singleLevel"/>
    <w:tmpl w:val="5CEC76F0"/>
    <w:lvl w:ilvl="0" w:tentative="0">
      <w:start w:val="1"/>
      <w:numFmt w:val="decimal"/>
      <w:lvlText w:val="%1."/>
      <w:lvlJc w:val="left"/>
      <w:pPr>
        <w:ind w:left="425" w:hanging="425"/>
      </w:pPr>
      <w:rPr>
        <w:rFonts w:hint="default"/>
      </w:rPr>
    </w:lvl>
  </w:abstractNum>
  <w:abstractNum w:abstractNumId="14">
    <w:nsid w:val="61484059"/>
    <w:multiLevelType w:val="singleLevel"/>
    <w:tmpl w:val="61484059"/>
    <w:lvl w:ilvl="0" w:tentative="0">
      <w:start w:val="1"/>
      <w:numFmt w:val="decimal"/>
      <w:pStyle w:val="72"/>
      <w:lvlText w:val="%1."/>
      <w:lvlJc w:val="left"/>
      <w:pPr>
        <w:tabs>
          <w:tab w:val="left" w:pos="360"/>
        </w:tabs>
        <w:ind w:left="360" w:hanging="360"/>
      </w:pPr>
    </w:lvl>
  </w:abstractNum>
  <w:abstractNum w:abstractNumId="15">
    <w:nsid w:val="67DE6F90"/>
    <w:multiLevelType w:val="singleLevel"/>
    <w:tmpl w:val="67DE6F90"/>
    <w:lvl w:ilvl="0" w:tentative="0">
      <w:start w:val="1"/>
      <w:numFmt w:val="bullet"/>
      <w:pStyle w:val="68"/>
      <w:lvlText w:val=""/>
      <w:lvlJc w:val="left"/>
      <w:pPr>
        <w:tabs>
          <w:tab w:val="left" w:pos="1080"/>
        </w:tabs>
        <w:ind w:left="1080" w:hanging="360"/>
      </w:pPr>
      <w:rPr>
        <w:rFonts w:hint="default" w:ascii="Symbol" w:hAnsi="Symbol"/>
        <w:b w:val="0"/>
        <w:i w:val="0"/>
        <w:sz w:val="24"/>
      </w:rPr>
    </w:lvl>
  </w:abstractNum>
  <w:abstractNum w:abstractNumId="16">
    <w:nsid w:val="68804DFB"/>
    <w:multiLevelType w:val="multilevel"/>
    <w:tmpl w:val="68804DFB"/>
    <w:lvl w:ilvl="0" w:tentative="0">
      <w:start w:val="1"/>
      <w:numFmt w:val="decimal"/>
      <w:pStyle w:val="73"/>
      <w:lvlText w:val="%1."/>
      <w:lvlJc w:val="left"/>
      <w:pPr>
        <w:tabs>
          <w:tab w:val="left" w:pos="360"/>
        </w:tabs>
        <w:ind w:left="360" w:hanging="360"/>
      </w:pPr>
    </w:lvl>
    <w:lvl w:ilvl="1" w:tentative="0">
      <w:start w:val="1"/>
      <w:numFmt w:val="decimal"/>
      <w:lvlText w:val="%1.%2."/>
      <w:lvlJc w:val="left"/>
      <w:pPr>
        <w:tabs>
          <w:tab w:val="left" w:pos="1080"/>
        </w:tabs>
        <w:ind w:left="720" w:hanging="360"/>
      </w:pPr>
    </w:lvl>
    <w:lvl w:ilvl="2" w:tentative="0">
      <w:start w:val="1"/>
      <w:numFmt w:val="decimal"/>
      <w:lvlText w:val="%1.%2.%3."/>
      <w:lvlJc w:val="left"/>
      <w:pPr>
        <w:tabs>
          <w:tab w:val="left" w:pos="1440"/>
        </w:tabs>
        <w:ind w:left="1080" w:hanging="360"/>
      </w:pPr>
    </w:lvl>
    <w:lvl w:ilvl="3" w:tentative="0">
      <w:start w:val="1"/>
      <w:numFmt w:val="decimal"/>
      <w:lvlText w:val="%1.%2.%3.%4."/>
      <w:lvlJc w:val="left"/>
      <w:pPr>
        <w:tabs>
          <w:tab w:val="left" w:pos="216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17">
    <w:nsid w:val="6D4B238B"/>
    <w:multiLevelType w:val="singleLevel"/>
    <w:tmpl w:val="6D4B238B"/>
    <w:lvl w:ilvl="0" w:tentative="0">
      <w:start w:val="1"/>
      <w:numFmt w:val="bullet"/>
      <w:pStyle w:val="70"/>
      <w:lvlText w:val=""/>
      <w:lvlJc w:val="left"/>
      <w:pPr>
        <w:tabs>
          <w:tab w:val="left" w:pos="1800"/>
        </w:tabs>
        <w:ind w:left="1800" w:hanging="360"/>
      </w:pPr>
      <w:rPr>
        <w:rFonts w:hint="default" w:ascii="Wingdings" w:hAnsi="Wingdings"/>
        <w:b w:val="0"/>
        <w:i w:val="0"/>
        <w:sz w:val="16"/>
      </w:rPr>
    </w:lvl>
  </w:abstractNum>
  <w:num w:numId="1">
    <w:abstractNumId w:val="8"/>
  </w:num>
  <w:num w:numId="2">
    <w:abstractNumId w:val="2"/>
  </w:num>
  <w:num w:numId="3">
    <w:abstractNumId w:val="11"/>
  </w:num>
  <w:num w:numId="4">
    <w:abstractNumId w:val="7"/>
  </w:num>
  <w:num w:numId="5">
    <w:abstractNumId w:val="15"/>
  </w:num>
  <w:num w:numId="6">
    <w:abstractNumId w:val="3"/>
  </w:num>
  <w:num w:numId="7">
    <w:abstractNumId w:val="17"/>
  </w:num>
  <w:num w:numId="8">
    <w:abstractNumId w:val="14"/>
  </w:num>
  <w:num w:numId="9">
    <w:abstractNumId w:val="16"/>
  </w:num>
  <w:num w:numId="10">
    <w:abstractNumId w:val="5"/>
  </w:num>
  <w:num w:numId="11">
    <w:abstractNumId w:val="1"/>
  </w:num>
  <w:num w:numId="12">
    <w:abstractNumId w:val="12"/>
  </w:num>
  <w:num w:numId="13">
    <w:abstractNumId w:val="9"/>
  </w:num>
  <w:num w:numId="14">
    <w:abstractNumId w:val="4"/>
  </w:num>
  <w:num w:numId="15">
    <w:abstractNumId w:val="10"/>
  </w:num>
  <w:num w:numId="16">
    <w:abstractNumId w:val="6"/>
  </w:num>
  <w:num w:numId="17">
    <w:abstractNumId w:val="1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linkStyles/>
  <w:doNotTrackMoves/>
  <w:documentProtection w:enforcement="0"/>
  <w:defaultTabStop w:val="720"/>
  <w:drawingGridHorizontalSpacing w:val="100"/>
  <w:noPunctuationKerning w:val="1"/>
  <w:characterSpacingControl w:val="doNotCompress"/>
  <w:hdrShapeDefaults>
    <o:shapelayout v:ext="edit">
      <o:idmap v:ext="edit" data="2,3"/>
    </o:shapelayout>
  </w:hdrShapeDefault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E78"/>
    <w:rsid w:val="00160E78"/>
    <w:rsid w:val="006A7D4A"/>
    <w:rsid w:val="0097668A"/>
    <w:rsid w:val="02D83936"/>
    <w:rsid w:val="05BC7115"/>
    <w:rsid w:val="07E62B16"/>
    <w:rsid w:val="0C57044A"/>
    <w:rsid w:val="0E153931"/>
    <w:rsid w:val="0F1A0037"/>
    <w:rsid w:val="11A126C5"/>
    <w:rsid w:val="11E61AFA"/>
    <w:rsid w:val="13697721"/>
    <w:rsid w:val="141716E8"/>
    <w:rsid w:val="15CA102C"/>
    <w:rsid w:val="17DA2EBE"/>
    <w:rsid w:val="1AFF401F"/>
    <w:rsid w:val="1DC31F8B"/>
    <w:rsid w:val="1DFD733C"/>
    <w:rsid w:val="1E162590"/>
    <w:rsid w:val="1E2D52ED"/>
    <w:rsid w:val="1F9319C3"/>
    <w:rsid w:val="1FA85131"/>
    <w:rsid w:val="20335858"/>
    <w:rsid w:val="235D39DC"/>
    <w:rsid w:val="28C442BB"/>
    <w:rsid w:val="29710DC4"/>
    <w:rsid w:val="2AB360FC"/>
    <w:rsid w:val="2B4122D8"/>
    <w:rsid w:val="2BC008A2"/>
    <w:rsid w:val="2F304BAA"/>
    <w:rsid w:val="35ED5D5B"/>
    <w:rsid w:val="368C6126"/>
    <w:rsid w:val="36E445EE"/>
    <w:rsid w:val="385B42CE"/>
    <w:rsid w:val="3A1E51CF"/>
    <w:rsid w:val="3B1D7762"/>
    <w:rsid w:val="3CF9769F"/>
    <w:rsid w:val="3DCE0174"/>
    <w:rsid w:val="3F3A10AC"/>
    <w:rsid w:val="4228575C"/>
    <w:rsid w:val="45233CE1"/>
    <w:rsid w:val="45263AA3"/>
    <w:rsid w:val="474C0FDB"/>
    <w:rsid w:val="4AFA0A1D"/>
    <w:rsid w:val="4D2F0499"/>
    <w:rsid w:val="4F5503C5"/>
    <w:rsid w:val="51D61661"/>
    <w:rsid w:val="51FA586B"/>
    <w:rsid w:val="52013B2D"/>
    <w:rsid w:val="552D6912"/>
    <w:rsid w:val="55B45B7E"/>
    <w:rsid w:val="58263AA8"/>
    <w:rsid w:val="5ADA7EA8"/>
    <w:rsid w:val="5B3C2101"/>
    <w:rsid w:val="5C424CB3"/>
    <w:rsid w:val="5CB95D1C"/>
    <w:rsid w:val="611C1A1C"/>
    <w:rsid w:val="622563F7"/>
    <w:rsid w:val="63EF3CB6"/>
    <w:rsid w:val="64500953"/>
    <w:rsid w:val="64EC3F0C"/>
    <w:rsid w:val="66A9149B"/>
    <w:rsid w:val="67314588"/>
    <w:rsid w:val="6A6B68D1"/>
    <w:rsid w:val="6DF700B2"/>
    <w:rsid w:val="6EB70FD9"/>
    <w:rsid w:val="6F433592"/>
    <w:rsid w:val="6F71149B"/>
    <w:rsid w:val="74524F97"/>
    <w:rsid w:val="765A7217"/>
    <w:rsid w:val="780D7248"/>
    <w:rsid w:val="79610C69"/>
    <w:rsid w:val="7E087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qFormat="1" w:unhideWhenUsed="0" w:uiPriority="0" w:semiHidden="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numPr>
        <w:ilvl w:val="0"/>
        <w:numId w:val="1"/>
      </w:numPr>
      <w:spacing w:before="240" w:after="60"/>
      <w:outlineLvl w:val="0"/>
    </w:pPr>
    <w:rPr>
      <w:b/>
      <w:kern w:val="28"/>
      <w:sz w:val="28"/>
    </w:rPr>
  </w:style>
  <w:style w:type="paragraph" w:styleId="3">
    <w:name w:val="heading 2"/>
    <w:basedOn w:val="1"/>
    <w:next w:val="1"/>
    <w:qFormat/>
    <w:uiPriority w:val="0"/>
    <w:pPr>
      <w:keepNext/>
      <w:numPr>
        <w:ilvl w:val="1"/>
        <w:numId w:val="1"/>
      </w:numPr>
      <w:tabs>
        <w:tab w:val="left" w:pos="432"/>
      </w:tabs>
      <w:spacing w:before="240" w:after="60"/>
      <w:outlineLvl w:val="1"/>
    </w:pPr>
    <w:rPr>
      <w:b/>
      <w:sz w:val="24"/>
    </w:rPr>
  </w:style>
  <w:style w:type="paragraph" w:styleId="4">
    <w:name w:val="heading 3"/>
    <w:next w:val="1"/>
    <w:link w:val="144"/>
    <w:qFormat/>
    <w:uiPriority w:val="0"/>
    <w:pPr>
      <w:keepNext/>
      <w:keepLines/>
      <w:numPr>
        <w:ilvl w:val="2"/>
        <w:numId w:val="2"/>
      </w:numPr>
      <w:tabs>
        <w:tab w:val="left" w:pos="840"/>
      </w:tabs>
      <w:spacing w:beforeLines="100" w:afterLines="75" w:line="360" w:lineRule="auto"/>
      <w:contextualSpacing/>
      <w:outlineLvl w:val="2"/>
    </w:pPr>
    <w:rPr>
      <w:rFonts w:ascii="Times New Roman" w:hAnsi="Times New Roman" w:eastAsia="宋体" w:cs="Times New Roman"/>
      <w:b/>
      <w:bCs/>
      <w:kern w:val="2"/>
      <w:sz w:val="30"/>
      <w:szCs w:val="32"/>
      <w:lang w:val="en-US" w:eastAsia="zh-CN" w:bidi="ar-SA"/>
    </w:rPr>
  </w:style>
  <w:style w:type="paragraph" w:styleId="5">
    <w:name w:val="heading 4"/>
    <w:basedOn w:val="1"/>
    <w:next w:val="1"/>
    <w:qFormat/>
    <w:uiPriority w:val="0"/>
    <w:pPr>
      <w:keepNext/>
      <w:numPr>
        <w:ilvl w:val="3"/>
        <w:numId w:val="1"/>
      </w:numPr>
      <w:spacing w:before="240" w:after="60"/>
      <w:outlineLvl w:val="3"/>
    </w:pPr>
    <w:rPr>
      <w:b/>
    </w:rPr>
  </w:style>
  <w:style w:type="paragraph" w:styleId="6">
    <w:name w:val="heading 5"/>
    <w:basedOn w:val="1"/>
    <w:next w:val="1"/>
    <w:qFormat/>
    <w:uiPriority w:val="0"/>
    <w:pPr>
      <w:numPr>
        <w:ilvl w:val="4"/>
        <w:numId w:val="1"/>
      </w:numPr>
      <w:spacing w:before="240" w:after="60"/>
      <w:outlineLvl w:val="4"/>
    </w:pPr>
    <w:rPr>
      <w:b/>
      <w:i/>
    </w:rPr>
  </w:style>
  <w:style w:type="paragraph" w:styleId="7">
    <w:name w:val="heading 6"/>
    <w:basedOn w:val="1"/>
    <w:next w:val="1"/>
    <w:qFormat/>
    <w:uiPriority w:val="0"/>
    <w:pPr>
      <w:numPr>
        <w:ilvl w:val="5"/>
        <w:numId w:val="1"/>
      </w:numPr>
      <w:spacing w:before="240" w:after="60"/>
      <w:outlineLvl w:val="5"/>
    </w:pPr>
    <w:rPr>
      <w:i/>
    </w:rPr>
  </w:style>
  <w:style w:type="paragraph" w:styleId="8">
    <w:name w:val="heading 7"/>
    <w:basedOn w:val="1"/>
    <w:next w:val="1"/>
    <w:qFormat/>
    <w:uiPriority w:val="0"/>
    <w:pPr>
      <w:numPr>
        <w:ilvl w:val="6"/>
        <w:numId w:val="1"/>
      </w:numPr>
      <w:spacing w:before="240" w:after="60"/>
      <w:outlineLvl w:val="6"/>
    </w:pPr>
  </w:style>
  <w:style w:type="paragraph" w:styleId="9">
    <w:name w:val="heading 8"/>
    <w:basedOn w:val="1"/>
    <w:next w:val="1"/>
    <w:qFormat/>
    <w:uiPriority w:val="0"/>
    <w:pPr>
      <w:numPr>
        <w:ilvl w:val="7"/>
        <w:numId w:val="1"/>
      </w:numPr>
      <w:spacing w:before="240" w:after="60"/>
      <w:outlineLvl w:val="7"/>
    </w:pPr>
    <w:rPr>
      <w:sz w:val="18"/>
    </w:rPr>
  </w:style>
  <w:style w:type="paragraph" w:styleId="10">
    <w:name w:val="heading 9"/>
    <w:basedOn w:val="1"/>
    <w:next w:val="1"/>
    <w:qFormat/>
    <w:uiPriority w:val="0"/>
    <w:pPr>
      <w:numPr>
        <w:ilvl w:val="8"/>
        <w:numId w:val="1"/>
      </w:numPr>
      <w:spacing w:before="240" w:after="60"/>
      <w:outlineLvl w:val="8"/>
    </w:pPr>
    <w:rPr>
      <w:i/>
      <w:sz w:val="18"/>
    </w:rPr>
  </w:style>
  <w:style w:type="character" w:default="1" w:styleId="46">
    <w:name w:val="Default Paragraph Font"/>
    <w:semiHidden/>
    <w:unhideWhenUsed/>
    <w:uiPriority w:val="1"/>
  </w:style>
  <w:style w:type="table" w:default="1" w:styleId="43">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qFormat/>
    <w:uiPriority w:val="0"/>
    <w:pPr>
      <w:ind w:left="1440"/>
    </w:pPr>
    <w:rPr>
      <w:rFonts w:ascii="Times New Roman" w:hAnsi="Times New Roman"/>
      <w:sz w:val="18"/>
    </w:rPr>
  </w:style>
  <w:style w:type="paragraph" w:styleId="12">
    <w:name w:val="Normal Indent"/>
    <w:basedOn w:val="1"/>
    <w:qFormat/>
    <w:uiPriority w:val="0"/>
    <w:pPr>
      <w:spacing w:afterLines="50"/>
      <w:ind w:firstLine="420" w:firstLineChars="200"/>
    </w:pPr>
    <w:rPr>
      <w:rFonts w:ascii="Times New Roman" w:hAnsi="Times New Roman"/>
      <w:szCs w:val="24"/>
    </w:rPr>
  </w:style>
  <w:style w:type="paragraph" w:styleId="13">
    <w:name w:val="caption"/>
    <w:basedOn w:val="1"/>
    <w:next w:val="1"/>
    <w:qFormat/>
    <w:uiPriority w:val="0"/>
    <w:pPr>
      <w:spacing w:before="60" w:after="360"/>
      <w:jc w:val="center"/>
    </w:pPr>
    <w:rPr>
      <w:i/>
      <w:sz w:val="16"/>
    </w:rPr>
  </w:style>
  <w:style w:type="paragraph" w:styleId="14">
    <w:name w:val="List Bullet"/>
    <w:basedOn w:val="15"/>
    <w:qFormat/>
    <w:uiPriority w:val="0"/>
    <w:pPr>
      <w:tabs>
        <w:tab w:val="left" w:pos="420"/>
      </w:tabs>
      <w:spacing w:after="160"/>
      <w:ind w:left="420" w:hanging="420"/>
    </w:pPr>
    <w:rPr>
      <w:rFonts w:ascii="Times" w:hAnsi="Times"/>
    </w:rPr>
  </w:style>
  <w:style w:type="paragraph" w:styleId="15">
    <w:name w:val="Body Text"/>
    <w:basedOn w:val="1"/>
    <w:qFormat/>
    <w:uiPriority w:val="0"/>
    <w:pPr>
      <w:spacing w:after="120"/>
    </w:pPr>
  </w:style>
  <w:style w:type="paragraph" w:styleId="16">
    <w:name w:val="Document Map"/>
    <w:basedOn w:val="1"/>
    <w:semiHidden/>
    <w:qFormat/>
    <w:uiPriority w:val="0"/>
    <w:pPr>
      <w:shd w:val="clear" w:color="auto" w:fill="000080"/>
    </w:pPr>
  </w:style>
  <w:style w:type="paragraph" w:styleId="17">
    <w:name w:val="annotation text"/>
    <w:basedOn w:val="1"/>
    <w:semiHidden/>
    <w:qFormat/>
    <w:uiPriority w:val="0"/>
  </w:style>
  <w:style w:type="paragraph" w:styleId="18">
    <w:name w:val="Body Text 3"/>
    <w:basedOn w:val="1"/>
    <w:qFormat/>
    <w:uiPriority w:val="0"/>
    <w:pPr>
      <w:spacing w:beforeLines="50"/>
    </w:pPr>
    <w:rPr>
      <w:rFonts w:ascii="Futura Bk" w:hAnsi="Futura Bk"/>
      <w:b/>
      <w:bCs/>
      <w:i/>
      <w:iCs/>
      <w:sz w:val="24"/>
      <w:lang w:val="en-GB"/>
    </w:rPr>
  </w:style>
  <w:style w:type="paragraph" w:styleId="19">
    <w:name w:val="Closing"/>
    <w:basedOn w:val="1"/>
    <w:qFormat/>
    <w:uiPriority w:val="0"/>
    <w:pPr>
      <w:ind w:left="4320"/>
      <w:jc w:val="right"/>
    </w:pPr>
  </w:style>
  <w:style w:type="paragraph" w:styleId="20">
    <w:name w:val="Body Text Indent"/>
    <w:basedOn w:val="1"/>
    <w:link w:val="99"/>
    <w:qFormat/>
    <w:uiPriority w:val="0"/>
    <w:pPr>
      <w:ind w:firstLine="567"/>
    </w:pPr>
    <w:rPr>
      <w:rFonts w:ascii="Tahoma" w:hAnsi="Tahoma"/>
      <w:spacing w:val="4"/>
    </w:rPr>
  </w:style>
  <w:style w:type="paragraph" w:styleId="21">
    <w:name w:val="Block Text"/>
    <w:basedOn w:val="1"/>
    <w:qFormat/>
    <w:uiPriority w:val="0"/>
    <w:pPr>
      <w:spacing w:beforeLines="50" w:afterLines="50"/>
    </w:pPr>
    <w:rPr>
      <w:rFonts w:ascii="Futura Bk" w:hAnsi="Futura Bk"/>
      <w:sz w:val="24"/>
      <w:lang w:val="en-GB"/>
    </w:rPr>
  </w:style>
  <w:style w:type="paragraph" w:styleId="22">
    <w:name w:val="toc 5"/>
    <w:basedOn w:val="1"/>
    <w:next w:val="1"/>
    <w:semiHidden/>
    <w:qFormat/>
    <w:uiPriority w:val="0"/>
    <w:pPr>
      <w:ind w:left="960"/>
    </w:pPr>
    <w:rPr>
      <w:rFonts w:ascii="Times New Roman" w:hAnsi="Times New Roman"/>
      <w:sz w:val="18"/>
    </w:rPr>
  </w:style>
  <w:style w:type="paragraph" w:styleId="23">
    <w:name w:val="toc 3"/>
    <w:basedOn w:val="1"/>
    <w:next w:val="1"/>
    <w:qFormat/>
    <w:uiPriority w:val="39"/>
    <w:pPr>
      <w:tabs>
        <w:tab w:val="left" w:pos="1021"/>
        <w:tab w:val="right" w:leader="dot" w:pos="9806"/>
      </w:tabs>
      <w:spacing w:before="60" w:after="60"/>
      <w:ind w:left="1587" w:hanging="907"/>
    </w:pPr>
  </w:style>
  <w:style w:type="paragraph" w:styleId="24">
    <w:name w:val="Plain Text"/>
    <w:basedOn w:val="1"/>
    <w:qFormat/>
    <w:uiPriority w:val="0"/>
    <w:rPr>
      <w:rFonts w:ascii="Times New Roman" w:hAnsi="Times New Roman"/>
    </w:rPr>
  </w:style>
  <w:style w:type="paragraph" w:styleId="25">
    <w:name w:val="toc 8"/>
    <w:basedOn w:val="1"/>
    <w:next w:val="1"/>
    <w:semiHidden/>
    <w:qFormat/>
    <w:uiPriority w:val="0"/>
    <w:pPr>
      <w:ind w:left="1680"/>
    </w:pPr>
    <w:rPr>
      <w:rFonts w:ascii="Times New Roman" w:hAnsi="Times New Roman"/>
      <w:sz w:val="18"/>
    </w:rPr>
  </w:style>
  <w:style w:type="paragraph" w:styleId="26">
    <w:name w:val="Date"/>
    <w:basedOn w:val="1"/>
    <w:next w:val="1"/>
    <w:link w:val="140"/>
    <w:qFormat/>
    <w:uiPriority w:val="0"/>
    <w:pPr>
      <w:ind w:left="100" w:leftChars="2500"/>
    </w:pPr>
  </w:style>
  <w:style w:type="paragraph" w:styleId="27">
    <w:name w:val="Body Text Indent 2"/>
    <w:basedOn w:val="1"/>
    <w:qFormat/>
    <w:uiPriority w:val="0"/>
    <w:pPr>
      <w:spacing w:beforeLines="50" w:afterLines="50" w:line="240" w:lineRule="atLeast"/>
      <w:ind w:left="566" w:leftChars="236"/>
    </w:pPr>
    <w:rPr>
      <w:rFonts w:ascii="Futura Bk" w:hAnsi="Futura Bk"/>
      <w:sz w:val="24"/>
      <w:lang w:val="en-GB"/>
    </w:rPr>
  </w:style>
  <w:style w:type="paragraph" w:styleId="28">
    <w:name w:val="Balloon Text"/>
    <w:basedOn w:val="1"/>
    <w:semiHidden/>
    <w:qFormat/>
    <w:uiPriority w:val="0"/>
    <w:rPr>
      <w:rFonts w:ascii="Tahoma" w:hAnsi="Tahoma" w:cs="Tahoma"/>
      <w:sz w:val="16"/>
      <w:szCs w:val="16"/>
    </w:rPr>
  </w:style>
  <w:style w:type="paragraph" w:styleId="29">
    <w:name w:val="footer"/>
    <w:basedOn w:val="1"/>
    <w:link w:val="138"/>
    <w:qFormat/>
    <w:uiPriority w:val="0"/>
    <w:pPr>
      <w:tabs>
        <w:tab w:val="center" w:pos="4320"/>
        <w:tab w:val="right" w:pos="8640"/>
      </w:tabs>
    </w:pPr>
  </w:style>
  <w:style w:type="paragraph" w:styleId="30">
    <w:name w:val="header"/>
    <w:basedOn w:val="1"/>
    <w:link w:val="139"/>
    <w:qFormat/>
    <w:uiPriority w:val="99"/>
    <w:pPr>
      <w:tabs>
        <w:tab w:val="center" w:pos="4320"/>
        <w:tab w:val="right" w:pos="8640"/>
      </w:tabs>
    </w:pPr>
  </w:style>
  <w:style w:type="paragraph" w:styleId="31">
    <w:name w:val="toc 1"/>
    <w:basedOn w:val="1"/>
    <w:next w:val="1"/>
    <w:qFormat/>
    <w:uiPriority w:val="39"/>
    <w:pPr>
      <w:tabs>
        <w:tab w:val="left" w:pos="340"/>
        <w:tab w:val="right" w:leader="dot" w:pos="9806"/>
      </w:tabs>
      <w:spacing w:before="60" w:after="60"/>
    </w:pPr>
    <w:rPr>
      <w:b/>
    </w:rPr>
  </w:style>
  <w:style w:type="paragraph" w:styleId="32">
    <w:name w:val="toc 4"/>
    <w:basedOn w:val="1"/>
    <w:next w:val="1"/>
    <w:semiHidden/>
    <w:qFormat/>
    <w:uiPriority w:val="0"/>
    <w:pPr>
      <w:tabs>
        <w:tab w:val="left" w:pos="1021"/>
        <w:tab w:val="left" w:pos="1123"/>
        <w:tab w:val="left" w:pos="1225"/>
        <w:tab w:val="right" w:leader="dot" w:pos="9806"/>
      </w:tabs>
      <w:spacing w:before="60" w:after="60"/>
      <w:ind w:left="1020" w:hanging="680"/>
    </w:pPr>
    <w:rPr>
      <w:sz w:val="18"/>
    </w:rPr>
  </w:style>
  <w:style w:type="paragraph" w:styleId="33">
    <w:name w:val="Subtitle"/>
    <w:basedOn w:val="1"/>
    <w:qFormat/>
    <w:uiPriority w:val="0"/>
    <w:pPr>
      <w:spacing w:after="60"/>
      <w:jc w:val="center"/>
    </w:pPr>
    <w:rPr>
      <w:i/>
      <w:sz w:val="16"/>
    </w:rPr>
  </w:style>
  <w:style w:type="paragraph" w:styleId="34">
    <w:name w:val="List"/>
    <w:basedOn w:val="1"/>
    <w:qFormat/>
    <w:uiPriority w:val="0"/>
    <w:pPr>
      <w:spacing w:beforeLines="50" w:afterLines="50"/>
      <w:ind w:left="400" w:hanging="200" w:hangingChars="200"/>
    </w:pPr>
    <w:rPr>
      <w:rFonts w:ascii="Futura Bk" w:hAnsi="Futura Bk"/>
      <w:sz w:val="24"/>
      <w:lang w:val="en-GB" w:eastAsia="en-US"/>
    </w:rPr>
  </w:style>
  <w:style w:type="paragraph" w:styleId="35">
    <w:name w:val="toc 6"/>
    <w:basedOn w:val="1"/>
    <w:next w:val="1"/>
    <w:semiHidden/>
    <w:qFormat/>
    <w:uiPriority w:val="0"/>
    <w:pPr>
      <w:ind w:left="1200"/>
    </w:pPr>
    <w:rPr>
      <w:rFonts w:ascii="Times New Roman" w:hAnsi="Times New Roman"/>
      <w:sz w:val="18"/>
    </w:rPr>
  </w:style>
  <w:style w:type="paragraph" w:styleId="36">
    <w:name w:val="table of figures"/>
    <w:basedOn w:val="1"/>
    <w:next w:val="1"/>
    <w:semiHidden/>
    <w:qFormat/>
    <w:uiPriority w:val="0"/>
    <w:pPr>
      <w:ind w:left="200" w:leftChars="200" w:hanging="200" w:hangingChars="200"/>
    </w:pPr>
  </w:style>
  <w:style w:type="paragraph" w:styleId="37">
    <w:name w:val="toc 2"/>
    <w:basedOn w:val="1"/>
    <w:next w:val="1"/>
    <w:qFormat/>
    <w:uiPriority w:val="39"/>
    <w:pPr>
      <w:tabs>
        <w:tab w:val="left" w:pos="1021"/>
        <w:tab w:val="right" w:leader="dot" w:pos="9806"/>
      </w:tabs>
      <w:spacing w:before="60" w:after="60"/>
      <w:ind w:left="1020" w:hanging="680"/>
    </w:pPr>
  </w:style>
  <w:style w:type="paragraph" w:styleId="38">
    <w:name w:val="toc 9"/>
    <w:basedOn w:val="1"/>
    <w:next w:val="1"/>
    <w:semiHidden/>
    <w:qFormat/>
    <w:uiPriority w:val="0"/>
    <w:pPr>
      <w:ind w:left="1920"/>
    </w:pPr>
    <w:rPr>
      <w:rFonts w:ascii="Times New Roman" w:hAnsi="Times New Roman"/>
      <w:sz w:val="18"/>
    </w:rPr>
  </w:style>
  <w:style w:type="paragraph" w:styleId="39">
    <w:name w:val="Body Text 2"/>
    <w:basedOn w:val="1"/>
    <w:qFormat/>
    <w:uiPriority w:val="0"/>
    <w:pPr>
      <w:tabs>
        <w:tab w:val="left" w:pos="0"/>
      </w:tabs>
      <w:spacing w:after="120" w:line="240" w:lineRule="atLeast"/>
      <w:ind w:right="29"/>
    </w:pPr>
    <w:rPr>
      <w:color w:val="000000"/>
      <w:sz w:val="22"/>
    </w:rPr>
  </w:style>
  <w:style w:type="paragraph" w:styleId="40">
    <w:name w:val="Title"/>
    <w:basedOn w:val="1"/>
    <w:next w:val="1"/>
    <w:qFormat/>
    <w:uiPriority w:val="0"/>
    <w:pPr>
      <w:keepNext/>
      <w:spacing w:before="240" w:after="60"/>
    </w:pPr>
    <w:rPr>
      <w:b/>
      <w:kern w:val="28"/>
      <w:sz w:val="24"/>
    </w:rPr>
  </w:style>
  <w:style w:type="paragraph" w:styleId="41">
    <w:name w:val="annotation subject"/>
    <w:basedOn w:val="17"/>
    <w:next w:val="17"/>
    <w:semiHidden/>
    <w:qFormat/>
    <w:uiPriority w:val="0"/>
    <w:rPr>
      <w:b/>
      <w:bCs/>
    </w:rPr>
  </w:style>
  <w:style w:type="paragraph" w:styleId="42">
    <w:name w:val="Body Text First Indent 2"/>
    <w:basedOn w:val="20"/>
    <w:link w:val="134"/>
    <w:qFormat/>
    <w:uiPriority w:val="0"/>
    <w:pPr>
      <w:widowControl/>
      <w:spacing w:after="120"/>
      <w:ind w:left="420" w:leftChars="200" w:firstLine="420" w:firstLineChars="200"/>
      <w:jc w:val="left"/>
    </w:pPr>
    <w:rPr>
      <w:rFonts w:ascii="Arial" w:hAnsi="Arial"/>
      <w:spacing w:val="0"/>
      <w:kern w:val="0"/>
      <w:sz w:val="20"/>
      <w:szCs w:val="20"/>
    </w:rPr>
  </w:style>
  <w:style w:type="table" w:styleId="44">
    <w:name w:val="Table Grid"/>
    <w:basedOn w:val="4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Theme"/>
    <w:basedOn w:val="4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7">
    <w:name w:val="Strong"/>
    <w:qFormat/>
    <w:uiPriority w:val="22"/>
    <w:rPr>
      <w:b/>
      <w:bCs/>
    </w:rPr>
  </w:style>
  <w:style w:type="character" w:styleId="48">
    <w:name w:val="page number"/>
    <w:qFormat/>
    <w:uiPriority w:val="0"/>
    <w:rPr>
      <w:rFonts w:ascii="Arial" w:hAnsi="Arial"/>
      <w:sz w:val="18"/>
    </w:rPr>
  </w:style>
  <w:style w:type="character" w:styleId="49">
    <w:name w:val="FollowedHyperlink"/>
    <w:qFormat/>
    <w:uiPriority w:val="99"/>
    <w:rPr>
      <w:color w:val="606420"/>
      <w:u w:val="single"/>
    </w:rPr>
  </w:style>
  <w:style w:type="character" w:styleId="50">
    <w:name w:val="Emphasis"/>
    <w:qFormat/>
    <w:uiPriority w:val="20"/>
    <w:rPr>
      <w:i/>
      <w:iCs/>
    </w:rPr>
  </w:style>
  <w:style w:type="character" w:styleId="51">
    <w:name w:val="Hyperlink"/>
    <w:qFormat/>
    <w:uiPriority w:val="99"/>
    <w:rPr>
      <w:color w:val="0000FF"/>
      <w:u w:val="single"/>
    </w:rPr>
  </w:style>
  <w:style w:type="character" w:styleId="52">
    <w:name w:val="annotation reference"/>
    <w:semiHidden/>
    <w:qFormat/>
    <w:uiPriority w:val="0"/>
    <w:rPr>
      <w:rFonts w:ascii="Arial" w:hAnsi="Arial"/>
      <w:sz w:val="16"/>
    </w:rPr>
  </w:style>
  <w:style w:type="paragraph" w:customStyle="1" w:styleId="53">
    <w:name w:val="Table"/>
    <w:basedOn w:val="1"/>
    <w:qFormat/>
    <w:uiPriority w:val="0"/>
    <w:pPr>
      <w:spacing w:before="40" w:after="40"/>
    </w:pPr>
  </w:style>
  <w:style w:type="paragraph" w:customStyle="1" w:styleId="54">
    <w:name w:val="Header 1"/>
    <w:basedOn w:val="1"/>
    <w:next w:val="1"/>
    <w:qFormat/>
    <w:uiPriority w:val="0"/>
    <w:pPr>
      <w:keepLines/>
      <w:spacing w:before="80" w:after="80"/>
      <w:jc w:val="center"/>
    </w:pPr>
  </w:style>
  <w:style w:type="paragraph" w:customStyle="1" w:styleId="55">
    <w:name w:val="Header 2"/>
    <w:basedOn w:val="54"/>
    <w:next w:val="1"/>
    <w:qFormat/>
    <w:uiPriority w:val="0"/>
    <w:pPr>
      <w:jc w:val="right"/>
    </w:pPr>
  </w:style>
  <w:style w:type="paragraph" w:customStyle="1" w:styleId="56">
    <w:name w:val="Header 3"/>
    <w:basedOn w:val="54"/>
    <w:next w:val="1"/>
    <w:qFormat/>
    <w:uiPriority w:val="0"/>
    <w:pPr>
      <w:jc w:val="left"/>
    </w:pPr>
  </w:style>
  <w:style w:type="character" w:customStyle="1" w:styleId="57">
    <w:name w:val="Character UserEntry"/>
    <w:qFormat/>
    <w:uiPriority w:val="0"/>
    <w:rPr>
      <w:color w:val="FF0000"/>
    </w:rPr>
  </w:style>
  <w:style w:type="paragraph" w:customStyle="1" w:styleId="58">
    <w:name w:val="HP_Table_Title"/>
    <w:basedOn w:val="1"/>
    <w:next w:val="1"/>
    <w:qFormat/>
    <w:uiPriority w:val="0"/>
    <w:pPr>
      <w:keepNext/>
      <w:keepLines/>
      <w:spacing w:before="240" w:after="60"/>
    </w:pPr>
    <w:rPr>
      <w:b/>
      <w:sz w:val="18"/>
    </w:rPr>
  </w:style>
  <w:style w:type="paragraph" w:customStyle="1" w:styleId="59">
    <w:name w:val="HP_Internal"/>
    <w:basedOn w:val="1"/>
    <w:next w:val="1"/>
    <w:qFormat/>
    <w:uiPriority w:val="0"/>
    <w:rPr>
      <w:i/>
      <w:sz w:val="18"/>
    </w:rPr>
  </w:style>
  <w:style w:type="paragraph" w:customStyle="1" w:styleId="60">
    <w:name w:val="Table_Small"/>
    <w:basedOn w:val="53"/>
    <w:qFormat/>
    <w:uiPriority w:val="0"/>
    <w:rPr>
      <w:sz w:val="16"/>
    </w:rPr>
  </w:style>
  <w:style w:type="paragraph" w:customStyle="1" w:styleId="61">
    <w:name w:val="Table_Sm_Heading"/>
    <w:basedOn w:val="62"/>
    <w:qFormat/>
    <w:uiPriority w:val="0"/>
    <w:pPr>
      <w:spacing w:before="60"/>
    </w:pPr>
    <w:rPr>
      <w:sz w:val="16"/>
    </w:rPr>
  </w:style>
  <w:style w:type="paragraph" w:customStyle="1" w:styleId="62">
    <w:name w:val="Table_Heading"/>
    <w:basedOn w:val="1"/>
    <w:next w:val="53"/>
    <w:qFormat/>
    <w:uiPriority w:val="0"/>
    <w:pPr>
      <w:keepNext/>
      <w:keepLines/>
      <w:spacing w:before="40" w:after="40"/>
    </w:pPr>
    <w:rPr>
      <w:b/>
    </w:rPr>
  </w:style>
  <w:style w:type="paragraph" w:customStyle="1" w:styleId="63">
    <w:name w:val="Table_Sm_Heading_Right"/>
    <w:basedOn w:val="61"/>
    <w:qFormat/>
    <w:uiPriority w:val="0"/>
    <w:pPr>
      <w:jc w:val="right"/>
    </w:pPr>
  </w:style>
  <w:style w:type="paragraph" w:customStyle="1" w:styleId="64">
    <w:name w:val="Table_Medium"/>
    <w:basedOn w:val="53"/>
    <w:qFormat/>
    <w:uiPriority w:val="0"/>
    <w:rPr>
      <w:sz w:val="18"/>
    </w:rPr>
  </w:style>
  <w:style w:type="paragraph" w:customStyle="1" w:styleId="65">
    <w:name w:val="TOC_Heading"/>
    <w:basedOn w:val="1"/>
    <w:next w:val="1"/>
    <w:qFormat/>
    <w:uiPriority w:val="0"/>
    <w:pPr>
      <w:keepNext/>
      <w:spacing w:before="80" w:after="120"/>
    </w:pPr>
    <w:rPr>
      <w:b/>
      <w:sz w:val="24"/>
    </w:rPr>
  </w:style>
  <w:style w:type="paragraph" w:customStyle="1" w:styleId="66">
    <w:name w:val="Bullet with text 1"/>
    <w:basedOn w:val="1"/>
    <w:qFormat/>
    <w:uiPriority w:val="0"/>
    <w:pPr>
      <w:numPr>
        <w:ilvl w:val="0"/>
        <w:numId w:val="3"/>
      </w:numPr>
    </w:pPr>
  </w:style>
  <w:style w:type="paragraph" w:customStyle="1" w:styleId="67">
    <w:name w:val="Bullet with text 2"/>
    <w:basedOn w:val="1"/>
    <w:qFormat/>
    <w:uiPriority w:val="0"/>
    <w:pPr>
      <w:numPr>
        <w:ilvl w:val="0"/>
        <w:numId w:val="4"/>
      </w:numPr>
    </w:pPr>
  </w:style>
  <w:style w:type="paragraph" w:customStyle="1" w:styleId="68">
    <w:name w:val="Bullet with text 3"/>
    <w:basedOn w:val="1"/>
    <w:qFormat/>
    <w:uiPriority w:val="0"/>
    <w:pPr>
      <w:numPr>
        <w:ilvl w:val="0"/>
        <w:numId w:val="5"/>
      </w:numPr>
    </w:pPr>
  </w:style>
  <w:style w:type="paragraph" w:customStyle="1" w:styleId="69">
    <w:name w:val="Bullet with text 4"/>
    <w:basedOn w:val="1"/>
    <w:qFormat/>
    <w:uiPriority w:val="0"/>
    <w:pPr>
      <w:numPr>
        <w:ilvl w:val="1"/>
        <w:numId w:val="6"/>
      </w:numPr>
    </w:pPr>
  </w:style>
  <w:style w:type="paragraph" w:customStyle="1" w:styleId="70">
    <w:name w:val="Bullet with text 5"/>
    <w:basedOn w:val="1"/>
    <w:qFormat/>
    <w:uiPriority w:val="0"/>
    <w:pPr>
      <w:numPr>
        <w:ilvl w:val="0"/>
        <w:numId w:val="7"/>
      </w:numPr>
    </w:pPr>
  </w:style>
  <w:style w:type="paragraph" w:customStyle="1" w:styleId="71">
    <w:name w:val="Normal_UserEntry"/>
    <w:basedOn w:val="1"/>
    <w:qFormat/>
    <w:uiPriority w:val="0"/>
    <w:rPr>
      <w:color w:val="FF0000"/>
    </w:rPr>
  </w:style>
  <w:style w:type="paragraph" w:customStyle="1" w:styleId="72">
    <w:name w:val="Numbered list 1"/>
    <w:basedOn w:val="1"/>
    <w:next w:val="1"/>
    <w:qFormat/>
    <w:uiPriority w:val="0"/>
    <w:pPr>
      <w:numPr>
        <w:ilvl w:val="0"/>
        <w:numId w:val="8"/>
      </w:numPr>
    </w:pPr>
  </w:style>
  <w:style w:type="paragraph" w:customStyle="1" w:styleId="73">
    <w:name w:val="Numbered list 2.1"/>
    <w:basedOn w:val="2"/>
    <w:next w:val="1"/>
    <w:qFormat/>
    <w:uiPriority w:val="0"/>
    <w:pPr>
      <w:numPr>
        <w:numId w:val="9"/>
      </w:numPr>
      <w:tabs>
        <w:tab w:val="left" w:pos="360"/>
        <w:tab w:val="left" w:pos="720"/>
      </w:tabs>
    </w:pPr>
  </w:style>
  <w:style w:type="paragraph" w:customStyle="1" w:styleId="74">
    <w:name w:val="Numbered list 2.2"/>
    <w:basedOn w:val="3"/>
    <w:next w:val="1"/>
    <w:qFormat/>
    <w:uiPriority w:val="0"/>
    <w:pPr>
      <w:numPr>
        <w:ilvl w:val="0"/>
        <w:numId w:val="0"/>
      </w:numPr>
      <w:ind w:left="720" w:hanging="720"/>
    </w:pPr>
  </w:style>
  <w:style w:type="paragraph" w:customStyle="1" w:styleId="75">
    <w:name w:val="Numbered list 2.3"/>
    <w:basedOn w:val="4"/>
    <w:next w:val="1"/>
    <w:qFormat/>
    <w:uiPriority w:val="0"/>
    <w:pPr>
      <w:numPr>
        <w:ilvl w:val="0"/>
        <w:numId w:val="0"/>
      </w:numPr>
      <w:tabs>
        <w:tab w:val="left" w:pos="1440"/>
      </w:tabs>
      <w:ind w:left="1080" w:hanging="1080"/>
    </w:pPr>
  </w:style>
  <w:style w:type="paragraph" w:customStyle="1" w:styleId="76">
    <w:name w:val="Numbered list 2.4"/>
    <w:basedOn w:val="5"/>
    <w:next w:val="1"/>
    <w:qFormat/>
    <w:uiPriority w:val="0"/>
    <w:pPr>
      <w:numPr>
        <w:ilvl w:val="0"/>
        <w:numId w:val="0"/>
      </w:numPr>
      <w:tabs>
        <w:tab w:val="left" w:pos="1440"/>
      </w:tabs>
      <w:ind w:left="1080" w:hanging="1080"/>
    </w:pPr>
  </w:style>
  <w:style w:type="paragraph" w:customStyle="1" w:styleId="77">
    <w:name w:val="Numbered list 3.1"/>
    <w:basedOn w:val="2"/>
    <w:next w:val="1"/>
    <w:qFormat/>
    <w:uiPriority w:val="0"/>
    <w:pPr>
      <w:numPr>
        <w:numId w:val="10"/>
      </w:numPr>
      <w:tabs>
        <w:tab w:val="left" w:pos="360"/>
      </w:tabs>
    </w:pPr>
  </w:style>
  <w:style w:type="paragraph" w:customStyle="1" w:styleId="78">
    <w:name w:val="Numbered list 3.2"/>
    <w:basedOn w:val="3"/>
    <w:next w:val="1"/>
    <w:qFormat/>
    <w:uiPriority w:val="0"/>
    <w:pPr>
      <w:numPr>
        <w:numId w:val="10"/>
      </w:numPr>
      <w:tabs>
        <w:tab w:val="left" w:pos="360"/>
      </w:tabs>
    </w:pPr>
  </w:style>
  <w:style w:type="paragraph" w:customStyle="1" w:styleId="79">
    <w:name w:val="Numbered list 3.3"/>
    <w:basedOn w:val="4"/>
    <w:next w:val="1"/>
    <w:qFormat/>
    <w:uiPriority w:val="0"/>
    <w:pPr>
      <w:numPr>
        <w:numId w:val="10"/>
      </w:numPr>
      <w:tabs>
        <w:tab w:val="left" w:pos="360"/>
      </w:tabs>
    </w:pPr>
  </w:style>
  <w:style w:type="paragraph" w:customStyle="1" w:styleId="80">
    <w:name w:val="Table_Center"/>
    <w:basedOn w:val="53"/>
    <w:qFormat/>
    <w:uiPriority w:val="0"/>
    <w:pPr>
      <w:jc w:val="center"/>
    </w:pPr>
  </w:style>
  <w:style w:type="paragraph" w:customStyle="1" w:styleId="81">
    <w:name w:val="Table_Heading_Center"/>
    <w:basedOn w:val="62"/>
    <w:qFormat/>
    <w:uiPriority w:val="0"/>
    <w:pPr>
      <w:jc w:val="center"/>
    </w:pPr>
  </w:style>
  <w:style w:type="paragraph" w:customStyle="1" w:styleId="82">
    <w:name w:val="Table_Right"/>
    <w:basedOn w:val="53"/>
    <w:qFormat/>
    <w:uiPriority w:val="0"/>
    <w:pPr>
      <w:jc w:val="right"/>
    </w:pPr>
  </w:style>
  <w:style w:type="paragraph" w:customStyle="1" w:styleId="83">
    <w:name w:val="Table_Sm_Heading_Center"/>
    <w:basedOn w:val="61"/>
    <w:qFormat/>
    <w:uiPriority w:val="0"/>
    <w:pPr>
      <w:jc w:val="center"/>
    </w:pPr>
  </w:style>
  <w:style w:type="paragraph" w:customStyle="1" w:styleId="84">
    <w:name w:val="Table_Small_Center"/>
    <w:basedOn w:val="60"/>
    <w:qFormat/>
    <w:uiPriority w:val="0"/>
    <w:pPr>
      <w:jc w:val="center"/>
    </w:pPr>
  </w:style>
  <w:style w:type="paragraph" w:customStyle="1" w:styleId="85">
    <w:name w:val="Table_Small_Right"/>
    <w:basedOn w:val="60"/>
    <w:qFormat/>
    <w:uiPriority w:val="0"/>
    <w:pPr>
      <w:jc w:val="right"/>
    </w:pPr>
  </w:style>
  <w:style w:type="paragraph" w:customStyle="1" w:styleId="86">
    <w:name w:val="Table_Title"/>
    <w:basedOn w:val="1"/>
    <w:next w:val="1"/>
    <w:qFormat/>
    <w:uiPriority w:val="0"/>
    <w:pPr>
      <w:keepNext/>
      <w:keepLines/>
      <w:spacing w:before="240" w:after="60"/>
    </w:pPr>
    <w:rPr>
      <w:b/>
    </w:rPr>
  </w:style>
  <w:style w:type="paragraph" w:customStyle="1" w:styleId="87">
    <w:name w:val="Title_Center"/>
    <w:basedOn w:val="40"/>
    <w:qFormat/>
    <w:uiPriority w:val="0"/>
    <w:pPr>
      <w:jc w:val="center"/>
    </w:pPr>
  </w:style>
  <w:style w:type="paragraph" w:customStyle="1" w:styleId="88">
    <w:name w:val="TitlePage_Header"/>
    <w:basedOn w:val="1"/>
    <w:qFormat/>
    <w:uiPriority w:val="0"/>
    <w:pPr>
      <w:spacing w:before="240" w:after="240"/>
      <w:ind w:left="3240"/>
    </w:pPr>
    <w:rPr>
      <w:b/>
      <w:sz w:val="32"/>
    </w:rPr>
  </w:style>
  <w:style w:type="paragraph" w:customStyle="1" w:styleId="89">
    <w:name w:val="TitlePage_TopBorder"/>
    <w:basedOn w:val="88"/>
    <w:next w:val="88"/>
    <w:qFormat/>
    <w:uiPriority w:val="0"/>
    <w:pPr>
      <w:pBdr>
        <w:top w:val="single" w:color="auto" w:sz="18" w:space="1"/>
      </w:pBdr>
    </w:pPr>
  </w:style>
  <w:style w:type="paragraph" w:customStyle="1" w:styleId="90">
    <w:name w:val="RM_Indt as Bull w txt 2"/>
    <w:basedOn w:val="67"/>
    <w:next w:val="67"/>
    <w:qFormat/>
    <w:uiPriority w:val="0"/>
    <w:pPr>
      <w:numPr>
        <w:numId w:val="0"/>
      </w:numPr>
      <w:ind w:left="720"/>
    </w:pPr>
  </w:style>
  <w:style w:type="paragraph" w:customStyle="1" w:styleId="91">
    <w:name w:val="Table_Heading_Right"/>
    <w:basedOn w:val="62"/>
    <w:next w:val="53"/>
    <w:qFormat/>
    <w:uiPriority w:val="0"/>
    <w:pPr>
      <w:jc w:val="right"/>
    </w:pPr>
  </w:style>
  <w:style w:type="paragraph" w:customStyle="1" w:styleId="92">
    <w:name w:val="RM_Heading 1"/>
    <w:basedOn w:val="2"/>
    <w:next w:val="1"/>
    <w:qFormat/>
    <w:uiPriority w:val="0"/>
    <w:pPr>
      <w:pageBreakBefore/>
    </w:pPr>
    <w:rPr>
      <w:sz w:val="32"/>
    </w:rPr>
  </w:style>
  <w:style w:type="paragraph" w:customStyle="1" w:styleId="93">
    <w:name w:val="RM_Heading 2"/>
    <w:basedOn w:val="3"/>
    <w:next w:val="1"/>
    <w:qFormat/>
    <w:uiPriority w:val="0"/>
    <w:pPr>
      <w:pageBreakBefore/>
    </w:pPr>
    <w:rPr>
      <w:sz w:val="30"/>
    </w:rPr>
  </w:style>
  <w:style w:type="paragraph" w:customStyle="1" w:styleId="94">
    <w:name w:val="RM_Heading 3"/>
    <w:basedOn w:val="4"/>
    <w:next w:val="1"/>
    <w:qFormat/>
    <w:uiPriority w:val="0"/>
    <w:pPr>
      <w:pageBreakBefore/>
    </w:pPr>
    <w:rPr>
      <w:sz w:val="28"/>
    </w:rPr>
  </w:style>
  <w:style w:type="paragraph" w:customStyle="1" w:styleId="95">
    <w:name w:val="RM_Table_Bullet"/>
    <w:basedOn w:val="69"/>
    <w:next w:val="1"/>
    <w:qFormat/>
    <w:uiPriority w:val="0"/>
    <w:pPr>
      <w:tabs>
        <w:tab w:val="left" w:pos="567"/>
      </w:tabs>
      <w:ind w:left="568" w:hanging="284"/>
    </w:pPr>
  </w:style>
  <w:style w:type="paragraph" w:customStyle="1" w:styleId="96">
    <w:name w:val="code"/>
    <w:basedOn w:val="15"/>
    <w:next w:val="15"/>
    <w:qFormat/>
    <w:uiPriority w:val="0"/>
    <w:pPr>
      <w:spacing w:after="0"/>
    </w:pPr>
    <w:rPr>
      <w:rFonts w:ascii="Courier New" w:hAnsi="Courier New"/>
    </w:rPr>
  </w:style>
  <w:style w:type="paragraph" w:customStyle="1" w:styleId="97">
    <w:name w:val="Paragraph"/>
    <w:basedOn w:val="1"/>
    <w:qFormat/>
    <w:uiPriority w:val="0"/>
    <w:pPr>
      <w:adjustRightInd w:val="0"/>
      <w:spacing w:before="60" w:after="60" w:line="288" w:lineRule="auto"/>
      <w:ind w:firstLine="510"/>
      <w:textAlignment w:val="baseline"/>
    </w:pPr>
    <w:rPr>
      <w:rFonts w:ascii="Times New Roman" w:hAnsi="Times New Roman"/>
      <w:spacing w:val="10"/>
    </w:rPr>
  </w:style>
  <w:style w:type="paragraph" w:customStyle="1" w:styleId="98">
    <w:name w:val="Illustration"/>
    <w:basedOn w:val="15"/>
    <w:next w:val="13"/>
    <w:qFormat/>
    <w:uiPriority w:val="0"/>
    <w:pPr>
      <w:keepNext/>
      <w:spacing w:after="0" w:line="240" w:lineRule="atLeast"/>
      <w:jc w:val="center"/>
    </w:pPr>
    <w:rPr>
      <w:rFonts w:ascii="Times New Roman" w:hAnsi="Times New Roman"/>
    </w:rPr>
  </w:style>
  <w:style w:type="character" w:customStyle="1" w:styleId="99">
    <w:name w:val="正文文本缩进 字符"/>
    <w:link w:val="20"/>
    <w:qFormat/>
    <w:uiPriority w:val="0"/>
    <w:rPr>
      <w:rFonts w:ascii="Tahoma" w:hAnsi="Tahoma" w:cs="Tahoma"/>
      <w:spacing w:val="4"/>
      <w:kern w:val="2"/>
      <w:sz w:val="21"/>
      <w:szCs w:val="21"/>
    </w:rPr>
  </w:style>
  <w:style w:type="paragraph" w:customStyle="1" w:styleId="100">
    <w:name w:val="Bullet List L1"/>
    <w:basedOn w:val="1"/>
    <w:qFormat/>
    <w:uiPriority w:val="0"/>
    <w:pPr>
      <w:numPr>
        <w:ilvl w:val="0"/>
        <w:numId w:val="11"/>
      </w:numPr>
      <w:spacing w:before="60"/>
    </w:pPr>
    <w:rPr>
      <w:sz w:val="22"/>
    </w:rPr>
  </w:style>
  <w:style w:type="paragraph" w:customStyle="1" w:styleId="101">
    <w:name w:val="Compacted"/>
    <w:basedOn w:val="1"/>
    <w:qFormat/>
    <w:uiPriority w:val="0"/>
    <w:rPr>
      <w:rFonts w:ascii="Times New Roman" w:hAnsi="Times New Roman"/>
      <w:sz w:val="24"/>
    </w:rPr>
  </w:style>
  <w:style w:type="paragraph" w:customStyle="1" w:styleId="102">
    <w:name w:val="Bullets Layer 1"/>
    <w:basedOn w:val="1"/>
    <w:qFormat/>
    <w:uiPriority w:val="0"/>
    <w:pPr>
      <w:tabs>
        <w:tab w:val="left" w:pos="432"/>
      </w:tabs>
      <w:spacing w:before="60" w:after="60"/>
      <w:ind w:left="432" w:hanging="432"/>
    </w:pPr>
    <w:rPr>
      <w:rFonts w:ascii="Futura Bk" w:hAnsi="Futura Bk"/>
      <w:lang w:eastAsia="en-US"/>
    </w:rPr>
  </w:style>
  <w:style w:type="paragraph" w:customStyle="1" w:styleId="103">
    <w:name w:val="Policy Boxes"/>
    <w:basedOn w:val="1"/>
    <w:qFormat/>
    <w:uiPriority w:val="0"/>
    <w:pPr>
      <w:pBdr>
        <w:top w:val="single" w:color="auto" w:sz="6" w:space="1"/>
        <w:left w:val="single" w:color="auto" w:sz="6" w:space="4"/>
        <w:bottom w:val="single" w:color="auto" w:sz="6" w:space="1"/>
        <w:right w:val="single" w:color="auto" w:sz="6" w:space="4"/>
      </w:pBdr>
      <w:spacing w:before="60" w:after="120"/>
      <w:ind w:left="576"/>
    </w:pPr>
    <w:rPr>
      <w:b/>
      <w:sz w:val="24"/>
      <w:lang w:eastAsia="en-US"/>
    </w:rPr>
  </w:style>
  <w:style w:type="paragraph" w:customStyle="1" w:styleId="104">
    <w:name w:val="Policy Headers"/>
    <w:basedOn w:val="1"/>
    <w:qFormat/>
    <w:uiPriority w:val="0"/>
    <w:pPr>
      <w:spacing w:before="60" w:after="60"/>
      <w:ind w:left="576"/>
    </w:pPr>
    <w:rPr>
      <w:rFonts w:ascii="Futura Bk" w:hAnsi="Futura Bk"/>
      <w:b/>
      <w:u w:val="single"/>
      <w:lang w:eastAsia="en-US"/>
    </w:rPr>
  </w:style>
  <w:style w:type="paragraph" w:customStyle="1" w:styleId="105">
    <w:name w:val="Normal bold"/>
    <w:basedOn w:val="1"/>
    <w:qFormat/>
    <w:uiPriority w:val="0"/>
    <w:rPr>
      <w:rFonts w:eastAsia="Times New Roman" w:cs="Arial"/>
      <w:b/>
      <w:bCs/>
      <w:szCs w:val="24"/>
      <w:lang w:eastAsia="en-US"/>
    </w:rPr>
  </w:style>
  <w:style w:type="paragraph" w:customStyle="1" w:styleId="106">
    <w:name w:val="para"/>
    <w:basedOn w:val="1"/>
    <w:qFormat/>
    <w:uiPriority w:val="0"/>
    <w:pPr>
      <w:spacing w:before="100" w:beforeAutospacing="1" w:after="100" w:afterAutospacing="1"/>
    </w:pPr>
    <w:rPr>
      <w:rFonts w:cs="Arial"/>
      <w:color w:val="000000"/>
      <w:sz w:val="22"/>
    </w:rPr>
  </w:style>
  <w:style w:type="paragraph" w:customStyle="1" w:styleId="107">
    <w:name w:val="Style Left:  1.27 cm Before:  0.5 line After:  0.5 line Line spa..."/>
    <w:basedOn w:val="1"/>
    <w:qFormat/>
    <w:uiPriority w:val="0"/>
    <w:pPr>
      <w:spacing w:beforeLines="50" w:afterLines="50"/>
      <w:ind w:left="720"/>
    </w:pPr>
    <w:rPr>
      <w:rFonts w:ascii="Futura Bk" w:hAnsi="Futura Bk"/>
      <w:sz w:val="24"/>
      <w:lang w:val="en-GB" w:eastAsia="en-US"/>
    </w:rPr>
  </w:style>
  <w:style w:type="character" w:customStyle="1" w:styleId="108">
    <w:name w:val="p11"/>
    <w:basedOn w:val="46"/>
    <w:qFormat/>
    <w:uiPriority w:val="0"/>
  </w:style>
  <w:style w:type="paragraph" w:customStyle="1" w:styleId="109">
    <w:name w:val="Title Page"/>
    <w:basedOn w:val="1"/>
    <w:qFormat/>
    <w:uiPriority w:val="0"/>
    <w:pPr>
      <w:numPr>
        <w:ilvl w:val="0"/>
        <w:numId w:val="12"/>
      </w:numPr>
      <w:pBdr>
        <w:top w:val="single" w:color="auto" w:sz="4" w:space="1"/>
        <w:bottom w:val="single" w:color="auto" w:sz="4" w:space="1"/>
      </w:pBdr>
      <w:ind w:left="720" w:firstLine="0"/>
    </w:pPr>
    <w:rPr>
      <w:rFonts w:ascii="Futura Bk" w:hAnsi="Futura Bk" w:eastAsia="Times New Roman"/>
      <w:b/>
      <w:sz w:val="56"/>
      <w:lang w:val="en-CA" w:eastAsia="en-US"/>
    </w:rPr>
  </w:style>
  <w:style w:type="paragraph" w:customStyle="1" w:styleId="110">
    <w:name w:val="正文样式"/>
    <w:basedOn w:val="1"/>
    <w:qFormat/>
    <w:uiPriority w:val="0"/>
    <w:pPr>
      <w:spacing w:after="120" w:line="264" w:lineRule="auto"/>
      <w:ind w:firstLine="482"/>
    </w:pPr>
    <w:rPr>
      <w:sz w:val="24"/>
      <w:szCs w:val="24"/>
      <w:lang w:eastAsia="zh-HK"/>
    </w:rPr>
  </w:style>
  <w:style w:type="paragraph" w:customStyle="1" w:styleId="111">
    <w:name w:val="Text"/>
    <w:basedOn w:val="1"/>
    <w:qFormat/>
    <w:uiPriority w:val="0"/>
    <w:pPr>
      <w:spacing w:after="240" w:line="280" w:lineRule="atLeast"/>
    </w:pPr>
    <w:rPr>
      <w:sz w:val="22"/>
      <w:lang w:eastAsia="en-US"/>
    </w:rPr>
  </w:style>
  <w:style w:type="paragraph" w:customStyle="1" w:styleId="112">
    <w:name w:val="Bullet Space"/>
    <w:basedOn w:val="5"/>
    <w:qFormat/>
    <w:uiPriority w:val="0"/>
    <w:pPr>
      <w:keepNext w:val="0"/>
      <w:numPr>
        <w:ilvl w:val="0"/>
        <w:numId w:val="0"/>
      </w:numPr>
      <w:spacing w:before="0" w:after="200" w:line="240" w:lineRule="exact"/>
      <w:ind w:left="360" w:hanging="360"/>
      <w:outlineLvl w:val="9"/>
    </w:pPr>
    <w:rPr>
      <w:rFonts w:ascii="Futura Bk" w:hAnsi="Futura Bk"/>
      <w:b w:val="0"/>
      <w:sz w:val="24"/>
      <w:szCs w:val="24"/>
      <w:lang w:eastAsia="en-US"/>
    </w:rPr>
  </w:style>
  <w:style w:type="paragraph" w:customStyle="1" w:styleId="113">
    <w:name w:val="文档正文"/>
    <w:basedOn w:val="1"/>
    <w:qFormat/>
    <w:uiPriority w:val="0"/>
    <w:pPr>
      <w:adjustRightInd w:val="0"/>
      <w:spacing w:line="440" w:lineRule="exact"/>
      <w:ind w:firstLine="567"/>
      <w:textAlignment w:val="baseline"/>
    </w:pPr>
    <w:rPr>
      <w:rFonts w:ascii="Arial Narrow" w:hAnsi="Arial Narrow"/>
      <w:sz w:val="24"/>
      <w:szCs w:val="24"/>
    </w:rPr>
  </w:style>
  <w:style w:type="paragraph" w:customStyle="1" w:styleId="114">
    <w:name w:val="节"/>
    <w:basedOn w:val="1"/>
    <w:next w:val="1"/>
    <w:qFormat/>
    <w:uiPriority w:val="0"/>
    <w:pPr>
      <w:numPr>
        <w:ilvl w:val="0"/>
        <w:numId w:val="13"/>
      </w:numPr>
      <w:tabs>
        <w:tab w:val="left" w:pos="720"/>
      </w:tabs>
      <w:spacing w:before="240" w:after="240" w:line="520" w:lineRule="exact"/>
      <w:ind w:left="0"/>
    </w:pPr>
    <w:rPr>
      <w:rFonts w:ascii="Times New Roman" w:hAnsi="Times New Roman" w:eastAsia="黑体"/>
      <w:sz w:val="30"/>
    </w:rPr>
  </w:style>
  <w:style w:type="paragraph" w:customStyle="1" w:styleId="115">
    <w:name w:val="Stage-3"/>
    <w:basedOn w:val="1"/>
    <w:next w:val="1"/>
    <w:qFormat/>
    <w:uiPriority w:val="0"/>
    <w:pPr>
      <w:spacing w:line="520" w:lineRule="exact"/>
      <w:ind w:firstLine="567"/>
      <w:outlineLvl w:val="2"/>
    </w:pPr>
    <w:rPr>
      <w:rFonts w:ascii="仿宋_GB2312" w:hAnsi="Times New Roman" w:eastAsia="仿宋_GB2312"/>
      <w:b/>
      <w:sz w:val="28"/>
    </w:rPr>
  </w:style>
  <w:style w:type="paragraph" w:customStyle="1" w:styleId="116">
    <w:name w:val="标题4"/>
    <w:basedOn w:val="1"/>
    <w:next w:val="1"/>
    <w:qFormat/>
    <w:uiPriority w:val="0"/>
    <w:pPr>
      <w:tabs>
        <w:tab w:val="left" w:pos="927"/>
      </w:tabs>
      <w:ind w:firstLine="567"/>
    </w:pPr>
    <w:rPr>
      <w:rFonts w:ascii="仿宋_GB2312" w:hAnsi="Times New Roman" w:eastAsia="仿宋_GB2312"/>
      <w:sz w:val="28"/>
    </w:rPr>
  </w:style>
  <w:style w:type="paragraph" w:customStyle="1" w:styleId="117">
    <w:name w:val="Indent 4"/>
    <w:basedOn w:val="118"/>
    <w:qFormat/>
    <w:uiPriority w:val="0"/>
    <w:pPr>
      <w:numPr>
        <w:ilvl w:val="0"/>
        <w:numId w:val="14"/>
      </w:numPr>
      <w:ind w:left="1440" w:hanging="360"/>
    </w:pPr>
    <w:rPr>
      <w:rFonts w:ascii="Times New Roman" w:hAnsi="Times New Roman"/>
      <w:sz w:val="22"/>
      <w:lang w:val="en-US"/>
    </w:rPr>
  </w:style>
  <w:style w:type="paragraph" w:customStyle="1" w:styleId="118">
    <w:name w:val="Indent2"/>
    <w:basedOn w:val="119"/>
    <w:qFormat/>
    <w:uiPriority w:val="0"/>
    <w:pPr>
      <w:ind w:left="1260" w:hanging="360"/>
    </w:pPr>
  </w:style>
  <w:style w:type="paragraph" w:customStyle="1" w:styleId="119">
    <w:name w:val="Indent 1"/>
    <w:basedOn w:val="1"/>
    <w:qFormat/>
    <w:uiPriority w:val="0"/>
    <w:pPr>
      <w:spacing w:after="120" w:line="240" w:lineRule="atLeast"/>
      <w:ind w:left="1530" w:hanging="450"/>
    </w:pPr>
    <w:rPr>
      <w:rFonts w:ascii="Book Antiqua" w:hAnsi="Book Antiqua"/>
      <w:iCs/>
      <w:color w:val="000000"/>
      <w:lang w:val="en-GB" w:eastAsia="en-US"/>
    </w:rPr>
  </w:style>
  <w:style w:type="paragraph" w:customStyle="1" w:styleId="120">
    <w:name w:val="附图居中"/>
    <w:basedOn w:val="1"/>
    <w:next w:val="1"/>
    <w:qFormat/>
    <w:uiPriority w:val="0"/>
    <w:pPr>
      <w:keepNext/>
      <w:jc w:val="center"/>
    </w:pPr>
    <w:rPr>
      <w:rFonts w:ascii="Times New Roman" w:hAnsi="Times New Roman"/>
      <w:szCs w:val="24"/>
    </w:rPr>
  </w:style>
  <w:style w:type="paragraph" w:customStyle="1" w:styleId="121">
    <w:name w:val="Findings Table Text"/>
    <w:basedOn w:val="34"/>
    <w:qFormat/>
    <w:uiPriority w:val="0"/>
    <w:pPr>
      <w:keepLines/>
      <w:spacing w:beforeLines="0" w:afterLines="0" w:line="240" w:lineRule="exact"/>
      <w:ind w:left="0" w:firstLine="0" w:firstLineChars="0"/>
    </w:pPr>
    <w:rPr>
      <w:rFonts w:ascii="Arial Narrow" w:hAnsi="Arial Narrow"/>
      <w:sz w:val="22"/>
      <w:lang w:eastAsia="zh-CN"/>
    </w:rPr>
  </w:style>
  <w:style w:type="paragraph" w:customStyle="1" w:styleId="122">
    <w:name w:val="样式 标题 1H1Heading 0PIM 1Fab-1Main TitleMain Title1Para1Pa..."/>
    <w:basedOn w:val="2"/>
    <w:qFormat/>
    <w:uiPriority w:val="0"/>
    <w:pPr>
      <w:keepLines/>
      <w:numPr>
        <w:numId w:val="15"/>
      </w:numPr>
      <w:tabs>
        <w:tab w:val="left" w:pos="425"/>
      </w:tabs>
      <w:spacing w:before="340" w:after="330"/>
    </w:pPr>
    <w:rPr>
      <w:rFonts w:ascii="宋体" w:hAnsi="宋体"/>
      <w:bCs/>
      <w:color w:val="000000"/>
      <w:kern w:val="44"/>
      <w:sz w:val="52"/>
      <w:szCs w:val="44"/>
    </w:rPr>
  </w:style>
  <w:style w:type="paragraph" w:customStyle="1" w:styleId="123">
    <w:name w:val="样式 标题 2H2H21H22H23H211H221H24H212H222H231H2111H2211..."/>
    <w:basedOn w:val="3"/>
    <w:qFormat/>
    <w:uiPriority w:val="0"/>
    <w:pPr>
      <w:keepLines/>
      <w:numPr>
        <w:ilvl w:val="0"/>
        <w:numId w:val="0"/>
      </w:numPr>
      <w:tabs>
        <w:tab w:val="left" w:pos="992"/>
      </w:tabs>
      <w:spacing w:before="260" w:after="260"/>
      <w:ind w:left="992" w:hanging="567"/>
    </w:pPr>
    <w:rPr>
      <w:rFonts w:ascii="宋体" w:hAnsi="宋体"/>
      <w:bCs/>
      <w:color w:val="000000"/>
      <w:sz w:val="44"/>
      <w:szCs w:val="32"/>
    </w:rPr>
  </w:style>
  <w:style w:type="paragraph" w:customStyle="1" w:styleId="124">
    <w:name w:val="样式 标题 4H4(Alt+4)h4Level 2 - aHeading 4 (Numbered)PIM 4Ref..."/>
    <w:basedOn w:val="5"/>
    <w:qFormat/>
    <w:uiPriority w:val="0"/>
    <w:pPr>
      <w:keepLines/>
      <w:numPr>
        <w:ilvl w:val="0"/>
        <w:numId w:val="0"/>
      </w:numPr>
      <w:tabs>
        <w:tab w:val="left" w:pos="1079"/>
        <w:tab w:val="left" w:pos="2356"/>
      </w:tabs>
      <w:spacing w:before="280" w:afterLines="50" w:line="377" w:lineRule="auto"/>
      <w:ind w:left="1984" w:hanging="708"/>
    </w:pPr>
    <w:rPr>
      <w:rFonts w:eastAsia="黑体"/>
      <w:bCs/>
      <w:spacing w:val="10"/>
      <w:sz w:val="28"/>
      <w:szCs w:val="28"/>
    </w:rPr>
  </w:style>
  <w:style w:type="paragraph" w:customStyle="1" w:styleId="125">
    <w:name w:val="Char Char"/>
    <w:basedOn w:val="16"/>
    <w:qFormat/>
    <w:uiPriority w:val="0"/>
    <w:rPr>
      <w:rFonts w:ascii="Tahoma" w:hAnsi="Tahoma"/>
      <w:sz w:val="24"/>
      <w:szCs w:val="24"/>
    </w:rPr>
  </w:style>
  <w:style w:type="paragraph" w:customStyle="1" w:styleId="126">
    <w:name w:val="Char Char Char Char Char Char Char Char"/>
    <w:basedOn w:val="16"/>
    <w:qFormat/>
    <w:uiPriority w:val="0"/>
    <w:rPr>
      <w:rFonts w:ascii="Tahoma" w:hAnsi="Tahoma"/>
      <w:sz w:val="24"/>
      <w:szCs w:val="24"/>
    </w:rPr>
  </w:style>
  <w:style w:type="paragraph" w:customStyle="1" w:styleId="127">
    <w:name w:val="附图标题"/>
    <w:basedOn w:val="120"/>
    <w:next w:val="12"/>
    <w:qFormat/>
    <w:uiPriority w:val="0"/>
    <w:pPr>
      <w:keepNext w:val="0"/>
      <w:numPr>
        <w:ilvl w:val="0"/>
        <w:numId w:val="16"/>
      </w:numPr>
      <w:spacing w:afterLines="100"/>
    </w:pPr>
    <w:rPr>
      <w:rFonts w:ascii="Arial" w:hAnsi="Arial" w:eastAsia="黑体"/>
      <w:b/>
      <w:sz w:val="18"/>
    </w:rPr>
  </w:style>
  <w:style w:type="paragraph" w:customStyle="1" w:styleId="128">
    <w:name w:val="列出段落1"/>
    <w:basedOn w:val="1"/>
    <w:qFormat/>
    <w:uiPriority w:val="34"/>
    <w:pPr>
      <w:ind w:firstLine="420" w:firstLineChars="200"/>
    </w:pPr>
  </w:style>
  <w:style w:type="paragraph" w:customStyle="1" w:styleId="129">
    <w:name w:val="TOC 标题1"/>
    <w:basedOn w:val="2"/>
    <w:next w:val="1"/>
    <w:qFormat/>
    <w:uiPriority w:val="39"/>
    <w:pPr>
      <w:keepLines/>
      <w:numPr>
        <w:numId w:val="0"/>
      </w:numPr>
      <w:spacing w:before="480" w:after="0" w:line="276" w:lineRule="auto"/>
      <w:outlineLvl w:val="9"/>
    </w:pPr>
    <w:rPr>
      <w:rFonts w:ascii="Cambria" w:hAnsi="Cambria"/>
      <w:bCs/>
      <w:color w:val="365F91"/>
      <w:kern w:val="0"/>
      <w:szCs w:val="28"/>
    </w:rPr>
  </w:style>
  <w:style w:type="character" w:customStyle="1" w:styleId="130">
    <w:name w:val="a61"/>
    <w:qFormat/>
    <w:uiPriority w:val="0"/>
    <w:rPr>
      <w:rFonts w:hint="eastAsia" w:ascii="华文仿宋" w:hAnsi="华文仿宋" w:eastAsia="华文仿宋"/>
      <w:b/>
      <w:bCs/>
      <w:color w:val="000000"/>
      <w:sz w:val="24"/>
      <w:szCs w:val="24"/>
      <w:u w:val="none"/>
    </w:rPr>
  </w:style>
  <w:style w:type="character" w:customStyle="1" w:styleId="131">
    <w:name w:val="a101"/>
    <w:qFormat/>
    <w:uiPriority w:val="0"/>
    <w:rPr>
      <w:rFonts w:hint="eastAsia" w:ascii="华文仿宋" w:hAnsi="华文仿宋" w:eastAsia="华文仿宋"/>
      <w:b/>
      <w:bCs/>
      <w:color w:val="000000"/>
      <w:sz w:val="24"/>
      <w:szCs w:val="24"/>
      <w:u w:val="none"/>
    </w:rPr>
  </w:style>
  <w:style w:type="character" w:customStyle="1" w:styleId="132">
    <w:name w:val="a141"/>
    <w:qFormat/>
    <w:uiPriority w:val="0"/>
    <w:rPr>
      <w:rFonts w:hint="eastAsia" w:ascii="华文仿宋" w:hAnsi="华文仿宋" w:eastAsia="华文仿宋"/>
      <w:b/>
      <w:bCs/>
      <w:color w:val="000000"/>
      <w:sz w:val="24"/>
      <w:szCs w:val="24"/>
      <w:u w:val="none"/>
    </w:rPr>
  </w:style>
  <w:style w:type="character" w:customStyle="1" w:styleId="133">
    <w:name w:val="明显强调1"/>
    <w:qFormat/>
    <w:uiPriority w:val="21"/>
    <w:rPr>
      <w:b/>
      <w:bCs/>
      <w:i/>
      <w:iCs/>
      <w:color w:val="4F81BD"/>
    </w:rPr>
  </w:style>
  <w:style w:type="character" w:customStyle="1" w:styleId="134">
    <w:name w:val="正文文本首行缩进 2 字符"/>
    <w:basedOn w:val="99"/>
    <w:link w:val="42"/>
    <w:qFormat/>
    <w:uiPriority w:val="0"/>
    <w:rPr>
      <w:rFonts w:ascii="Tahoma" w:hAnsi="Tahoma" w:cs="Tahoma"/>
      <w:spacing w:val="4"/>
      <w:kern w:val="2"/>
      <w:sz w:val="21"/>
      <w:szCs w:val="21"/>
    </w:rPr>
  </w:style>
  <w:style w:type="paragraph" w:customStyle="1" w:styleId="135">
    <w:name w:val="列出段落11"/>
    <w:basedOn w:val="1"/>
    <w:qFormat/>
    <w:uiPriority w:val="0"/>
    <w:pPr>
      <w:ind w:firstLine="420" w:firstLineChars="200"/>
    </w:pPr>
    <w:rPr>
      <w:rFonts w:ascii="Calibri" w:hAnsi="Calibri" w:eastAsia="仿宋_GB2312"/>
      <w:sz w:val="24"/>
    </w:rPr>
  </w:style>
  <w:style w:type="paragraph" w:customStyle="1" w:styleId="136">
    <w:name w:val="Default"/>
    <w:qForma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paragraph" w:customStyle="1" w:styleId="137">
    <w:name w:val="图1"/>
    <w:basedOn w:val="1"/>
    <w:next w:val="1"/>
    <w:qFormat/>
    <w:uiPriority w:val="0"/>
    <w:pPr>
      <w:tabs>
        <w:tab w:val="left" w:pos="284"/>
      </w:tabs>
      <w:spacing w:beforeLines="50" w:afterLines="100"/>
      <w:ind w:left="1105" w:hanging="748" w:firstLineChars="200"/>
      <w:jc w:val="center"/>
    </w:pPr>
    <w:rPr>
      <w:rFonts w:ascii="Times New Roman" w:hAnsi="Times New Roman"/>
      <w:sz w:val="24"/>
      <w:szCs w:val="24"/>
    </w:rPr>
  </w:style>
  <w:style w:type="character" w:customStyle="1" w:styleId="138">
    <w:name w:val="页脚 字符"/>
    <w:link w:val="29"/>
    <w:qFormat/>
    <w:uiPriority w:val="0"/>
    <w:rPr>
      <w:rFonts w:ascii="Arial" w:hAnsi="Arial" w:eastAsia="宋体"/>
      <w:sz w:val="21"/>
      <w:lang w:val="en-US" w:eastAsia="zh-CN" w:bidi="ar-SA"/>
    </w:rPr>
  </w:style>
  <w:style w:type="character" w:customStyle="1" w:styleId="139">
    <w:name w:val="页眉 字符"/>
    <w:link w:val="30"/>
    <w:qFormat/>
    <w:uiPriority w:val="99"/>
    <w:rPr>
      <w:rFonts w:ascii="Arial" w:hAnsi="Arial"/>
      <w:sz w:val="21"/>
    </w:rPr>
  </w:style>
  <w:style w:type="character" w:customStyle="1" w:styleId="140">
    <w:name w:val="日期 字符"/>
    <w:link w:val="26"/>
    <w:qFormat/>
    <w:uiPriority w:val="0"/>
    <w:rPr>
      <w:rFonts w:ascii="Arial" w:hAnsi="Arial"/>
      <w:sz w:val="21"/>
    </w:rPr>
  </w:style>
  <w:style w:type="paragraph" w:customStyle="1" w:styleId="141">
    <w:name w:val="列出段落2"/>
    <w:basedOn w:val="1"/>
    <w:qFormat/>
    <w:uiPriority w:val="34"/>
    <w:pPr>
      <w:ind w:firstLine="420" w:firstLineChars="200"/>
    </w:pPr>
  </w:style>
  <w:style w:type="character" w:customStyle="1" w:styleId="142">
    <w:name w:val="列表段落 字符"/>
    <w:link w:val="143"/>
    <w:qFormat/>
    <w:uiPriority w:val="34"/>
    <w:rPr>
      <w:rFonts w:asciiTheme="minorHAnsi" w:hAnsiTheme="minorHAnsi" w:eastAsiaTheme="minorEastAsia" w:cstheme="minorBidi"/>
      <w:kern w:val="2"/>
      <w:sz w:val="21"/>
      <w:szCs w:val="21"/>
    </w:rPr>
  </w:style>
  <w:style w:type="paragraph" w:customStyle="1" w:styleId="143">
    <w:name w:val="列表段落1"/>
    <w:basedOn w:val="1"/>
    <w:link w:val="142"/>
    <w:qFormat/>
    <w:uiPriority w:val="34"/>
    <w:pPr>
      <w:ind w:firstLine="420" w:firstLineChars="200"/>
    </w:pPr>
  </w:style>
  <w:style w:type="character" w:customStyle="1" w:styleId="144">
    <w:name w:val="标题 3 字符"/>
    <w:basedOn w:val="46"/>
    <w:link w:val="4"/>
    <w:qFormat/>
    <w:uiPriority w:val="0"/>
    <w:rPr>
      <w:b/>
      <w:bCs/>
      <w:kern w:val="2"/>
      <w:sz w:val="30"/>
      <w:szCs w:val="32"/>
    </w:rPr>
  </w:style>
  <w:style w:type="paragraph" w:customStyle="1" w:styleId="145">
    <w:name w:val="表格"/>
    <w:basedOn w:val="1"/>
    <w:link w:val="146"/>
    <w:qFormat/>
    <w:uiPriority w:val="99"/>
    <w:pPr>
      <w:widowControl/>
      <w:jc w:val="center"/>
    </w:pPr>
    <w:rPr>
      <w:rFonts w:ascii="宋体" w:hAnsi="宋体" w:eastAsia="宋体" w:cs="宋体"/>
      <w:color w:val="000000"/>
      <w:kern w:val="0"/>
      <w:szCs w:val="21"/>
    </w:rPr>
  </w:style>
  <w:style w:type="character" w:customStyle="1" w:styleId="146">
    <w:name w:val="表格 Char"/>
    <w:basedOn w:val="46"/>
    <w:link w:val="145"/>
    <w:qFormat/>
    <w:locked/>
    <w:uiPriority w:val="99"/>
    <w:rPr>
      <w:rFonts w:ascii="宋体" w:hAnsi="宋体" w:cs="宋体"/>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Info spid="_x0000_s307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6788EB-CDB3-4A2E-8F65-B060ABECDF96}">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16</Pages>
  <Words>1510</Words>
  <Characters>8607</Characters>
  <Lines>71</Lines>
  <Paragraphs>20</Paragraphs>
  <TotalTime>3</TotalTime>
  <ScaleCrop>false</ScaleCrop>
  <LinksUpToDate>false</LinksUpToDate>
  <CharactersWithSpaces>10097</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2017-08-10T09:32:00Z</dcterms:created>
  <dc:creator>hp</dc:creator>
  <cp:lastModifiedBy>MEI大東</cp:lastModifiedBy>
  <cp:lastPrinted>2014-05-19T15:03:00Z</cp:lastPrinted>
  <dcterms:modified xsi:type="dcterms:W3CDTF">2019-09-24T01:49:38Z</dcterms:modified>
  <dc:subject>中国移动IT服务管理项目</dc:subject>
  <dc:title>评估报告</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