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ascii="宋体" w:hAnsi="宋体"/>
          <w:b/>
          <w:sz w:val="52"/>
        </w:rPr>
      </w:pPr>
    </w:p>
    <w:p>
      <w:pPr>
        <w:jc w:val="center"/>
        <w:rPr>
          <w:rFonts w:ascii="宋体" w:hAnsi="宋体"/>
          <w:sz w:val="52"/>
          <w:szCs w:val="52"/>
        </w:rPr>
      </w:pPr>
      <w:bookmarkStart w:id="0" w:name="OLE_LINK8"/>
      <w:bookmarkStart w:id="1" w:name="OLE_LINK2"/>
      <w:bookmarkStart w:id="2" w:name="OLE_LINK1"/>
      <w:bookmarkStart w:id="3" w:name="OLE_LINK9"/>
      <w:r>
        <w:rPr>
          <w:rFonts w:hint="eastAsia" w:ascii="宋体" w:hAnsi="宋体"/>
          <w:b/>
          <w:sz w:val="52"/>
          <w:szCs w:val="52"/>
        </w:rPr>
        <w:t>青岛九邮信息技术有限公司</w:t>
      </w:r>
    </w:p>
    <w:bookmarkEnd w:id="0"/>
    <w:bookmarkEnd w:id="1"/>
    <w:bookmarkEnd w:id="2"/>
    <w:bookmarkEnd w:id="3"/>
    <w:p>
      <w:pPr>
        <w:jc w:val="center"/>
        <w:rPr>
          <w:rFonts w:ascii="宋体" w:hAnsi="宋体"/>
        </w:rPr>
      </w:pPr>
    </w:p>
    <w:p>
      <w:pPr>
        <w:jc w:val="center"/>
        <w:rPr>
          <w:rFonts w:ascii="宋体" w:hAnsi="宋体"/>
          <w:b/>
          <w:sz w:val="52"/>
          <w:szCs w:val="52"/>
        </w:rPr>
      </w:pPr>
      <w:r>
        <w:rPr>
          <w:rFonts w:hint="eastAsia" w:ascii="宋体" w:hAnsi="宋体"/>
          <w:b/>
          <w:sz w:val="48"/>
          <w:szCs w:val="52"/>
        </w:rPr>
        <w:t xml:space="preserve">  </w:t>
      </w:r>
      <w:r>
        <w:rPr>
          <w:rFonts w:hint="eastAsia" w:ascii="宋体" w:hAnsi="宋体"/>
          <w:b/>
          <w:sz w:val="52"/>
        </w:rPr>
        <w:t>IT运维服务人员储备制度</w:t>
      </w: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ind w:firstLine="1239" w:firstLineChars="590"/>
      </w:pPr>
    </w:p>
    <w:p/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/>
    <w:p/>
    <w:p/>
    <w:p/>
    <w:p/>
    <w:p/>
    <w:p/>
    <w:tbl>
      <w:tblPr>
        <w:tblStyle w:val="16"/>
        <w:tblW w:w="85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  <w:jc w:val="center"/>
        </w:trPr>
        <w:tc>
          <w:tcPr>
            <w:tcW w:w="982" w:type="dxa"/>
          </w:tcPr>
          <w:p>
            <w:pPr>
              <w:jc w:val="center"/>
              <w:rPr>
                <w:rFonts w:ascii="微软雅黑" w:hAnsi="微软雅黑" w:eastAsia="微软雅黑"/>
                <w:b/>
              </w:rPr>
            </w:pPr>
            <w:r>
              <w:rPr>
                <w:rFonts w:hint="eastAsia" w:ascii="微软雅黑" w:hAnsi="微软雅黑" w:eastAsia="微软雅黑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</w:rPr>
              <w:t>张莲花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ascii="微软雅黑" w:hAnsi="微软雅黑" w:eastAsia="微软雅黑"/>
                <w:b/>
              </w:rPr>
            </w:pPr>
            <w:r>
              <w:rPr>
                <w:rFonts w:hint="eastAsia" w:ascii="微软雅黑" w:hAnsi="微软雅黑" w:eastAsia="微软雅黑"/>
                <w:b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  <w:b/>
                <w:bCs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孙元朝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  <w:jc w:val="center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ascii="微软雅黑" w:hAnsi="微软雅黑" w:eastAsia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/>
                <w:b/>
                <w:bCs/>
                <w:sz w:val="22"/>
                <w:szCs w:val="22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ascii="微软雅黑" w:hAnsi="微软雅黑" w:eastAsia="微软雅黑"/>
              </w:rPr>
            </w:pPr>
            <w:r>
              <w:rPr>
                <w:rFonts w:hint="eastAsia" w:ascii="微软雅黑" w:hAnsi="微软雅黑" w:eastAsia="微软雅黑"/>
              </w:rPr>
              <w:t>2019年1月1日</w:t>
            </w:r>
          </w:p>
        </w:tc>
      </w:tr>
    </w:tbl>
    <w:p/>
    <w:p/>
    <w:p/>
    <w:p/>
    <w:p/>
    <w:p/>
    <w:p/>
    <w:p/>
    <w:p/>
    <w:p/>
    <w:p>
      <w:pPr>
        <w:spacing w:line="360" w:lineRule="auto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>发布、修订记录</w:t>
      </w:r>
    </w:p>
    <w:tbl>
      <w:tblPr>
        <w:tblStyle w:val="16"/>
        <w:tblW w:w="928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bookmarkStart w:id="4" w:name="_Hlk493519225"/>
            <w:r>
              <w:rPr>
                <w:rFonts w:hint="eastAsia" w:ascii="宋体" w:hAnsi="宋体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修改人/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审核人/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批准人/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修订原因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hint="eastAsia" w:ascii="宋体" w:hAnsi="宋体" w:eastAsia="宋体" w:cs="Times New Roman"/>
                <w:sz w:val="21"/>
                <w:szCs w:val="21"/>
                <w:lang w:val="en-US" w:eastAsia="zh-CN"/>
              </w:rPr>
              <w:t>V1.0</w:t>
            </w:r>
          </w:p>
        </w:tc>
        <w:tc>
          <w:tcPr>
            <w:tcW w:w="1479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hint="eastAsia" w:ascii="宋体" w:hAnsi="宋体" w:eastAsia="宋体" w:cs="Times New Roman"/>
                <w:sz w:val="21"/>
                <w:szCs w:val="21"/>
              </w:rPr>
              <w:t>2019.1.1</w:t>
            </w:r>
          </w:p>
        </w:tc>
        <w:tc>
          <w:tcPr>
            <w:tcW w:w="1550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hint="eastAsia" w:ascii="宋体" w:hAnsi="宋体" w:eastAsia="宋体" w:cs="Times New Roman"/>
                <w:sz w:val="21"/>
                <w:szCs w:val="21"/>
              </w:rPr>
              <w:t>张莲花</w:t>
            </w:r>
          </w:p>
        </w:tc>
        <w:tc>
          <w:tcPr>
            <w:tcW w:w="1459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hint="eastAsia" w:ascii="宋体" w:hAnsi="宋体" w:eastAsia="宋体" w:cs="Times New Roman"/>
                <w:sz w:val="21"/>
                <w:szCs w:val="21"/>
              </w:rPr>
              <w:t>吴克</w:t>
            </w:r>
          </w:p>
        </w:tc>
        <w:tc>
          <w:tcPr>
            <w:tcW w:w="1566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 w:eastAsia="宋体" w:cs="Times New Roman"/>
                <w:sz w:val="21"/>
                <w:szCs w:val="21"/>
              </w:rPr>
              <w:t>孙元朝</w:t>
            </w:r>
          </w:p>
        </w:tc>
        <w:tc>
          <w:tcPr>
            <w:tcW w:w="2118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 w:eastAsia="宋体" w:cs="Times New Roman"/>
                <w:sz w:val="21"/>
                <w:szCs w:val="21"/>
              </w:rPr>
              <w:t>新建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 w:cs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bookmarkEnd w:id="4"/>
    </w:tbl>
    <w:p>
      <w:pPr>
        <w:rPr>
          <w:rFonts w:ascii="宋体" w:hAnsi="宋体"/>
        </w:rPr>
      </w:pPr>
    </w:p>
    <w:p>
      <w:pPr>
        <w:spacing w:line="276" w:lineRule="auto"/>
        <w:jc w:val="left"/>
        <w:rPr>
          <w:rFonts w:ascii="宋体" w:hAnsi="宋体"/>
          <w:b/>
          <w:bCs/>
          <w:sz w:val="36"/>
          <w:szCs w:val="36"/>
        </w:rPr>
      </w:pPr>
    </w:p>
    <w:p>
      <w:pPr>
        <w:jc w:val="left"/>
        <w:rPr>
          <w:rFonts w:cs="Times New Roman"/>
        </w:rPr>
      </w:pPr>
    </w:p>
    <w:p>
      <w:pPr>
        <w:jc w:val="center"/>
        <w:rPr>
          <w:rFonts w:ascii="黑体" w:hAnsi="黑体" w:eastAsia="黑体" w:cs="Times New Roman"/>
          <w:sz w:val="36"/>
          <w:szCs w:val="36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titlePg/>
          <w:docGrid w:type="lines" w:linePitch="326" w:charSpace="0"/>
        </w:sectPr>
      </w:pPr>
    </w:p>
    <w:p>
      <w:pPr>
        <w:pStyle w:val="12"/>
      </w:pPr>
      <w:r>
        <w:rPr>
          <w:rFonts w:hint="eastAsia"/>
        </w:rPr>
        <w:t>目  录</w:t>
      </w:r>
      <w:bookmarkStart w:id="22" w:name="_GoBack"/>
      <w:bookmarkEnd w:id="22"/>
    </w:p>
    <w:p>
      <w:pPr>
        <w:pStyle w:val="12"/>
        <w:tabs>
          <w:tab w:val="right" w:leader="dot" w:pos="8306"/>
          <w:tab w:val="clear" w:pos="829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\u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_Toc27036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第一条 前言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_Toc27036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1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2"/>
        <w:tabs>
          <w:tab w:val="right" w:leader="dot" w:pos="8306"/>
          <w:tab w:val="clear" w:pos="829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_Toc12500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第二条</w:t>
      </w:r>
      <w:r>
        <w:rPr>
          <w:rFonts w:ascii="宋体" w:hAnsi="宋体" w:cs="宋体"/>
          <w:b w:val="0"/>
          <w:bCs w:val="0"/>
          <w:sz w:val="24"/>
          <w:szCs w:val="24"/>
        </w:rPr>
        <w:t xml:space="preserve"> 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目标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_Toc12500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1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2"/>
        <w:tabs>
          <w:tab w:val="right" w:leader="dot" w:pos="8306"/>
          <w:tab w:val="clear" w:pos="829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_Toc24710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第三条适用范围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_Toc24710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1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2"/>
        <w:tabs>
          <w:tab w:val="right" w:leader="dot" w:pos="8306"/>
          <w:tab w:val="clear" w:pos="829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_Toc30673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第四条</w:t>
      </w:r>
      <w:r>
        <w:rPr>
          <w:rFonts w:ascii="宋体" w:hAnsi="宋体" w:cs="宋体"/>
          <w:b w:val="0"/>
          <w:bCs w:val="0"/>
          <w:sz w:val="24"/>
          <w:szCs w:val="24"/>
        </w:rPr>
        <w:t xml:space="preserve">  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权责分工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_Toc30673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1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_Toc23424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人力资源部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_Toc23424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1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2"/>
        <w:tabs>
          <w:tab w:val="right" w:leader="dot" w:pos="8306"/>
          <w:tab w:val="clear" w:pos="829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_Toc7596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第五条</w:t>
      </w:r>
      <w:r>
        <w:rPr>
          <w:rFonts w:ascii="宋体" w:hAnsi="宋体" w:cs="宋体"/>
          <w:b w:val="0"/>
          <w:bCs w:val="0"/>
          <w:sz w:val="24"/>
          <w:szCs w:val="24"/>
        </w:rPr>
        <w:t xml:space="preserve"> 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储备制度建立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_Toc7596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2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_Toc4520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5.1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分析需储备人员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_Toc4520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2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_Toc16295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5.2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建立人员需求库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_Toc16295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2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_Toc11144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5.3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确定储备人员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_Toc11144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2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_Toc2879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5.4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储备人员来源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_Toc2879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3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7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_Toc13114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5.4.1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外部招聘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_Toc13114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3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7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_Toc4696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5.4.2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内部储备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_Toc4696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4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2"/>
        <w:tabs>
          <w:tab w:val="right" w:leader="dot" w:pos="8306"/>
          <w:tab w:val="clear" w:pos="829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_Toc10879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hint="eastAsia" w:ascii="宋体" w:hAnsi="宋体" w:cs="宋体"/>
          <w:b w:val="0"/>
          <w:bCs w:val="0"/>
          <w:sz w:val="24"/>
          <w:szCs w:val="24"/>
        </w:rPr>
        <w:t>第六条</w:t>
      </w:r>
      <w:r>
        <w:rPr>
          <w:rFonts w:ascii="宋体" w:hAnsi="宋体" w:cs="宋体"/>
          <w:b w:val="0"/>
          <w:bCs w:val="0"/>
          <w:sz w:val="24"/>
          <w:szCs w:val="24"/>
        </w:rPr>
        <w:t xml:space="preserve"> 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建立人才培养、用人，留人制度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_Toc10879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5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_Toc20848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6.1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在企业内部建立实习生实训基地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_Toc20848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5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_Toc7835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6.2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内部晋升，疏通上升通道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_Toc7835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5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_Toc147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6.3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与各大院校建立长期的合作关系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_Toc147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5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13"/>
        <w:tabs>
          <w:tab w:val="right" w:leader="dot" w:pos="8306"/>
        </w:tabs>
        <w:rPr>
          <w:b w:val="0"/>
          <w:bCs w:val="0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HYPERLINK \l _Toc4080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r>
        <w:rPr>
          <w:rFonts w:ascii="宋体" w:hAnsi="宋体" w:cs="宋体"/>
          <w:b w:val="0"/>
          <w:bCs w:val="0"/>
          <w:sz w:val="24"/>
          <w:szCs w:val="24"/>
        </w:rPr>
        <w:t>6.4</w:t>
      </w:r>
      <w:r>
        <w:rPr>
          <w:rFonts w:hint="eastAsia" w:ascii="宋体" w:hAnsi="宋体" w:cs="宋体"/>
          <w:b w:val="0"/>
          <w:bCs w:val="0"/>
          <w:sz w:val="24"/>
          <w:szCs w:val="24"/>
        </w:rPr>
        <w:t>与培训机构建立长期的合作关系</w:t>
      </w:r>
      <w:r>
        <w:rPr>
          <w:b w:val="0"/>
          <w:bCs w:val="0"/>
          <w:sz w:val="24"/>
          <w:szCs w:val="24"/>
        </w:rPr>
        <w:tab/>
      </w:r>
      <w:r>
        <w:rPr>
          <w:b w:val="0"/>
          <w:bCs w:val="0"/>
          <w:sz w:val="24"/>
          <w:szCs w:val="24"/>
        </w:rPr>
        <w:fldChar w:fldCharType="begin"/>
      </w:r>
      <w:r>
        <w:rPr>
          <w:b w:val="0"/>
          <w:bCs w:val="0"/>
          <w:sz w:val="24"/>
          <w:szCs w:val="24"/>
        </w:rPr>
        <w:instrText xml:space="preserve"> PAGEREF _Toc4080 </w:instrText>
      </w:r>
      <w:r>
        <w:rPr>
          <w:b w:val="0"/>
          <w:bCs w:val="0"/>
          <w:sz w:val="24"/>
          <w:szCs w:val="24"/>
        </w:rPr>
        <w:fldChar w:fldCharType="separate"/>
      </w:r>
      <w:r>
        <w:rPr>
          <w:b w:val="0"/>
          <w:bCs w:val="0"/>
          <w:sz w:val="24"/>
          <w:szCs w:val="24"/>
        </w:rPr>
        <w:t>6</w:t>
      </w:r>
      <w:r>
        <w:rPr>
          <w:b w:val="0"/>
          <w:bCs w:val="0"/>
          <w:sz w:val="24"/>
          <w:szCs w:val="24"/>
        </w:rPr>
        <w:fldChar w:fldCharType="end"/>
      </w: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spacing w:before="94" w:beforeLines="30" w:after="94" w:afterLines="30"/>
        <w:jc w:val="center"/>
        <w:rPr>
          <w:rFonts w:ascii="宋体" w:hAnsi="宋体" w:cs="Times New Roman"/>
          <w:sz w:val="24"/>
          <w:szCs w:val="24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end"/>
      </w:r>
    </w:p>
    <w:p>
      <w:pPr>
        <w:pStyle w:val="2"/>
        <w:autoSpaceDE w:val="0"/>
        <w:autoSpaceDN w:val="0"/>
        <w:adjustRightInd w:val="0"/>
        <w:spacing w:line="360" w:lineRule="auto"/>
        <w:rPr>
          <w:rFonts w:hint="eastAsia" w:ascii="宋体" w:hAnsi="宋体" w:cs="宋体"/>
          <w:sz w:val="32"/>
          <w:szCs w:val="32"/>
        </w:rPr>
        <w:sectPr>
          <w:headerReference r:id="rId7" w:type="default"/>
          <w:footerReference r:id="rId8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>
      <w:pPr>
        <w:pStyle w:val="2"/>
        <w:autoSpaceDE w:val="0"/>
        <w:autoSpaceDN w:val="0"/>
        <w:adjustRightInd w:val="0"/>
        <w:spacing w:line="360" w:lineRule="auto"/>
        <w:rPr>
          <w:rFonts w:ascii="宋体" w:hAnsi="宋体" w:cs="宋体"/>
          <w:sz w:val="32"/>
          <w:szCs w:val="32"/>
        </w:rPr>
      </w:pPr>
      <w:bookmarkStart w:id="5" w:name="_Toc27036"/>
      <w:r>
        <w:rPr>
          <w:rFonts w:hint="eastAsia" w:ascii="宋体" w:hAnsi="宋体" w:cs="宋体"/>
          <w:sz w:val="32"/>
          <w:szCs w:val="32"/>
        </w:rPr>
        <w:t>第一条 前言</w:t>
      </w:r>
      <w:bookmarkEnd w:id="5"/>
    </w:p>
    <w:p>
      <w:pPr>
        <w:spacing w:line="360" w:lineRule="auto"/>
        <w:ind w:firstLine="480" w:firstLineChars="200"/>
        <w:rPr>
          <w:rFonts w:ascii="宋体" w:cs="Times New Roman"/>
          <w:b/>
          <w:bCs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根据公司发展战略规划布署，为公司可持续发展提供人才支持，并结合公司实际情况，拟定人员储备制度。</w:t>
      </w:r>
    </w:p>
    <w:p>
      <w:pPr>
        <w:pStyle w:val="2"/>
        <w:autoSpaceDE w:val="0"/>
        <w:autoSpaceDN w:val="0"/>
        <w:adjustRightInd w:val="0"/>
        <w:spacing w:line="360" w:lineRule="auto"/>
        <w:ind w:left="340" w:hanging="340"/>
        <w:rPr>
          <w:rFonts w:ascii="宋体"/>
          <w:sz w:val="32"/>
          <w:szCs w:val="32"/>
        </w:rPr>
      </w:pPr>
      <w:bookmarkStart w:id="6" w:name="_Toc12500"/>
      <w:r>
        <w:rPr>
          <w:rFonts w:hint="eastAsia" w:ascii="宋体" w:hAnsi="宋体" w:cs="宋体"/>
          <w:sz w:val="32"/>
          <w:szCs w:val="32"/>
        </w:rPr>
        <w:t>第二条</w:t>
      </w:r>
      <w:r>
        <w:rPr>
          <w:rFonts w:ascii="宋体" w:hAnsi="宋体" w:cs="宋体"/>
          <w:sz w:val="32"/>
          <w:szCs w:val="32"/>
        </w:rPr>
        <w:t xml:space="preserve"> </w:t>
      </w:r>
      <w:r>
        <w:rPr>
          <w:rFonts w:hint="eastAsia" w:ascii="宋体" w:hAnsi="宋体" w:cs="宋体"/>
          <w:sz w:val="32"/>
          <w:szCs w:val="32"/>
        </w:rPr>
        <w:t>目标</w:t>
      </w:r>
      <w:bookmarkEnd w:id="6"/>
    </w:p>
    <w:p>
      <w:pPr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1</w:t>
      </w:r>
      <w:r>
        <w:rPr>
          <w:rFonts w:hint="eastAsia" w:ascii="宋体" w:hAnsi="宋体" w:cs="宋体"/>
          <w:sz w:val="24"/>
          <w:szCs w:val="24"/>
        </w:rPr>
        <w:t>、完善人才引进与储备制度,保障公司业务持续稳定发展。</w:t>
      </w:r>
    </w:p>
    <w:p>
      <w:pPr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2</w:t>
      </w:r>
      <w:r>
        <w:rPr>
          <w:rFonts w:hint="eastAsia" w:ascii="宋体" w:hAnsi="宋体" w:cs="宋体"/>
          <w:sz w:val="24"/>
          <w:szCs w:val="24"/>
        </w:rPr>
        <w:t>、做好组织中核心的，紧缺的或流动性较大的岗位与人才间的需求协调工作。</w:t>
      </w:r>
    </w:p>
    <w:p>
      <w:pPr>
        <w:pStyle w:val="2"/>
        <w:autoSpaceDE w:val="0"/>
        <w:autoSpaceDN w:val="0"/>
        <w:adjustRightInd w:val="0"/>
        <w:spacing w:line="360" w:lineRule="auto"/>
        <w:ind w:left="340" w:hanging="340"/>
        <w:rPr>
          <w:rFonts w:ascii="宋体"/>
          <w:sz w:val="32"/>
          <w:szCs w:val="32"/>
        </w:rPr>
      </w:pPr>
      <w:bookmarkStart w:id="7" w:name="_Toc24710"/>
      <w:r>
        <w:rPr>
          <w:rFonts w:hint="eastAsia" w:ascii="宋体" w:hAnsi="宋体" w:cs="宋体"/>
          <w:sz w:val="32"/>
          <w:szCs w:val="32"/>
        </w:rPr>
        <w:t>第三条适用范围</w:t>
      </w:r>
      <w:bookmarkEnd w:id="7"/>
    </w:p>
    <w:p>
      <w:pPr>
        <w:rPr>
          <w:rFonts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适用于</w:t>
      </w:r>
      <w:r>
        <w:rPr>
          <w:rFonts w:hint="eastAsia" w:cs="宋体"/>
          <w:sz w:val="24"/>
          <w:szCs w:val="24"/>
        </w:rPr>
        <w:t>青岛九邮信息技术有限公司全体员工</w:t>
      </w:r>
    </w:p>
    <w:p>
      <w:pPr>
        <w:pStyle w:val="2"/>
        <w:autoSpaceDE w:val="0"/>
        <w:autoSpaceDN w:val="0"/>
        <w:adjustRightInd w:val="0"/>
        <w:spacing w:line="360" w:lineRule="auto"/>
        <w:ind w:left="340" w:hanging="340"/>
        <w:rPr>
          <w:rFonts w:ascii="宋体"/>
          <w:sz w:val="32"/>
          <w:szCs w:val="32"/>
        </w:rPr>
      </w:pPr>
      <w:bookmarkStart w:id="8" w:name="_Toc30673"/>
      <w:r>
        <w:rPr>
          <w:rFonts w:hint="eastAsia" w:ascii="宋体" w:hAnsi="宋体" w:cs="宋体"/>
          <w:sz w:val="32"/>
          <w:szCs w:val="32"/>
        </w:rPr>
        <w:t>第四条</w:t>
      </w:r>
      <w:r>
        <w:rPr>
          <w:rFonts w:ascii="宋体" w:hAnsi="宋体" w:cs="宋体"/>
          <w:sz w:val="32"/>
          <w:szCs w:val="32"/>
        </w:rPr>
        <w:t xml:space="preserve">  </w:t>
      </w:r>
      <w:r>
        <w:rPr>
          <w:rFonts w:hint="eastAsia" w:ascii="宋体" w:hAnsi="宋体" w:cs="宋体"/>
          <w:sz w:val="32"/>
          <w:szCs w:val="32"/>
        </w:rPr>
        <w:t>权责分工</w:t>
      </w:r>
      <w:bookmarkEnd w:id="8"/>
    </w:p>
    <w:p>
      <w:pPr>
        <w:pStyle w:val="3"/>
        <w:spacing w:line="360" w:lineRule="auto"/>
        <w:rPr>
          <w:rFonts w:ascii="宋体"/>
          <w:b w:val="0"/>
          <w:bCs w:val="0"/>
          <w:sz w:val="28"/>
          <w:szCs w:val="28"/>
        </w:rPr>
      </w:pPr>
      <w:bookmarkStart w:id="9" w:name="_Toc23424"/>
      <w:r>
        <w:rPr>
          <w:rFonts w:hint="eastAsia" w:ascii="宋体" w:hAnsi="宋体" w:cs="宋体"/>
          <w:b w:val="0"/>
          <w:bCs w:val="0"/>
          <w:sz w:val="28"/>
          <w:szCs w:val="28"/>
        </w:rPr>
        <w:t>人力资源部</w:t>
      </w:r>
      <w:bookmarkEnd w:id="9"/>
    </w:p>
    <w:p>
      <w:pPr>
        <w:spacing w:line="360" w:lineRule="auto"/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1、根据</w:t>
      </w:r>
      <w:r>
        <w:rPr>
          <w:rFonts w:ascii="宋体" w:hAnsi="宋体" w:cs="宋体"/>
          <w:sz w:val="24"/>
          <w:szCs w:val="24"/>
        </w:rPr>
        <w:t>公司组织架构及人员编制需求，做好员工的招聘、考核</w:t>
      </w:r>
      <w:r>
        <w:rPr>
          <w:rFonts w:hint="eastAsia" w:ascii="宋体" w:hAnsi="宋体" w:cs="宋体"/>
          <w:sz w:val="24"/>
          <w:szCs w:val="24"/>
        </w:rPr>
        <w:t>、选拔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hint="eastAsia" w:ascii="宋体" w:hAnsi="宋体" w:cs="宋体"/>
          <w:sz w:val="24"/>
          <w:szCs w:val="24"/>
        </w:rPr>
        <w:t>调配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hint="eastAsia" w:ascii="宋体" w:hAnsi="宋体" w:cs="宋体"/>
          <w:sz w:val="24"/>
          <w:szCs w:val="24"/>
        </w:rPr>
        <w:t>社保</w:t>
      </w:r>
      <w:r>
        <w:rPr>
          <w:rFonts w:ascii="宋体" w:hAnsi="宋体" w:cs="宋体"/>
          <w:sz w:val="24"/>
          <w:szCs w:val="24"/>
        </w:rPr>
        <w:t>、</w:t>
      </w:r>
      <w:r>
        <w:rPr>
          <w:rFonts w:hint="eastAsia" w:ascii="宋体" w:hAnsi="宋体" w:cs="宋体"/>
          <w:sz w:val="24"/>
          <w:szCs w:val="24"/>
        </w:rPr>
        <w:t>培训</w:t>
      </w:r>
      <w:r>
        <w:rPr>
          <w:rFonts w:ascii="宋体" w:hAnsi="宋体" w:cs="宋体"/>
          <w:sz w:val="24"/>
          <w:szCs w:val="24"/>
        </w:rPr>
        <w:t>、离职等工作</w:t>
      </w:r>
      <w:r>
        <w:rPr>
          <w:rFonts w:hint="eastAsia" w:ascii="宋体" w:hAnsi="宋体" w:cs="宋体"/>
          <w:sz w:val="24"/>
          <w:szCs w:val="24"/>
        </w:rPr>
        <w:t>；包括</w:t>
      </w:r>
      <w:r>
        <w:rPr>
          <w:rFonts w:ascii="宋体" w:hAnsi="宋体" w:cs="宋体"/>
          <w:sz w:val="24"/>
          <w:szCs w:val="24"/>
        </w:rPr>
        <w:t>人员招聘、培养、储备的计划，并跟踪落实；</w:t>
      </w:r>
    </w:p>
    <w:p>
      <w:pPr>
        <w:spacing w:line="360" w:lineRule="auto"/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2、制订员工培训计划和监督培训计划的实施，负责培训效果的评价；</w:t>
      </w:r>
    </w:p>
    <w:p>
      <w:pPr>
        <w:spacing w:line="360" w:lineRule="auto"/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3、参与制定人力资源战略规划，为人事决策提供建议和信息支持；</w:t>
      </w:r>
    </w:p>
    <w:p>
      <w:pPr>
        <w:spacing w:line="360" w:lineRule="auto"/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4、制定薪酬政策和晋升政策，组织提薪评审和晋升评审，制定公司福利政策，办理社会保障福利；</w:t>
      </w:r>
    </w:p>
    <w:p>
      <w:pPr>
        <w:spacing w:line="360" w:lineRule="auto"/>
        <w:ind w:firstLine="42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5、根据公司对绩效管理的要求，制定评价政策，组织实施绩效管理，并对各部门绩效评价过程进行监督控制。</w:t>
      </w:r>
    </w:p>
    <w:p>
      <w:pPr>
        <w:pStyle w:val="2"/>
        <w:autoSpaceDE w:val="0"/>
        <w:autoSpaceDN w:val="0"/>
        <w:adjustRightInd w:val="0"/>
        <w:spacing w:line="360" w:lineRule="auto"/>
        <w:ind w:left="340" w:hanging="340"/>
        <w:rPr>
          <w:rFonts w:ascii="宋体"/>
          <w:sz w:val="32"/>
          <w:szCs w:val="32"/>
        </w:rPr>
      </w:pPr>
      <w:bookmarkStart w:id="10" w:name="_Toc7596"/>
      <w:r>
        <w:rPr>
          <w:rFonts w:hint="eastAsia" w:ascii="宋体" w:hAnsi="宋体" w:cs="宋体"/>
          <w:sz w:val="32"/>
          <w:szCs w:val="32"/>
        </w:rPr>
        <w:t>第五条</w:t>
      </w:r>
      <w:r>
        <w:rPr>
          <w:rFonts w:ascii="宋体" w:hAnsi="宋体" w:cs="宋体"/>
          <w:sz w:val="32"/>
          <w:szCs w:val="32"/>
        </w:rPr>
        <w:t xml:space="preserve"> </w:t>
      </w:r>
      <w:r>
        <w:rPr>
          <w:rFonts w:hint="eastAsia" w:ascii="宋体" w:hAnsi="宋体" w:cs="宋体"/>
          <w:sz w:val="32"/>
          <w:szCs w:val="32"/>
        </w:rPr>
        <w:t>储备制度建立</w:t>
      </w:r>
      <w:bookmarkEnd w:id="10"/>
    </w:p>
    <w:p>
      <w:pPr>
        <w:pStyle w:val="3"/>
        <w:spacing w:line="360" w:lineRule="auto"/>
        <w:rPr>
          <w:rFonts w:ascii="宋体"/>
          <w:b w:val="0"/>
          <w:bCs w:val="0"/>
        </w:rPr>
      </w:pPr>
      <w:bookmarkStart w:id="11" w:name="_Toc4520"/>
      <w:r>
        <w:rPr>
          <w:rFonts w:ascii="宋体" w:hAnsi="宋体" w:cs="宋体"/>
          <w:b w:val="0"/>
          <w:bCs w:val="0"/>
        </w:rPr>
        <w:t>5.1</w:t>
      </w:r>
      <w:r>
        <w:rPr>
          <w:rFonts w:hint="eastAsia" w:ascii="宋体" w:hAnsi="宋体" w:cs="宋体"/>
          <w:bCs w:val="0"/>
        </w:rPr>
        <w:t>分析需储备人员</w:t>
      </w:r>
      <w:bookmarkEnd w:id="11"/>
    </w:p>
    <w:p>
      <w:pPr>
        <w:widowControl/>
        <w:shd w:val="clear" w:color="auto" w:fill="FFFFFF"/>
        <w:wordWrap w:val="0"/>
        <w:spacing w:line="360" w:lineRule="auto"/>
        <w:ind w:firstLine="480" w:firstLineChars="200"/>
        <w:jc w:val="left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1</w:t>
      </w:r>
      <w:r>
        <w:rPr>
          <w:rFonts w:hint="eastAsia" w:ascii="宋体" w:hAnsi="宋体" w:cs="宋体"/>
          <w:sz w:val="24"/>
          <w:szCs w:val="24"/>
        </w:rPr>
        <w:t>、关键性岗位：这些重要岗位的人员一经流失，必会对公司产生比较大的损失，在采取各种措施防止重要岗位</w:t>
      </w:r>
      <w:r>
        <w:fldChar w:fldCharType="begin"/>
      </w:r>
      <w:r>
        <w:instrText xml:space="preserve"> HYPERLINK "http://www.baike.com/wiki/%E4%BA%BA%E5%91%98%E6%B5%81%E5%8A%A8" \o "人员流动"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人员流动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的同时，也不可不为这些岗位储备一些</w:t>
      </w:r>
      <w:r>
        <w:fldChar w:fldCharType="begin"/>
      </w:r>
      <w:r>
        <w:instrText xml:space="preserve"> HYPERLINK "http://www.baike.com/wiki/%E8%B6%85%E7%BA%A7%E6%9B%BF%E8%A1%A5" \o "超级替补"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超级替补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。</w:t>
      </w:r>
    </w:p>
    <w:p>
      <w:pPr>
        <w:widowControl/>
        <w:shd w:val="clear" w:color="auto" w:fill="FFFFFF"/>
        <w:wordWrap w:val="0"/>
        <w:spacing w:line="360" w:lineRule="auto"/>
        <w:ind w:firstLine="480" w:firstLineChars="200"/>
        <w:jc w:val="left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2</w:t>
      </w:r>
      <w:r>
        <w:rPr>
          <w:rFonts w:hint="eastAsia" w:ascii="宋体" w:hAnsi="宋体" w:cs="宋体"/>
          <w:sz w:val="24"/>
          <w:szCs w:val="24"/>
        </w:rPr>
        <w:t>、对于流动性比较大的岗位，在尽快分析出人员流动大的真正</w:t>
      </w:r>
      <w:r>
        <w:fldChar w:fldCharType="begin"/>
      </w:r>
      <w:r>
        <w:instrText xml:space="preserve"> HYPERLINK "http://www.baike.com/wiki/%E5%8E%9F%E5%9B%A0" \o "原因"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原因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的同时，要对这些岗位做适当的储备；</w:t>
      </w:r>
    </w:p>
    <w:p>
      <w:pPr>
        <w:widowControl/>
        <w:shd w:val="clear" w:color="auto" w:fill="FFFFFF"/>
        <w:wordWrap w:val="0"/>
        <w:spacing w:line="360" w:lineRule="auto"/>
        <w:ind w:firstLine="480" w:firstLineChars="200"/>
        <w:jc w:val="left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3</w:t>
      </w:r>
      <w:r>
        <w:rPr>
          <w:rFonts w:hint="eastAsia" w:ascii="宋体" w:hAnsi="宋体" w:cs="宋体"/>
          <w:sz w:val="24"/>
          <w:szCs w:val="24"/>
        </w:rPr>
        <w:t>、选定岗位时，一定要对这些关键岗位人员所需的技能及素质有一详细的分析，在挑选储备人员时对所需关键岗位的任职要求作充分详尽的分析，真正做到有的放矢。</w:t>
      </w:r>
    </w:p>
    <w:p>
      <w:pPr>
        <w:pStyle w:val="3"/>
        <w:spacing w:line="360" w:lineRule="auto"/>
        <w:rPr>
          <w:rFonts w:ascii="宋体" w:hAnsi="宋体" w:cs="宋体"/>
          <w:bCs w:val="0"/>
        </w:rPr>
      </w:pPr>
      <w:bookmarkStart w:id="12" w:name="_Toc16295"/>
      <w:r>
        <w:rPr>
          <w:rFonts w:ascii="宋体" w:hAnsi="宋体" w:cs="宋体"/>
          <w:bCs w:val="0"/>
        </w:rPr>
        <w:t>5.2</w:t>
      </w:r>
      <w:r>
        <w:rPr>
          <w:rFonts w:hint="eastAsia" w:ascii="宋体" w:hAnsi="宋体" w:cs="宋体"/>
          <w:bCs w:val="0"/>
        </w:rPr>
        <w:t>建立人员需求库</w:t>
      </w:r>
      <w:bookmarkEnd w:id="12"/>
    </w:p>
    <w:p>
      <w:pPr>
        <w:adjustRightInd w:val="0"/>
        <w:snapToGrid w:val="0"/>
        <w:spacing w:line="360" w:lineRule="auto"/>
        <w:ind w:firstLine="480" w:firstLineChars="20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人员合理安排，确定人才需求数量，做好人员培养库的充实。主管部门根据职责提携要求设定需求的人才数量，提交人力资源部审核通过后，人力资源部拟定总需求计划，输入人员需求库。人力资源部根据情况进行调配和开展招聘活动。</w:t>
      </w:r>
    </w:p>
    <w:p>
      <w:pPr>
        <w:pStyle w:val="3"/>
        <w:spacing w:line="360" w:lineRule="auto"/>
        <w:rPr>
          <w:rFonts w:ascii="宋体"/>
          <w:bCs w:val="0"/>
        </w:rPr>
      </w:pPr>
      <w:bookmarkStart w:id="13" w:name="_Toc11144"/>
      <w:r>
        <w:rPr>
          <w:rFonts w:ascii="宋体" w:hAnsi="宋体" w:cs="宋体"/>
          <w:bCs w:val="0"/>
        </w:rPr>
        <w:t>5.3</w:t>
      </w:r>
      <w:r>
        <w:rPr>
          <w:rFonts w:hint="eastAsia" w:ascii="宋体" w:hAnsi="宋体" w:cs="宋体"/>
          <w:bCs w:val="0"/>
        </w:rPr>
        <w:t>确定储备人员</w:t>
      </w:r>
      <w:bookmarkEnd w:id="13"/>
    </w:p>
    <w:tbl>
      <w:tblPr>
        <w:tblStyle w:val="16"/>
        <w:tblW w:w="8522" w:type="dxa"/>
        <w:tblInd w:w="-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center"/>
          </w:tcPr>
          <w:p>
            <w:pPr>
              <w:spacing w:line="360" w:lineRule="auto"/>
              <w:jc w:val="center"/>
              <w:rPr>
                <w:rFonts w:ascii="宋体" w:cs="Times New Roman"/>
                <w:b/>
                <w:bCs/>
              </w:rPr>
            </w:pPr>
            <w:r>
              <w:rPr>
                <w:rFonts w:hint="eastAsia" w:ascii="宋体" w:hAnsi="宋体" w:cs="宋体"/>
                <w:b/>
                <w:bCs/>
              </w:rPr>
              <w:t>储备类型</w:t>
            </w:r>
          </w:p>
        </w:tc>
        <w:tc>
          <w:tcPr>
            <w:tcW w:w="4261" w:type="dxa"/>
            <w:vAlign w:val="center"/>
          </w:tcPr>
          <w:p>
            <w:pPr>
              <w:spacing w:line="360" w:lineRule="auto"/>
              <w:jc w:val="center"/>
              <w:rPr>
                <w:rFonts w:ascii="宋体" w:cs="Times New Roman"/>
                <w:b/>
                <w:bCs/>
              </w:rPr>
            </w:pPr>
            <w:r>
              <w:rPr>
                <w:rFonts w:hint="eastAsia" w:ascii="宋体" w:hAnsi="宋体" w:cs="宋体"/>
                <w:b/>
                <w:bCs/>
              </w:rPr>
              <w:t>储备岗位及人员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center"/>
          </w:tcPr>
          <w:p>
            <w:pPr>
              <w:spacing w:line="360" w:lineRule="auto"/>
              <w:jc w:val="center"/>
              <w:rPr>
                <w:rFonts w:ascii="宋体" w:cs="Times New Roman"/>
              </w:rPr>
            </w:pPr>
            <w:r>
              <w:rPr>
                <w:rFonts w:hint="eastAsia" w:ascii="宋体" w:hAnsi="宋体" w:cs="宋体"/>
              </w:rPr>
              <w:t>关键性岗位</w:t>
            </w:r>
          </w:p>
        </w:tc>
        <w:tc>
          <w:tcPr>
            <w:tcW w:w="4261" w:type="dxa"/>
            <w:vAlign w:val="center"/>
          </w:tcPr>
          <w:p>
            <w:pPr>
              <w:spacing w:line="360" w:lineRule="auto"/>
              <w:jc w:val="center"/>
              <w:rPr>
                <w:rFonts w:ascii="宋体" w:cs="Times New Roman"/>
              </w:rPr>
            </w:pPr>
            <w:r>
              <w:rPr>
                <w:rFonts w:hint="eastAsia" w:ascii="宋体" w:hAnsi="宋体" w:cs="宋体"/>
              </w:rPr>
              <w:t>部门经理及以上、技术支持骨干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center"/>
          </w:tcPr>
          <w:p>
            <w:pPr>
              <w:spacing w:line="360" w:lineRule="auto"/>
              <w:jc w:val="center"/>
              <w:rPr>
                <w:rFonts w:ascii="宋体" w:cs="Times New Roman"/>
              </w:rPr>
            </w:pPr>
            <w:r>
              <w:rPr>
                <w:rFonts w:hint="eastAsia" w:ascii="宋体" w:hAnsi="宋体" w:cs="宋体"/>
              </w:rPr>
              <w:t>流动性较大岗位</w:t>
            </w:r>
          </w:p>
        </w:tc>
        <w:tc>
          <w:tcPr>
            <w:tcW w:w="4261" w:type="dxa"/>
            <w:vAlign w:val="center"/>
          </w:tcPr>
          <w:p>
            <w:pPr>
              <w:spacing w:line="360" w:lineRule="auto"/>
              <w:jc w:val="center"/>
              <w:rPr>
                <w:rFonts w:ascii="宋体" w:cs="Times New Roman"/>
              </w:rPr>
            </w:pPr>
            <w:r>
              <w:rPr>
                <w:rFonts w:hint="eastAsia" w:ascii="宋体" w:hAnsi="宋体" w:cs="宋体"/>
              </w:rPr>
              <w:t>基础岗位</w:t>
            </w:r>
          </w:p>
        </w:tc>
      </w:tr>
    </w:tbl>
    <w:p>
      <w:pPr>
        <w:spacing w:line="360" w:lineRule="auto"/>
        <w:ind w:firstLine="480" w:firstLineChars="200"/>
        <w:rPr>
          <w:rFonts w:ascii="宋体" w:cs="Times New Roman"/>
          <w:sz w:val="24"/>
          <w:szCs w:val="24"/>
        </w:rPr>
      </w:pPr>
    </w:p>
    <w:p>
      <w:pPr>
        <w:spacing w:line="360" w:lineRule="auto"/>
        <w:ind w:firstLine="480" w:firstLineChars="20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确定岗位后开始在公司内，根据员工平时</w:t>
      </w:r>
      <w:r>
        <w:fldChar w:fldCharType="begin"/>
      </w:r>
      <w:r>
        <w:instrText xml:space="preserve"> HYPERLINK "http://www.baike.com/wiki/%E5%B7%A5%E4%BD%9C%E4%B8%9A%E7%BB%A9" \o "工作业绩"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工作业绩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表现、个人能力及发展潜力，筛选一批骨干及储备人员，有针对性地分析储备人员优势、劣势及性格特点等，确定储备人员可能适合的岗位及培养方向，有目的地为储备人员建立</w:t>
      </w:r>
      <w:r>
        <w:fldChar w:fldCharType="begin"/>
      </w:r>
      <w:r>
        <w:instrText xml:space="preserve"> HYPERLINK "http://www.baike.com/wiki/%E4%B8%AA%E4%BA%BA%E6%A1%A3%E6%A1%88" \o "个人档案"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个人档案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（此档案也可和个人培训档案相结合，形成员工个人培训档案），档案内容除</w:t>
      </w:r>
      <w:r>
        <w:fldChar w:fldCharType="begin"/>
      </w:r>
      <w:r>
        <w:instrText xml:space="preserve"> HYPERLINK "http://www.baike.com/wiki/%E6%B6%B5%E7%9B%96" \o "涵盖"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涵盖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性别、年龄、学历等基本要素外，还应包括本人</w:t>
      </w:r>
      <w:r>
        <w:fldChar w:fldCharType="begin"/>
      </w:r>
      <w:r>
        <w:instrText xml:space="preserve"> HYPERLINK "javascript:linkredwin('%E6%80%A7%E6%A0%BC%E7%89%B9%E7%82%B9');" \o "性格特点"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性格特点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、长处、不足，员工希望的发展方向、可能适合的岗位及为达到该岗位要求而</w:t>
      </w:r>
      <w:r>
        <w:fldChar w:fldCharType="begin"/>
      </w:r>
      <w:r>
        <w:instrText xml:space="preserve"> HYPERLINK "http://www.baike.com/wiki/%E5%8E%86%E7%BB%83" \o "历练" </w:instrText>
      </w:r>
      <w:r>
        <w:fldChar w:fldCharType="separate"/>
      </w:r>
      <w:r>
        <w:rPr>
          <w:rFonts w:hint="eastAsia" w:ascii="宋体" w:hAnsi="宋体" w:cs="宋体"/>
          <w:sz w:val="24"/>
          <w:szCs w:val="24"/>
        </w:rPr>
        <w:t>历练</w:t>
      </w:r>
      <w:r>
        <w:fldChar w:fldCharType="end"/>
      </w:r>
      <w:r>
        <w:rPr>
          <w:rFonts w:hint="eastAsia" w:ascii="宋体" w:hAnsi="宋体" w:cs="宋体"/>
          <w:sz w:val="24"/>
          <w:szCs w:val="24"/>
        </w:rPr>
        <w:t>的时间等等。这样，可清晰、直观地掌握公司储备人员情况，并随时对储备人员做出补充或调整。</w:t>
      </w:r>
    </w:p>
    <w:p>
      <w:pPr>
        <w:pStyle w:val="3"/>
        <w:spacing w:line="360" w:lineRule="auto"/>
        <w:rPr>
          <w:rFonts w:ascii="宋体"/>
          <w:bCs w:val="0"/>
        </w:rPr>
      </w:pPr>
      <w:bookmarkStart w:id="14" w:name="_Toc2879"/>
      <w:r>
        <w:rPr>
          <w:rFonts w:ascii="宋体" w:hAnsi="宋体" w:cs="宋体"/>
          <w:bCs w:val="0"/>
        </w:rPr>
        <w:t>5.4</w:t>
      </w:r>
      <w:r>
        <w:rPr>
          <w:rFonts w:hint="eastAsia" w:ascii="宋体" w:hAnsi="宋体" w:cs="宋体"/>
          <w:bCs w:val="0"/>
        </w:rPr>
        <w:t>储备人员来源</w:t>
      </w:r>
      <w:bookmarkEnd w:id="14"/>
    </w:p>
    <w:p>
      <w:pPr>
        <w:widowControl/>
        <w:spacing w:line="360" w:lineRule="auto"/>
        <w:ind w:left="142"/>
        <w:jc w:val="left"/>
        <w:outlineLvl w:val="2"/>
        <w:rPr>
          <w:rFonts w:ascii="宋体" w:cs="Times New Roman"/>
          <w:sz w:val="24"/>
          <w:szCs w:val="24"/>
        </w:rPr>
      </w:pPr>
      <w:bookmarkStart w:id="15" w:name="_Toc13114"/>
      <w:r>
        <w:rPr>
          <w:rFonts w:ascii="宋体" w:hAnsi="宋体" w:cs="宋体"/>
          <w:sz w:val="24"/>
          <w:szCs w:val="24"/>
        </w:rPr>
        <w:t>5.4.1</w:t>
      </w:r>
      <w:r>
        <w:rPr>
          <w:rFonts w:hint="eastAsia" w:ascii="宋体" w:hAnsi="宋体" w:cs="宋体"/>
          <w:sz w:val="24"/>
          <w:szCs w:val="24"/>
        </w:rPr>
        <w:t>外部招聘</w:t>
      </w:r>
      <w:bookmarkEnd w:id="15"/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招聘渠道</w:t>
      </w:r>
    </w:p>
    <w:p>
      <w:pPr>
        <w:pStyle w:val="28"/>
        <w:numPr>
          <w:ilvl w:val="0"/>
          <w:numId w:val="2"/>
        </w:numPr>
        <w:spacing w:line="360" w:lineRule="auto"/>
        <w:ind w:left="1378"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以网络为主，兼顾现场招聘会、内外人才推荐等；</w:t>
      </w:r>
      <w:r>
        <w:rPr>
          <w:rFonts w:ascii="宋体" w:hAnsi="宋体" w:cs="宋体"/>
          <w:sz w:val="24"/>
          <w:szCs w:val="24"/>
        </w:rPr>
        <w:t xml:space="preserve"> </w:t>
      </w:r>
    </w:p>
    <w:p>
      <w:pPr>
        <w:pStyle w:val="28"/>
        <w:numPr>
          <w:ilvl w:val="0"/>
          <w:numId w:val="2"/>
        </w:numPr>
        <w:spacing w:line="360" w:lineRule="auto"/>
        <w:ind w:left="1378"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网络招聘：建立与智联、51JOB等知名网站的长期合作关系；</w:t>
      </w:r>
      <w:r>
        <w:rPr>
          <w:rFonts w:ascii="宋体" w:hAnsi="宋体" w:cs="宋体"/>
          <w:sz w:val="24"/>
          <w:szCs w:val="24"/>
        </w:rPr>
        <w:t xml:space="preserve"> </w:t>
      </w:r>
    </w:p>
    <w:p>
      <w:pPr>
        <w:pStyle w:val="28"/>
        <w:numPr>
          <w:ilvl w:val="0"/>
          <w:numId w:val="2"/>
        </w:numPr>
        <w:spacing w:line="360" w:lineRule="auto"/>
        <w:ind w:left="1378"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熟人推荐：针对特别岗位实行奖励熟人推荐的形式。</w:t>
      </w:r>
      <w:r>
        <w:rPr>
          <w:rFonts w:ascii="宋体" w:hAnsi="宋体" w:cs="宋体"/>
          <w:sz w:val="24"/>
          <w:szCs w:val="24"/>
        </w:rPr>
        <w:t xml:space="preserve"> </w:t>
      </w:r>
    </w:p>
    <w:p>
      <w:pPr>
        <w:pStyle w:val="28"/>
        <w:numPr>
          <w:ilvl w:val="0"/>
          <w:numId w:val="2"/>
        </w:numPr>
        <w:spacing w:line="360" w:lineRule="auto"/>
        <w:ind w:left="1378"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与多所大专院校开展校企合作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定向培养人才。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招聘流程</w:t>
      </w:r>
    </w:p>
    <w:p>
      <w:pPr>
        <w:pStyle w:val="28"/>
        <w:numPr>
          <w:ilvl w:val="0"/>
          <w:numId w:val="3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用人部门根据部门人员配置及下年度的运维项目预测，于每年12月份制订下年度的储备人员招聘计划，并填写招聘计划表，详细说明招聘岗位、专业、人数及岗位基本要求，经人力资源部、总经理批准后实施。</w:t>
      </w:r>
    </w:p>
    <w:p>
      <w:pPr>
        <w:pStyle w:val="28"/>
        <w:numPr>
          <w:ilvl w:val="0"/>
          <w:numId w:val="3"/>
        </w:numPr>
        <w:spacing w:line="360" w:lineRule="auto"/>
        <w:ind w:left="1378"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公司储备人员编制公式：级别总人数</w:t>
      </w:r>
      <w:r>
        <w:rPr>
          <w:rFonts w:ascii="宋体" w:hAnsi="宋体" w:cs="宋体"/>
          <w:sz w:val="24"/>
          <w:szCs w:val="24"/>
        </w:rPr>
        <w:t>*</w:t>
      </w:r>
      <w:r>
        <w:rPr>
          <w:rFonts w:hint="eastAsia" w:ascii="宋体" w:hAnsi="宋体" w:cs="宋体"/>
          <w:sz w:val="24"/>
          <w:szCs w:val="24"/>
        </w:rPr>
        <w:t>整年度离职率</w:t>
      </w:r>
      <w:r>
        <w:rPr>
          <w:rFonts w:ascii="宋体" w:hAnsi="宋体" w:cs="宋体"/>
          <w:sz w:val="24"/>
          <w:szCs w:val="24"/>
        </w:rPr>
        <w:t>+</w:t>
      </w:r>
      <w:r>
        <w:rPr>
          <w:rFonts w:hint="eastAsia" w:ascii="宋体" w:hAnsi="宋体" w:cs="宋体"/>
          <w:sz w:val="24"/>
          <w:szCs w:val="24"/>
        </w:rPr>
        <w:t>级别总人数</w:t>
      </w:r>
      <w:r>
        <w:rPr>
          <w:rFonts w:ascii="宋体" w:hAnsi="宋体" w:cs="宋体"/>
          <w:sz w:val="24"/>
          <w:szCs w:val="24"/>
        </w:rPr>
        <w:t>*</w:t>
      </w:r>
      <w:r>
        <w:rPr>
          <w:rFonts w:hint="eastAsia" w:ascii="宋体" w:hAnsi="宋体" w:cs="宋体"/>
          <w:sz w:val="24"/>
          <w:szCs w:val="24"/>
        </w:rPr>
        <w:t>当年运维合同额增长率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招聘要求</w:t>
      </w:r>
    </w:p>
    <w:p>
      <w:pPr>
        <w:pStyle w:val="28"/>
        <w:numPr>
          <w:ilvl w:val="0"/>
          <w:numId w:val="4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品学兼优、专业对口、技能匹配</w:t>
      </w:r>
    </w:p>
    <w:p>
      <w:pPr>
        <w:pStyle w:val="28"/>
        <w:numPr>
          <w:ilvl w:val="0"/>
          <w:numId w:val="4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公开招聘，按标准面试、考核录用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招聘考核内容</w:t>
      </w:r>
    </w:p>
    <w:p>
      <w:pPr>
        <w:pStyle w:val="28"/>
        <w:widowControl/>
        <w:spacing w:line="360" w:lineRule="auto"/>
        <w:ind w:left="960" w:firstLine="0" w:firstLineChars="0"/>
        <w:jc w:val="left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学习成绩、专业知识，计算机水平，表达能力、反应能力、学习能力、身体状况等综合素质能力方面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招聘考核方式</w:t>
      </w:r>
    </w:p>
    <w:p>
      <w:pPr>
        <w:pStyle w:val="28"/>
        <w:numPr>
          <w:ilvl w:val="0"/>
          <w:numId w:val="5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笔试</w:t>
      </w:r>
    </w:p>
    <w:p>
      <w:pPr>
        <w:pStyle w:val="28"/>
        <w:numPr>
          <w:ilvl w:val="0"/>
          <w:numId w:val="5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面试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合同签订与试用期</w:t>
      </w:r>
    </w:p>
    <w:p>
      <w:pPr>
        <w:pStyle w:val="28"/>
        <w:widowControl/>
        <w:spacing w:line="360" w:lineRule="auto"/>
        <w:ind w:left="960" w:firstLine="0" w:firstLineChars="0"/>
        <w:jc w:val="left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合同签订：储备人员一经录用，一般与公司签订3年的劳动合同</w:t>
      </w:r>
    </w:p>
    <w:p>
      <w:pPr>
        <w:pStyle w:val="28"/>
        <w:widowControl/>
        <w:spacing w:line="360" w:lineRule="auto"/>
        <w:ind w:left="960" w:firstLine="0" w:firstLineChars="0"/>
        <w:jc w:val="left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试用期：试用期</w:t>
      </w:r>
      <w:r>
        <w:rPr>
          <w:rFonts w:ascii="宋体" w:hAnsi="宋体" w:cs="宋体"/>
          <w:sz w:val="24"/>
          <w:szCs w:val="24"/>
        </w:rPr>
        <w:t>3</w:t>
      </w:r>
      <w:r>
        <w:rPr>
          <w:rFonts w:hint="eastAsia" w:ascii="宋体" w:hAnsi="宋体" w:cs="宋体"/>
          <w:sz w:val="24"/>
          <w:szCs w:val="24"/>
        </w:rPr>
        <w:t>个月，最长不得超过</w:t>
      </w:r>
      <w:r>
        <w:rPr>
          <w:rFonts w:ascii="宋体" w:hAnsi="宋体" w:cs="宋体"/>
          <w:sz w:val="24"/>
          <w:szCs w:val="24"/>
        </w:rPr>
        <w:t>6</w:t>
      </w:r>
      <w:r>
        <w:rPr>
          <w:rFonts w:hint="eastAsia" w:ascii="宋体" w:hAnsi="宋体" w:cs="宋体"/>
          <w:sz w:val="24"/>
          <w:szCs w:val="24"/>
        </w:rPr>
        <w:t>个月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人员培养</w:t>
      </w:r>
    </w:p>
    <w:p>
      <w:pPr>
        <w:pStyle w:val="28"/>
        <w:numPr>
          <w:ilvl w:val="0"/>
          <w:numId w:val="6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培养内容：</w:t>
      </w:r>
    </w:p>
    <w:tbl>
      <w:tblPr>
        <w:tblStyle w:val="16"/>
        <w:tblW w:w="9781" w:type="dxa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276"/>
        <w:gridCol w:w="1701"/>
        <w:gridCol w:w="3260"/>
        <w:gridCol w:w="1134"/>
        <w:gridCol w:w="709"/>
        <w:gridCol w:w="992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0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序号</w:t>
            </w:r>
          </w:p>
        </w:tc>
        <w:tc>
          <w:tcPr>
            <w:tcW w:w="1276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模块</w:t>
            </w:r>
          </w:p>
        </w:tc>
        <w:tc>
          <w:tcPr>
            <w:tcW w:w="1701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内容</w:t>
            </w:r>
          </w:p>
        </w:tc>
        <w:tc>
          <w:tcPr>
            <w:tcW w:w="326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目标要求</w:t>
            </w:r>
          </w:p>
        </w:tc>
        <w:tc>
          <w:tcPr>
            <w:tcW w:w="1134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方式</w:t>
            </w:r>
          </w:p>
        </w:tc>
        <w:tc>
          <w:tcPr>
            <w:tcW w:w="709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时间</w:t>
            </w:r>
          </w:p>
        </w:tc>
        <w:tc>
          <w:tcPr>
            <w:tcW w:w="992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阶段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</w:trPr>
        <w:tc>
          <w:tcPr>
            <w:tcW w:w="709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入职培训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企业文化</w:t>
            </w:r>
          </w:p>
        </w:tc>
        <w:tc>
          <w:tcPr>
            <w:tcW w:w="3260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熟悉公司的发展历史、企业文化、规章制度、安全知识，使储备人员尽快熟悉、融入公司。</w:t>
            </w:r>
          </w:p>
        </w:tc>
        <w:tc>
          <w:tcPr>
            <w:tcW w:w="1134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人力资源部组织培训</w:t>
            </w:r>
          </w:p>
        </w:tc>
        <w:tc>
          <w:tcPr>
            <w:tcW w:w="709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2天</w:t>
            </w:r>
          </w:p>
        </w:tc>
        <w:tc>
          <w:tcPr>
            <w:tcW w:w="992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试用期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276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规章制度</w:t>
            </w:r>
          </w:p>
        </w:tc>
        <w:tc>
          <w:tcPr>
            <w:tcW w:w="3260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134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992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276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安全教育</w:t>
            </w:r>
          </w:p>
        </w:tc>
        <w:tc>
          <w:tcPr>
            <w:tcW w:w="3260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134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992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2" w:hRule="atLeast"/>
        </w:trPr>
        <w:tc>
          <w:tcPr>
            <w:tcW w:w="709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2</w:t>
            </w:r>
          </w:p>
        </w:tc>
        <w:tc>
          <w:tcPr>
            <w:tcW w:w="1276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岗位认知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岗前学习</w:t>
            </w:r>
          </w:p>
        </w:tc>
        <w:tc>
          <w:tcPr>
            <w:tcW w:w="326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掌握岗位安全技能和岗位应知应会知识，基本达到岗位要求。</w:t>
            </w:r>
          </w:p>
        </w:tc>
        <w:tc>
          <w:tcPr>
            <w:tcW w:w="1134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人力资源部组织培训</w:t>
            </w:r>
          </w:p>
        </w:tc>
        <w:tc>
          <w:tcPr>
            <w:tcW w:w="709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一周</w:t>
            </w:r>
          </w:p>
        </w:tc>
        <w:tc>
          <w:tcPr>
            <w:tcW w:w="99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试用期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atLeast"/>
        </w:trPr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276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工具与方法</w:t>
            </w:r>
          </w:p>
        </w:tc>
        <w:tc>
          <w:tcPr>
            <w:tcW w:w="3260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了解本岗位要求、熟悉与岗位相关的流程，掌握岗位专业技能。</w:t>
            </w:r>
          </w:p>
        </w:tc>
        <w:tc>
          <w:tcPr>
            <w:tcW w:w="1134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一周</w:t>
            </w:r>
          </w:p>
        </w:tc>
        <w:tc>
          <w:tcPr>
            <w:tcW w:w="992" w:type="dxa"/>
            <w:vMerge w:val="restar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试用期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5" w:hRule="atLeast"/>
        </w:trPr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276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rPr>
                <w:rFonts w:ascii="宋体" w:cs="Times New Roman"/>
                <w:color w:val="000000"/>
                <w:kern w:val="0"/>
              </w:rPr>
            </w:pPr>
            <w:r>
              <w:rPr>
                <w:rFonts w:hint="eastAsia" w:ascii="宋体" w:hAnsi="宋体" w:cs="宋体"/>
                <w:color w:val="000000"/>
                <w:kern w:val="0"/>
              </w:rPr>
              <w:t>岗位技能培训</w:t>
            </w:r>
          </w:p>
        </w:tc>
        <w:tc>
          <w:tcPr>
            <w:tcW w:w="3260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1134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709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  <w:tc>
          <w:tcPr>
            <w:tcW w:w="992" w:type="dxa"/>
            <w:vMerge w:val="continue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>
            <w:pPr>
              <w:widowControl/>
              <w:jc w:val="left"/>
              <w:rPr>
                <w:rFonts w:ascii="宋体" w:cs="Times New Roman"/>
                <w:color w:val="000000"/>
                <w:kern w:val="0"/>
              </w:rPr>
            </w:pPr>
          </w:p>
        </w:tc>
      </w:tr>
    </w:tbl>
    <w:p>
      <w:pPr>
        <w:pStyle w:val="28"/>
        <w:spacing w:line="360" w:lineRule="auto"/>
        <w:ind w:left="1380" w:firstLine="0" w:firstLineChars="0"/>
        <w:rPr>
          <w:rFonts w:ascii="宋体" w:cs="Times New Roman"/>
          <w:sz w:val="24"/>
          <w:szCs w:val="24"/>
        </w:rPr>
      </w:pPr>
    </w:p>
    <w:p>
      <w:pPr>
        <w:pStyle w:val="28"/>
        <w:numPr>
          <w:ilvl w:val="0"/>
          <w:numId w:val="6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培训方法：</w:t>
      </w:r>
    </w:p>
    <w:p>
      <w:pPr>
        <w:pStyle w:val="28"/>
        <w:numPr>
          <w:ilvl w:val="0"/>
          <w:numId w:val="7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多岗位认知：多岗位认知指在岗位认知培养阶段，为使新入职储备人员尽快熟悉工作业务流程，掌握岗位技能</w:t>
      </w:r>
      <w:r>
        <w:rPr>
          <w:rFonts w:ascii="宋体" w:hAnsi="宋体" w:cs="宋体"/>
          <w:sz w:val="24"/>
          <w:szCs w:val="24"/>
        </w:rPr>
        <w:t xml:space="preserve"> </w:t>
      </w:r>
    </w:p>
    <w:p>
      <w:pPr>
        <w:pStyle w:val="28"/>
        <w:numPr>
          <w:ilvl w:val="0"/>
          <w:numId w:val="7"/>
        </w:numPr>
        <w:spacing w:line="360" w:lineRule="auto"/>
        <w:ind w:firstLineChars="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跨部门多岗位认知：各部门根据实际需求或培养计划，向人力资源部提出申请，统筹安排，多岗位认知期间人事关系在原部门，所跨部门负责管理与评价，并将结果反馈原部门，由原部门进行考核</w:t>
      </w:r>
    </w:p>
    <w:p>
      <w:pPr>
        <w:pStyle w:val="28"/>
        <w:widowControl/>
        <w:numPr>
          <w:ilvl w:val="0"/>
          <w:numId w:val="1"/>
        </w:numPr>
        <w:spacing w:line="360" w:lineRule="auto"/>
        <w:ind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考核评价：</w:t>
      </w:r>
    </w:p>
    <w:p>
      <w:pPr>
        <w:spacing w:line="360" w:lineRule="auto"/>
        <w:ind w:left="840" w:leftChars="400" w:firstLine="360" w:firstLineChars="15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试用期综合评估满分为</w:t>
      </w:r>
      <w:r>
        <w:rPr>
          <w:rFonts w:ascii="宋体" w:hAnsi="宋体" w:cs="宋体"/>
          <w:sz w:val="24"/>
          <w:szCs w:val="24"/>
        </w:rPr>
        <w:t>100</w:t>
      </w:r>
      <w:r>
        <w:rPr>
          <w:rFonts w:hint="eastAsia" w:ascii="宋体" w:hAnsi="宋体" w:cs="宋体"/>
          <w:sz w:val="24"/>
          <w:szCs w:val="24"/>
        </w:rPr>
        <w:t>分，入职培训成绩占</w:t>
      </w:r>
      <w:r>
        <w:rPr>
          <w:rFonts w:ascii="宋体" w:hAnsi="宋体" w:cs="宋体"/>
          <w:sz w:val="24"/>
          <w:szCs w:val="24"/>
        </w:rPr>
        <w:t>20%</w:t>
      </w:r>
      <w:r>
        <w:rPr>
          <w:rFonts w:hint="eastAsia" w:ascii="宋体" w:hAnsi="宋体" w:cs="宋体"/>
          <w:sz w:val="24"/>
          <w:szCs w:val="24"/>
        </w:rPr>
        <w:t>，岗位培训占</w:t>
      </w:r>
      <w:r>
        <w:rPr>
          <w:rFonts w:ascii="宋体" w:hAnsi="宋体" w:cs="宋体"/>
          <w:sz w:val="24"/>
          <w:szCs w:val="24"/>
        </w:rPr>
        <w:t>80%</w:t>
      </w:r>
      <w:r>
        <w:rPr>
          <w:rFonts w:hint="eastAsia" w:ascii="宋体" w:hAnsi="宋体" w:cs="宋体"/>
          <w:sz w:val="24"/>
          <w:szCs w:val="24"/>
        </w:rPr>
        <w:t>，</w:t>
      </w:r>
      <w:r>
        <w:rPr>
          <w:rFonts w:ascii="宋体" w:hAnsi="宋体" w:cs="宋体"/>
          <w:sz w:val="24"/>
          <w:szCs w:val="24"/>
        </w:rPr>
        <w:t>90</w:t>
      </w:r>
      <w:r>
        <w:rPr>
          <w:rFonts w:hint="eastAsia" w:ascii="宋体" w:hAnsi="宋体" w:cs="宋体"/>
          <w:sz w:val="24"/>
          <w:szCs w:val="24"/>
        </w:rPr>
        <w:t>分及以上为优秀，</w:t>
      </w:r>
      <w:r>
        <w:rPr>
          <w:rFonts w:ascii="宋体" w:hAnsi="宋体" w:cs="宋体"/>
          <w:sz w:val="24"/>
          <w:szCs w:val="24"/>
        </w:rPr>
        <w:t>80</w:t>
      </w:r>
      <w:r>
        <w:rPr>
          <w:rFonts w:hint="eastAsia" w:ascii="宋体" w:hAnsi="宋体" w:cs="宋体"/>
          <w:sz w:val="24"/>
          <w:szCs w:val="24"/>
        </w:rPr>
        <w:t>～</w:t>
      </w:r>
      <w:r>
        <w:rPr>
          <w:rFonts w:ascii="宋体" w:hAnsi="宋体" w:cs="宋体"/>
          <w:sz w:val="24"/>
          <w:szCs w:val="24"/>
        </w:rPr>
        <w:t>90</w:t>
      </w:r>
      <w:r>
        <w:rPr>
          <w:rFonts w:hint="eastAsia" w:ascii="宋体" w:hAnsi="宋体" w:cs="宋体"/>
          <w:sz w:val="24"/>
          <w:szCs w:val="24"/>
        </w:rPr>
        <w:t>分为合格，</w:t>
      </w:r>
      <w:r>
        <w:rPr>
          <w:rFonts w:ascii="宋体" w:hAnsi="宋体" w:cs="宋体"/>
          <w:sz w:val="24"/>
          <w:szCs w:val="24"/>
        </w:rPr>
        <w:t>80</w:t>
      </w:r>
      <w:r>
        <w:rPr>
          <w:rFonts w:hint="eastAsia" w:ascii="宋体" w:hAnsi="宋体" w:cs="宋体"/>
          <w:sz w:val="24"/>
          <w:szCs w:val="24"/>
        </w:rPr>
        <w:t>分以下为不合格，再次培训或解除劳动合同关系。</w:t>
      </w:r>
    </w:p>
    <w:p>
      <w:pPr>
        <w:widowControl/>
        <w:spacing w:line="360" w:lineRule="auto"/>
        <w:ind w:left="142"/>
        <w:jc w:val="left"/>
        <w:outlineLvl w:val="2"/>
        <w:rPr>
          <w:rFonts w:ascii="宋体" w:cs="Times New Roman"/>
          <w:sz w:val="24"/>
          <w:szCs w:val="24"/>
        </w:rPr>
      </w:pPr>
      <w:bookmarkStart w:id="16" w:name="_Toc4696"/>
      <w:r>
        <w:rPr>
          <w:rFonts w:ascii="宋体" w:hAnsi="宋体" w:cs="宋体"/>
          <w:sz w:val="24"/>
          <w:szCs w:val="24"/>
        </w:rPr>
        <w:t>5.4.2</w:t>
      </w:r>
      <w:r>
        <w:rPr>
          <w:rFonts w:hint="eastAsia" w:ascii="宋体" w:hAnsi="宋体" w:cs="宋体"/>
          <w:sz w:val="24"/>
          <w:szCs w:val="24"/>
        </w:rPr>
        <w:t>内部储备</w:t>
      </w:r>
      <w:bookmarkEnd w:id="16"/>
    </w:p>
    <w:p>
      <w:pPr>
        <w:pStyle w:val="28"/>
        <w:widowControl/>
        <w:spacing w:line="360" w:lineRule="auto"/>
        <w:ind w:left="840" w:firstLine="0"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1</w:t>
      </w:r>
      <w:r>
        <w:rPr>
          <w:rFonts w:hint="eastAsia" w:ascii="宋体" w:hAnsi="宋体" w:cs="宋体"/>
          <w:sz w:val="24"/>
          <w:szCs w:val="24"/>
        </w:rPr>
        <w:t>：建立核心人才库</w:t>
      </w:r>
    </w:p>
    <w:p>
      <w:pPr>
        <w:widowControl/>
        <w:spacing w:line="360" w:lineRule="auto"/>
        <w:ind w:firstLine="360" w:firstLineChars="150"/>
        <w:jc w:val="left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对公司现有员工做好信息，特长，发展方向的统计，及时了解人才库情况。</w:t>
      </w:r>
    </w:p>
    <w:p>
      <w:pPr>
        <w:pStyle w:val="28"/>
        <w:widowControl/>
        <w:spacing w:line="360" w:lineRule="auto"/>
        <w:ind w:left="840" w:firstLine="0" w:firstLineChars="0"/>
        <w:jc w:val="left"/>
        <w:outlineLvl w:val="3"/>
        <w:rPr>
          <w:rFonts w:ascii="宋体" w:cs="Times New Roman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2</w:t>
      </w:r>
      <w:r>
        <w:rPr>
          <w:rFonts w:hint="eastAsia" w:ascii="宋体" w:hAnsi="宋体" w:cs="宋体"/>
          <w:sz w:val="24"/>
          <w:szCs w:val="24"/>
        </w:rPr>
        <w:t>：内聘竞聘：</w:t>
      </w:r>
    </w:p>
    <w:p>
      <w:pPr>
        <w:widowControl/>
        <w:spacing w:line="360" w:lineRule="auto"/>
        <w:ind w:firstLine="420" w:firstLineChars="175"/>
        <w:jc w:val="left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通过公平公正公开的形式选拔内部员工。</w:t>
      </w:r>
    </w:p>
    <w:p>
      <w:pPr>
        <w:pStyle w:val="28"/>
        <w:widowControl/>
        <w:spacing w:line="360" w:lineRule="auto"/>
        <w:ind w:left="840" w:firstLine="120" w:firstLineChars="50"/>
        <w:jc w:val="left"/>
        <w:rPr>
          <w:rFonts w:ascii="宋体" w:cs="Times New Roman"/>
          <w:sz w:val="24"/>
          <w:szCs w:val="24"/>
        </w:rPr>
      </w:pPr>
    </w:p>
    <w:p>
      <w:pPr>
        <w:pStyle w:val="2"/>
        <w:autoSpaceDE w:val="0"/>
        <w:autoSpaceDN w:val="0"/>
        <w:adjustRightInd w:val="0"/>
        <w:spacing w:line="360" w:lineRule="auto"/>
        <w:ind w:left="340" w:hanging="340"/>
        <w:rPr>
          <w:rFonts w:ascii="宋体"/>
          <w:sz w:val="32"/>
          <w:szCs w:val="32"/>
        </w:rPr>
      </w:pPr>
      <w:bookmarkStart w:id="17" w:name="_Toc10879"/>
      <w:r>
        <w:rPr>
          <w:rFonts w:hint="eastAsia" w:ascii="宋体" w:hAnsi="宋体" w:cs="宋体"/>
          <w:sz w:val="32"/>
          <w:szCs w:val="32"/>
        </w:rPr>
        <w:t>第六条</w:t>
      </w:r>
      <w:r>
        <w:rPr>
          <w:rFonts w:ascii="宋体" w:hAnsi="宋体" w:cs="宋体"/>
          <w:sz w:val="32"/>
          <w:szCs w:val="32"/>
        </w:rPr>
        <w:t xml:space="preserve"> </w:t>
      </w:r>
      <w:r>
        <w:rPr>
          <w:rFonts w:hint="eastAsia" w:ascii="宋体" w:hAnsi="宋体" w:cs="宋体"/>
          <w:sz w:val="32"/>
          <w:szCs w:val="32"/>
        </w:rPr>
        <w:t>建立人才培养、用人，留人制度</w:t>
      </w:r>
      <w:bookmarkEnd w:id="17"/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要想留住人才就要给人才广阔的发展空间，同时要建立科学有效的激励机制。要防止人才流失就必须有激励机制，对不同的人才要有不同的激励方法。</w:t>
      </w:r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为了企业长久发展，为了留住企业有用人才，要根据不同的岗位，不同的职责，作相应的培训，并且要加大培训力度，建立技术岗位、管理岗位的人才储备库，做好人才预警机制，并且用人要明，要任人唯贤，要唯才是举。给予企业内特殊人才一些特殊的政策，并且制定相应的组织结构，打造人性化的工作环境和福利制度。</w:t>
      </w:r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人力资源是企业最重要的资源，是企业制胜的利器，企业要想获得竞争优势，必须拥有一支高素质的队伍，而高素质队伍的建立，需要企业不断提高培训能力，员工培训是现代企业必不可少的投资，只有通过培训，激励等方式最大程度的开发和利用人力资源，才能使员工的的个人价值得到体现，企业得到长足发展。</w:t>
      </w:r>
    </w:p>
    <w:p>
      <w:pPr>
        <w:pStyle w:val="3"/>
        <w:spacing w:line="360" w:lineRule="auto"/>
        <w:rPr>
          <w:rFonts w:ascii="宋体"/>
          <w:bCs w:val="0"/>
        </w:rPr>
      </w:pPr>
      <w:bookmarkStart w:id="18" w:name="_Toc20848"/>
      <w:r>
        <w:rPr>
          <w:rFonts w:ascii="宋体" w:hAnsi="宋体" w:cs="宋体"/>
          <w:bCs w:val="0"/>
        </w:rPr>
        <w:t>6.1</w:t>
      </w:r>
      <w:r>
        <w:rPr>
          <w:rFonts w:hint="eastAsia" w:ascii="宋体" w:hAnsi="宋体" w:cs="宋体"/>
          <w:bCs w:val="0"/>
        </w:rPr>
        <w:t>在企业内部建立实习生实训基地</w:t>
      </w:r>
      <w:bookmarkEnd w:id="18"/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大学生实习期间可以直接到企业“上岗”，企业不仅对其进行免费培训，还有每月最低生活保障。而这部分毕业生实习期满后就成了企业优秀的后备人员。</w:t>
      </w:r>
    </w:p>
    <w:p>
      <w:pPr>
        <w:pStyle w:val="3"/>
        <w:spacing w:line="360" w:lineRule="auto"/>
        <w:rPr>
          <w:rFonts w:ascii="宋体"/>
          <w:bCs w:val="0"/>
        </w:rPr>
      </w:pPr>
      <w:bookmarkStart w:id="19" w:name="_Toc7835"/>
      <w:r>
        <w:rPr>
          <w:rFonts w:ascii="宋体" w:hAnsi="宋体" w:cs="宋体"/>
          <w:bCs w:val="0"/>
        </w:rPr>
        <w:t>6.2</w:t>
      </w:r>
      <w:r>
        <w:rPr>
          <w:rFonts w:hint="eastAsia" w:ascii="宋体" w:hAnsi="宋体" w:cs="宋体"/>
          <w:bCs w:val="0"/>
        </w:rPr>
        <w:t>内部晋升，疏通上升通道</w:t>
      </w:r>
      <w:bookmarkEnd w:id="19"/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通过内部晋升，把组织发展形成的岗位空缺留给内部职工，使员工与企业共同获得发展，增加员工尤其是优秀员工对企业的忠诚度。</w:t>
      </w:r>
    </w:p>
    <w:p>
      <w:pPr>
        <w:pStyle w:val="3"/>
        <w:spacing w:line="360" w:lineRule="auto"/>
        <w:rPr>
          <w:rFonts w:ascii="宋体"/>
          <w:bCs w:val="0"/>
        </w:rPr>
      </w:pPr>
      <w:bookmarkStart w:id="20" w:name="_Toc147"/>
      <w:r>
        <w:rPr>
          <w:rFonts w:ascii="宋体" w:hAnsi="宋体" w:cs="宋体"/>
          <w:bCs w:val="0"/>
        </w:rPr>
        <w:t>6.3</w:t>
      </w:r>
      <w:r>
        <w:rPr>
          <w:rFonts w:hint="eastAsia" w:ascii="宋体" w:hAnsi="宋体" w:cs="宋体"/>
          <w:bCs w:val="0"/>
        </w:rPr>
        <w:t>与各大院校建立长期的合作关系</w:t>
      </w:r>
      <w:bookmarkEnd w:id="20"/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根据公司当前紧缺的专业人才需求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与各大院校建立起长期的合作关系。在公司内建立毕业生实习基地，为广大毕业生提供一个提前适应工作岗位的平台。建立大学生实践基地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可以在招聘高峰到来之前吸引到高学历的优秀人才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特别是本地的毕业生，减少企业搜寻人才的成本：可以很好地缓和企业人才短缺的危机，对于企业形象的对外宣传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也不失为一个途径。</w:t>
      </w:r>
    </w:p>
    <w:p>
      <w:pPr>
        <w:pStyle w:val="3"/>
        <w:spacing w:line="360" w:lineRule="auto"/>
        <w:rPr>
          <w:rFonts w:ascii="宋体"/>
          <w:bCs w:val="0"/>
        </w:rPr>
      </w:pPr>
      <w:bookmarkStart w:id="21" w:name="_Toc4080"/>
      <w:r>
        <w:rPr>
          <w:rFonts w:ascii="宋体" w:hAnsi="宋体" w:cs="宋体"/>
          <w:bCs w:val="0"/>
        </w:rPr>
        <w:t>6.4</w:t>
      </w:r>
      <w:r>
        <w:rPr>
          <w:rFonts w:hint="eastAsia" w:ascii="宋体" w:hAnsi="宋体" w:cs="宋体"/>
          <w:bCs w:val="0"/>
        </w:rPr>
        <w:t>与培训机构建立长期的合作关系</w:t>
      </w:r>
      <w:bookmarkEnd w:id="21"/>
    </w:p>
    <w:p>
      <w:pPr>
        <w:adjustRightInd w:val="0"/>
        <w:snapToGrid w:val="0"/>
        <w:spacing w:line="360" w:lineRule="auto"/>
        <w:ind w:firstLine="420"/>
        <w:rPr>
          <w:rFonts w:ascii="宋体" w:cs="Times New Roman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根据公司当前紧缺的专业人才需求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与相关培训机构建立起长期的合作关系。在招聘高峰到来之前吸引到符合行业技术标准的优秀人才</w:t>
      </w:r>
      <w:r>
        <w:rPr>
          <w:rFonts w:ascii="宋体" w:cs="宋体"/>
          <w:sz w:val="24"/>
          <w:szCs w:val="24"/>
        </w:rPr>
        <w:t>,</w:t>
      </w:r>
      <w:r>
        <w:rPr>
          <w:rFonts w:hint="eastAsia" w:ascii="宋体" w:hAnsi="宋体" w:cs="宋体"/>
          <w:sz w:val="24"/>
          <w:szCs w:val="24"/>
        </w:rPr>
        <w:t>特别是本地的人才，可以很好地缓和并保证公司的人才储备。</w:t>
      </w:r>
    </w:p>
    <w:p>
      <w:pPr>
        <w:adjustRightInd w:val="0"/>
        <w:snapToGrid w:val="0"/>
        <w:spacing w:line="360" w:lineRule="auto"/>
        <w:ind w:firstLine="480" w:firstLineChars="200"/>
        <w:rPr>
          <w:rFonts w:ascii="宋体" w:cs="Times New Roman"/>
          <w:sz w:val="24"/>
          <w:szCs w:val="24"/>
        </w:rPr>
      </w:pPr>
    </w:p>
    <w:sectPr>
      <w:footerReference r:id="rId9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</w:pP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24</w:t>
    </w:r>
    <w:r>
      <w:rPr>
        <w:b/>
        <w:bCs/>
        <w:sz w:val="24"/>
        <w:szCs w:val="24"/>
      </w:rPr>
      <w:fldChar w:fldCharType="end"/>
    </w:r>
  </w:p>
  <w:p>
    <w:pPr>
      <w:pStyle w:val="1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ind w:left="480"/>
      <w:rPr>
        <w:rFonts w:cs="Times New Roma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t xml:space="preserve"> 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0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0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t xml:space="preserve">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  <w:tabs>
        <w:tab w:val="center" w:pos="4873"/>
        <w:tab w:val="right" w:pos="9746"/>
        <w:tab w:val="clear" w:pos="4153"/>
        <w:tab w:val="clear" w:pos="8306"/>
      </w:tabs>
      <w:jc w:val="center"/>
    </w:pPr>
    <w:r>
      <w:rPr>
        <w:rFonts w:hint="eastAsia"/>
      </w:rPr>
      <w:t>青岛九邮信息技术有限公司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auto" w:sz="4" w:space="0"/>
      </w:pBdr>
      <w:ind w:left="480"/>
      <w:jc w:val="center"/>
      <w:rPr>
        <w:rFonts w:cs="Times New Roman"/>
        <w:u w:val="single"/>
      </w:rPr>
    </w:pPr>
    <w:r>
      <w:rPr>
        <w:rFonts w:hint="eastAsia" w:cs="Times New Roman"/>
      </w:rPr>
      <w:t>青岛九邮信息技术有限公司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bottom w:val="single" w:color="auto" w:sz="4" w:space="0"/>
      </w:pBdr>
      <w:spacing w:line="360" w:lineRule="auto"/>
      <w:jc w:val="center"/>
      <w:rPr>
        <w:rFonts w:hint="default" w:eastAsia="宋体" w:cs="Times New Roman"/>
        <w:u w:val="none"/>
        <w:lang w:val="en-US" w:eastAsia="zh-CN"/>
      </w:rPr>
    </w:pPr>
    <w:r>
      <w:rPr>
        <w:rFonts w:hint="eastAsia" w:cs="Times New Roman"/>
        <w:u w:val="none"/>
        <w:lang w:val="en-US" w:eastAsia="zh-CN"/>
      </w:rPr>
      <w:t>青岛九邮信息技术有限公司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F959BD"/>
    <w:multiLevelType w:val="multilevel"/>
    <w:tmpl w:val="08F959BD"/>
    <w:lvl w:ilvl="0" w:tentative="0">
      <w:start w:val="1"/>
      <w:numFmt w:val="decimal"/>
      <w:lvlText w:val="%1)"/>
      <w:lvlJc w:val="left"/>
      <w:pPr>
        <w:ind w:left="960" w:hanging="420"/>
      </w:pPr>
    </w:lvl>
    <w:lvl w:ilvl="1" w:tentative="0">
      <w:start w:val="1"/>
      <w:numFmt w:val="lowerLetter"/>
      <w:lvlText w:val="%2)"/>
      <w:lvlJc w:val="left"/>
      <w:pPr>
        <w:ind w:left="1380" w:hanging="420"/>
      </w:pPr>
    </w:lvl>
    <w:lvl w:ilvl="2" w:tentative="0">
      <w:start w:val="1"/>
      <w:numFmt w:val="lowerRoman"/>
      <w:lvlText w:val="%3."/>
      <w:lvlJc w:val="right"/>
      <w:pPr>
        <w:ind w:left="1800" w:hanging="420"/>
      </w:pPr>
    </w:lvl>
    <w:lvl w:ilvl="3" w:tentative="0">
      <w:start w:val="1"/>
      <w:numFmt w:val="decimal"/>
      <w:lvlText w:val="%4."/>
      <w:lvlJc w:val="left"/>
      <w:pPr>
        <w:ind w:left="2220" w:hanging="420"/>
      </w:pPr>
    </w:lvl>
    <w:lvl w:ilvl="4" w:tentative="0">
      <w:start w:val="1"/>
      <w:numFmt w:val="lowerLetter"/>
      <w:lvlText w:val="%5)"/>
      <w:lvlJc w:val="left"/>
      <w:pPr>
        <w:ind w:left="2640" w:hanging="420"/>
      </w:pPr>
    </w:lvl>
    <w:lvl w:ilvl="5" w:tentative="0">
      <w:start w:val="1"/>
      <w:numFmt w:val="lowerRoman"/>
      <w:lvlText w:val="%6."/>
      <w:lvlJc w:val="right"/>
      <w:pPr>
        <w:ind w:left="3060" w:hanging="420"/>
      </w:pPr>
    </w:lvl>
    <w:lvl w:ilvl="6" w:tentative="0">
      <w:start w:val="1"/>
      <w:numFmt w:val="decimal"/>
      <w:lvlText w:val="%7."/>
      <w:lvlJc w:val="left"/>
      <w:pPr>
        <w:ind w:left="3480" w:hanging="420"/>
      </w:pPr>
    </w:lvl>
    <w:lvl w:ilvl="7" w:tentative="0">
      <w:start w:val="1"/>
      <w:numFmt w:val="lowerLetter"/>
      <w:lvlText w:val="%8)"/>
      <w:lvlJc w:val="left"/>
      <w:pPr>
        <w:ind w:left="3900" w:hanging="420"/>
      </w:pPr>
    </w:lvl>
    <w:lvl w:ilvl="8" w:tentative="0">
      <w:start w:val="1"/>
      <w:numFmt w:val="lowerRoman"/>
      <w:lvlText w:val="%9."/>
      <w:lvlJc w:val="right"/>
      <w:pPr>
        <w:ind w:left="4320" w:hanging="420"/>
      </w:pPr>
    </w:lvl>
  </w:abstractNum>
  <w:abstractNum w:abstractNumId="1">
    <w:nsid w:val="1C4A6A32"/>
    <w:multiLevelType w:val="multilevel"/>
    <w:tmpl w:val="1C4A6A32"/>
    <w:lvl w:ilvl="0" w:tentative="0">
      <w:start w:val="1"/>
      <w:numFmt w:val="lowerLetter"/>
      <w:lvlText w:val="%1)"/>
      <w:lvlJc w:val="left"/>
      <w:pPr>
        <w:ind w:left="1380" w:hanging="420"/>
      </w:pPr>
    </w:lvl>
    <w:lvl w:ilvl="1" w:tentative="0">
      <w:start w:val="1"/>
      <w:numFmt w:val="lowerLetter"/>
      <w:lvlText w:val="%2)"/>
      <w:lvlJc w:val="left"/>
      <w:pPr>
        <w:ind w:left="1800" w:hanging="420"/>
      </w:pPr>
    </w:lvl>
    <w:lvl w:ilvl="2" w:tentative="0">
      <w:start w:val="1"/>
      <w:numFmt w:val="lowerRoman"/>
      <w:lvlText w:val="%3."/>
      <w:lvlJc w:val="right"/>
      <w:pPr>
        <w:ind w:left="2220" w:hanging="420"/>
      </w:pPr>
    </w:lvl>
    <w:lvl w:ilvl="3" w:tentative="0">
      <w:start w:val="1"/>
      <w:numFmt w:val="decimal"/>
      <w:lvlText w:val="%4."/>
      <w:lvlJc w:val="left"/>
      <w:pPr>
        <w:ind w:left="2640" w:hanging="420"/>
      </w:pPr>
    </w:lvl>
    <w:lvl w:ilvl="4" w:tentative="0">
      <w:start w:val="1"/>
      <w:numFmt w:val="lowerLetter"/>
      <w:lvlText w:val="%5)"/>
      <w:lvlJc w:val="left"/>
      <w:pPr>
        <w:ind w:left="3060" w:hanging="420"/>
      </w:pPr>
    </w:lvl>
    <w:lvl w:ilvl="5" w:tentative="0">
      <w:start w:val="1"/>
      <w:numFmt w:val="lowerRoman"/>
      <w:lvlText w:val="%6."/>
      <w:lvlJc w:val="right"/>
      <w:pPr>
        <w:ind w:left="3480" w:hanging="420"/>
      </w:pPr>
    </w:lvl>
    <w:lvl w:ilvl="6" w:tentative="0">
      <w:start w:val="1"/>
      <w:numFmt w:val="decimal"/>
      <w:lvlText w:val="%7."/>
      <w:lvlJc w:val="left"/>
      <w:pPr>
        <w:ind w:left="3900" w:hanging="420"/>
      </w:pPr>
    </w:lvl>
    <w:lvl w:ilvl="7" w:tentative="0">
      <w:start w:val="1"/>
      <w:numFmt w:val="lowerLetter"/>
      <w:lvlText w:val="%8)"/>
      <w:lvlJc w:val="left"/>
      <w:pPr>
        <w:ind w:left="4320" w:hanging="420"/>
      </w:pPr>
    </w:lvl>
    <w:lvl w:ilvl="8" w:tentative="0">
      <w:start w:val="1"/>
      <w:numFmt w:val="lowerRoman"/>
      <w:lvlText w:val="%9."/>
      <w:lvlJc w:val="right"/>
      <w:pPr>
        <w:ind w:left="4740" w:hanging="420"/>
      </w:pPr>
    </w:lvl>
  </w:abstractNum>
  <w:abstractNum w:abstractNumId="2">
    <w:nsid w:val="20F51E75"/>
    <w:multiLevelType w:val="multilevel"/>
    <w:tmpl w:val="20F51E75"/>
    <w:lvl w:ilvl="0" w:tentative="0">
      <w:start w:val="1"/>
      <w:numFmt w:val="lowerLetter"/>
      <w:lvlText w:val="%1)"/>
      <w:lvlJc w:val="left"/>
      <w:pPr>
        <w:ind w:left="1380" w:hanging="420"/>
      </w:pPr>
    </w:lvl>
    <w:lvl w:ilvl="1" w:tentative="0">
      <w:start w:val="1"/>
      <w:numFmt w:val="lowerLetter"/>
      <w:lvlText w:val="%2)"/>
      <w:lvlJc w:val="left"/>
      <w:pPr>
        <w:ind w:left="1800" w:hanging="420"/>
      </w:pPr>
    </w:lvl>
    <w:lvl w:ilvl="2" w:tentative="0">
      <w:start w:val="1"/>
      <w:numFmt w:val="lowerRoman"/>
      <w:lvlText w:val="%3."/>
      <w:lvlJc w:val="right"/>
      <w:pPr>
        <w:ind w:left="2220" w:hanging="420"/>
      </w:pPr>
    </w:lvl>
    <w:lvl w:ilvl="3" w:tentative="0">
      <w:start w:val="1"/>
      <w:numFmt w:val="decimal"/>
      <w:lvlText w:val="%4."/>
      <w:lvlJc w:val="left"/>
      <w:pPr>
        <w:ind w:left="2640" w:hanging="420"/>
      </w:pPr>
    </w:lvl>
    <w:lvl w:ilvl="4" w:tentative="0">
      <w:start w:val="1"/>
      <w:numFmt w:val="lowerLetter"/>
      <w:lvlText w:val="%5)"/>
      <w:lvlJc w:val="left"/>
      <w:pPr>
        <w:ind w:left="3060" w:hanging="420"/>
      </w:pPr>
    </w:lvl>
    <w:lvl w:ilvl="5" w:tentative="0">
      <w:start w:val="1"/>
      <w:numFmt w:val="lowerRoman"/>
      <w:lvlText w:val="%6."/>
      <w:lvlJc w:val="right"/>
      <w:pPr>
        <w:ind w:left="3480" w:hanging="420"/>
      </w:pPr>
    </w:lvl>
    <w:lvl w:ilvl="6" w:tentative="0">
      <w:start w:val="1"/>
      <w:numFmt w:val="decimal"/>
      <w:lvlText w:val="%7."/>
      <w:lvlJc w:val="left"/>
      <w:pPr>
        <w:ind w:left="3900" w:hanging="420"/>
      </w:pPr>
    </w:lvl>
    <w:lvl w:ilvl="7" w:tentative="0">
      <w:start w:val="1"/>
      <w:numFmt w:val="lowerLetter"/>
      <w:lvlText w:val="%8)"/>
      <w:lvlJc w:val="left"/>
      <w:pPr>
        <w:ind w:left="4320" w:hanging="420"/>
      </w:pPr>
    </w:lvl>
    <w:lvl w:ilvl="8" w:tentative="0">
      <w:start w:val="1"/>
      <w:numFmt w:val="lowerRoman"/>
      <w:lvlText w:val="%9."/>
      <w:lvlJc w:val="right"/>
      <w:pPr>
        <w:ind w:left="4740" w:hanging="420"/>
      </w:pPr>
    </w:lvl>
  </w:abstractNum>
  <w:abstractNum w:abstractNumId="3">
    <w:nsid w:val="248C51D4"/>
    <w:multiLevelType w:val="multilevel"/>
    <w:tmpl w:val="248C51D4"/>
    <w:lvl w:ilvl="0" w:tentative="0">
      <w:start w:val="1"/>
      <w:numFmt w:val="lowerLetter"/>
      <w:lvlText w:val="%1)"/>
      <w:lvlJc w:val="left"/>
      <w:pPr>
        <w:ind w:left="1380" w:hanging="420"/>
      </w:pPr>
    </w:lvl>
    <w:lvl w:ilvl="1" w:tentative="0">
      <w:start w:val="1"/>
      <w:numFmt w:val="lowerLetter"/>
      <w:lvlText w:val="%2)"/>
      <w:lvlJc w:val="left"/>
      <w:pPr>
        <w:ind w:left="1800" w:hanging="420"/>
      </w:pPr>
    </w:lvl>
    <w:lvl w:ilvl="2" w:tentative="0">
      <w:start w:val="1"/>
      <w:numFmt w:val="lowerRoman"/>
      <w:lvlText w:val="%3."/>
      <w:lvlJc w:val="right"/>
      <w:pPr>
        <w:ind w:left="2220" w:hanging="420"/>
      </w:pPr>
    </w:lvl>
    <w:lvl w:ilvl="3" w:tentative="0">
      <w:start w:val="1"/>
      <w:numFmt w:val="decimal"/>
      <w:lvlText w:val="%4."/>
      <w:lvlJc w:val="left"/>
      <w:pPr>
        <w:ind w:left="2640" w:hanging="420"/>
      </w:pPr>
    </w:lvl>
    <w:lvl w:ilvl="4" w:tentative="0">
      <w:start w:val="1"/>
      <w:numFmt w:val="lowerLetter"/>
      <w:lvlText w:val="%5)"/>
      <w:lvlJc w:val="left"/>
      <w:pPr>
        <w:ind w:left="3060" w:hanging="420"/>
      </w:pPr>
    </w:lvl>
    <w:lvl w:ilvl="5" w:tentative="0">
      <w:start w:val="1"/>
      <w:numFmt w:val="lowerRoman"/>
      <w:lvlText w:val="%6."/>
      <w:lvlJc w:val="right"/>
      <w:pPr>
        <w:ind w:left="3480" w:hanging="420"/>
      </w:pPr>
    </w:lvl>
    <w:lvl w:ilvl="6" w:tentative="0">
      <w:start w:val="1"/>
      <w:numFmt w:val="decimal"/>
      <w:lvlText w:val="%7."/>
      <w:lvlJc w:val="left"/>
      <w:pPr>
        <w:ind w:left="3900" w:hanging="420"/>
      </w:pPr>
    </w:lvl>
    <w:lvl w:ilvl="7" w:tentative="0">
      <w:start w:val="1"/>
      <w:numFmt w:val="lowerLetter"/>
      <w:lvlText w:val="%8)"/>
      <w:lvlJc w:val="left"/>
      <w:pPr>
        <w:ind w:left="4320" w:hanging="420"/>
      </w:pPr>
    </w:lvl>
    <w:lvl w:ilvl="8" w:tentative="0">
      <w:start w:val="1"/>
      <w:numFmt w:val="lowerRoman"/>
      <w:lvlText w:val="%9."/>
      <w:lvlJc w:val="right"/>
      <w:pPr>
        <w:ind w:left="4740" w:hanging="420"/>
      </w:pPr>
    </w:lvl>
  </w:abstractNum>
  <w:abstractNum w:abstractNumId="4">
    <w:nsid w:val="346E11F7"/>
    <w:multiLevelType w:val="multilevel"/>
    <w:tmpl w:val="346E11F7"/>
    <w:lvl w:ilvl="0" w:tentative="0">
      <w:start w:val="1"/>
      <w:numFmt w:val="lowerLetter"/>
      <w:lvlText w:val="%1)"/>
      <w:lvlJc w:val="left"/>
      <w:pPr>
        <w:ind w:left="1380" w:hanging="420"/>
      </w:pPr>
    </w:lvl>
    <w:lvl w:ilvl="1" w:tentative="0">
      <w:start w:val="1"/>
      <w:numFmt w:val="lowerLetter"/>
      <w:lvlText w:val="%2)"/>
      <w:lvlJc w:val="left"/>
      <w:pPr>
        <w:ind w:left="1800" w:hanging="420"/>
      </w:pPr>
    </w:lvl>
    <w:lvl w:ilvl="2" w:tentative="0">
      <w:start w:val="1"/>
      <w:numFmt w:val="lowerRoman"/>
      <w:lvlText w:val="%3."/>
      <w:lvlJc w:val="right"/>
      <w:pPr>
        <w:ind w:left="2220" w:hanging="420"/>
      </w:pPr>
    </w:lvl>
    <w:lvl w:ilvl="3" w:tentative="0">
      <w:start w:val="1"/>
      <w:numFmt w:val="decimal"/>
      <w:lvlText w:val="%4."/>
      <w:lvlJc w:val="left"/>
      <w:pPr>
        <w:ind w:left="2640" w:hanging="420"/>
      </w:pPr>
    </w:lvl>
    <w:lvl w:ilvl="4" w:tentative="0">
      <w:start w:val="1"/>
      <w:numFmt w:val="lowerLetter"/>
      <w:lvlText w:val="%5)"/>
      <w:lvlJc w:val="left"/>
      <w:pPr>
        <w:ind w:left="3060" w:hanging="420"/>
      </w:pPr>
    </w:lvl>
    <w:lvl w:ilvl="5" w:tentative="0">
      <w:start w:val="1"/>
      <w:numFmt w:val="lowerRoman"/>
      <w:lvlText w:val="%6."/>
      <w:lvlJc w:val="right"/>
      <w:pPr>
        <w:ind w:left="3480" w:hanging="420"/>
      </w:pPr>
    </w:lvl>
    <w:lvl w:ilvl="6" w:tentative="0">
      <w:start w:val="1"/>
      <w:numFmt w:val="decimal"/>
      <w:lvlText w:val="%7."/>
      <w:lvlJc w:val="left"/>
      <w:pPr>
        <w:ind w:left="3900" w:hanging="420"/>
      </w:pPr>
    </w:lvl>
    <w:lvl w:ilvl="7" w:tentative="0">
      <w:start w:val="1"/>
      <w:numFmt w:val="lowerLetter"/>
      <w:lvlText w:val="%8)"/>
      <w:lvlJc w:val="left"/>
      <w:pPr>
        <w:ind w:left="4320" w:hanging="420"/>
      </w:pPr>
    </w:lvl>
    <w:lvl w:ilvl="8" w:tentative="0">
      <w:start w:val="1"/>
      <w:numFmt w:val="lowerRoman"/>
      <w:lvlText w:val="%9."/>
      <w:lvlJc w:val="right"/>
      <w:pPr>
        <w:ind w:left="4740" w:hanging="420"/>
      </w:pPr>
    </w:lvl>
  </w:abstractNum>
  <w:abstractNum w:abstractNumId="5">
    <w:nsid w:val="4D2553E5"/>
    <w:multiLevelType w:val="multilevel"/>
    <w:tmpl w:val="4D2553E5"/>
    <w:lvl w:ilvl="0" w:tentative="0">
      <w:start w:val="1"/>
      <w:numFmt w:val="lowerLetter"/>
      <w:lvlText w:val="%1)"/>
      <w:lvlJc w:val="left"/>
      <w:pPr>
        <w:ind w:left="1380" w:hanging="420"/>
      </w:pPr>
    </w:lvl>
    <w:lvl w:ilvl="1" w:tentative="0">
      <w:start w:val="1"/>
      <w:numFmt w:val="lowerLetter"/>
      <w:lvlText w:val="%2)"/>
      <w:lvlJc w:val="left"/>
      <w:pPr>
        <w:ind w:left="1800" w:hanging="420"/>
      </w:pPr>
    </w:lvl>
    <w:lvl w:ilvl="2" w:tentative="0">
      <w:start w:val="1"/>
      <w:numFmt w:val="lowerRoman"/>
      <w:lvlText w:val="%3."/>
      <w:lvlJc w:val="right"/>
      <w:pPr>
        <w:ind w:left="2220" w:hanging="420"/>
      </w:pPr>
    </w:lvl>
    <w:lvl w:ilvl="3" w:tentative="0">
      <w:start w:val="1"/>
      <w:numFmt w:val="decimal"/>
      <w:lvlText w:val="%4."/>
      <w:lvlJc w:val="left"/>
      <w:pPr>
        <w:ind w:left="2640" w:hanging="420"/>
      </w:pPr>
    </w:lvl>
    <w:lvl w:ilvl="4" w:tentative="0">
      <w:start w:val="1"/>
      <w:numFmt w:val="lowerLetter"/>
      <w:lvlText w:val="%5)"/>
      <w:lvlJc w:val="left"/>
      <w:pPr>
        <w:ind w:left="3060" w:hanging="420"/>
      </w:pPr>
    </w:lvl>
    <w:lvl w:ilvl="5" w:tentative="0">
      <w:start w:val="1"/>
      <w:numFmt w:val="lowerRoman"/>
      <w:lvlText w:val="%6."/>
      <w:lvlJc w:val="right"/>
      <w:pPr>
        <w:ind w:left="3480" w:hanging="420"/>
      </w:pPr>
    </w:lvl>
    <w:lvl w:ilvl="6" w:tentative="0">
      <w:start w:val="1"/>
      <w:numFmt w:val="decimal"/>
      <w:lvlText w:val="%7."/>
      <w:lvlJc w:val="left"/>
      <w:pPr>
        <w:ind w:left="3900" w:hanging="420"/>
      </w:pPr>
    </w:lvl>
    <w:lvl w:ilvl="7" w:tentative="0">
      <w:start w:val="1"/>
      <w:numFmt w:val="lowerLetter"/>
      <w:lvlText w:val="%8)"/>
      <w:lvlJc w:val="left"/>
      <w:pPr>
        <w:ind w:left="4320" w:hanging="420"/>
      </w:pPr>
    </w:lvl>
    <w:lvl w:ilvl="8" w:tentative="0">
      <w:start w:val="1"/>
      <w:numFmt w:val="lowerRoman"/>
      <w:lvlText w:val="%9."/>
      <w:lvlJc w:val="right"/>
      <w:pPr>
        <w:ind w:left="4740" w:hanging="420"/>
      </w:pPr>
    </w:lvl>
  </w:abstractNum>
  <w:abstractNum w:abstractNumId="6">
    <w:nsid w:val="6BB00630"/>
    <w:multiLevelType w:val="multilevel"/>
    <w:tmpl w:val="6BB00630"/>
    <w:lvl w:ilvl="0" w:tentative="0">
      <w:start w:val="1"/>
      <w:numFmt w:val="bullet"/>
      <w:lvlText w:val=""/>
      <w:lvlJc w:val="left"/>
      <w:pPr>
        <w:ind w:left="180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"/>
      <w:lvlJc w:val="left"/>
      <w:pPr>
        <w:ind w:left="2220" w:hanging="42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ind w:left="2640" w:hanging="42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"/>
      <w:lvlJc w:val="left"/>
      <w:pPr>
        <w:ind w:left="3060" w:hanging="420"/>
      </w:pPr>
      <w:rPr>
        <w:rFonts w:hint="default" w:ascii="Wingdings" w:hAnsi="Wingdings" w:cs="Wingdings"/>
      </w:rPr>
    </w:lvl>
    <w:lvl w:ilvl="4" w:tentative="0">
      <w:start w:val="1"/>
      <w:numFmt w:val="bullet"/>
      <w:lvlText w:val=""/>
      <w:lvlJc w:val="left"/>
      <w:pPr>
        <w:ind w:left="3480" w:hanging="420"/>
      </w:pPr>
      <w:rPr>
        <w:rFonts w:hint="default" w:ascii="Wingdings" w:hAnsi="Wingdings" w:cs="Wingdings"/>
      </w:rPr>
    </w:lvl>
    <w:lvl w:ilvl="5" w:tentative="0">
      <w:start w:val="1"/>
      <w:numFmt w:val="bullet"/>
      <w:lvlText w:val=""/>
      <w:lvlJc w:val="left"/>
      <w:pPr>
        <w:ind w:left="3900" w:hanging="42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"/>
      <w:lvlJc w:val="left"/>
      <w:pPr>
        <w:ind w:left="4320" w:hanging="420"/>
      </w:pPr>
      <w:rPr>
        <w:rFonts w:hint="default" w:ascii="Wingdings" w:hAnsi="Wingdings" w:cs="Wingdings"/>
      </w:rPr>
    </w:lvl>
    <w:lvl w:ilvl="7" w:tentative="0">
      <w:start w:val="1"/>
      <w:numFmt w:val="bullet"/>
      <w:lvlText w:val=""/>
      <w:lvlJc w:val="left"/>
      <w:pPr>
        <w:ind w:left="474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ind w:left="5160" w:hanging="42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 w:val="1"/>
  <w:bordersDoNotSurroundFooter w:val="1"/>
  <w:doNotTrackMoves/>
  <w:documentProtection w:enforcement="0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ED21D8"/>
    <w:rsid w:val="40C2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qFormat="1" w:unhideWhenUsed="0" w:uiPriority="39" w:semiHidden="0" w:name="toc 3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qFormat="1" w:unhideWhenUsed="0" w:uiPriority="99" w:name="annotation text"/>
    <w:lsdException w:unhideWhenUsed="0" w:uiPriority="99" w:semiHidden="0" w:name="header"/>
    <w:lsdException w:unhideWhenUsed="0" w:uiPriority="0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nhideWhenUsed="0"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nhideWhenUsed="0"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qFormat="1" w:unhideWhenUsed="0" w:uiPriority="99" w:name="Document Map"/>
    <w:lsdException w:uiPriority="99" w:name="Plain Text"/>
    <w:lsdException w:uiPriority="99" w:name="E-mail Signature"/>
    <w:lsdException w:qFormat="1" w:unhideWhenUsed="0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nhideWhenUsed="0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name="Balloon Text"/>
    <w:lsdException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Calibri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9"/>
    <w:pPr>
      <w:keepNext/>
      <w:keepLines/>
      <w:spacing w:before="340" w:after="330" w:line="578" w:lineRule="auto"/>
      <w:outlineLvl w:val="0"/>
    </w:pPr>
    <w:rPr>
      <w:rFonts w:cs="Times New Roman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3"/>
    <w:qFormat/>
    <w:uiPriority w:val="99"/>
    <w:pPr>
      <w:keepNext/>
      <w:keepLines/>
      <w:spacing w:before="260" w:after="260"/>
      <w:outlineLvl w:val="1"/>
    </w:pPr>
    <w:rPr>
      <w:rFonts w:ascii="Calibri Light" w:hAnsi="Calibri Light" w:cs="Times New Roman"/>
      <w:b/>
      <w:bCs/>
      <w:kern w:val="0"/>
      <w:sz w:val="30"/>
      <w:szCs w:val="32"/>
    </w:rPr>
  </w:style>
  <w:style w:type="paragraph" w:styleId="4">
    <w:name w:val="heading 3"/>
    <w:basedOn w:val="1"/>
    <w:next w:val="1"/>
    <w:link w:val="24"/>
    <w:qFormat/>
    <w:uiPriority w:val="99"/>
    <w:pPr>
      <w:keepNext/>
      <w:keepLines/>
      <w:spacing w:before="260" w:after="260" w:line="416" w:lineRule="auto"/>
      <w:outlineLvl w:val="2"/>
    </w:pPr>
    <w:rPr>
      <w:rFonts w:cs="Times New Roman"/>
      <w:b/>
      <w:bCs/>
      <w:kern w:val="0"/>
      <w:sz w:val="32"/>
      <w:szCs w:val="32"/>
    </w:rPr>
  </w:style>
  <w:style w:type="character" w:default="1" w:styleId="18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link w:val="33"/>
    <w:semiHidden/>
    <w:qFormat/>
    <w:uiPriority w:val="99"/>
    <w:rPr>
      <w:rFonts w:ascii="宋体" w:cs="Times New Roman"/>
      <w:kern w:val="0"/>
      <w:sz w:val="18"/>
      <w:szCs w:val="18"/>
    </w:rPr>
  </w:style>
  <w:style w:type="paragraph" w:styleId="6">
    <w:name w:val="annotation text"/>
    <w:basedOn w:val="1"/>
    <w:link w:val="36"/>
    <w:semiHidden/>
    <w:qFormat/>
    <w:uiPriority w:val="99"/>
    <w:pPr>
      <w:jc w:val="left"/>
    </w:pPr>
  </w:style>
  <w:style w:type="paragraph" w:styleId="7">
    <w:name w:val="toc 3"/>
    <w:basedOn w:val="1"/>
    <w:next w:val="1"/>
    <w:qFormat/>
    <w:uiPriority w:val="39"/>
    <w:pPr>
      <w:ind w:left="840" w:leftChars="400"/>
    </w:pPr>
  </w:style>
  <w:style w:type="paragraph" w:styleId="8">
    <w:name w:val="Date"/>
    <w:basedOn w:val="1"/>
    <w:next w:val="1"/>
    <w:link w:val="27"/>
    <w:semiHidden/>
    <w:uiPriority w:val="99"/>
    <w:pPr>
      <w:ind w:left="100" w:leftChars="2500"/>
    </w:pPr>
  </w:style>
  <w:style w:type="paragraph" w:styleId="9">
    <w:name w:val="Balloon Text"/>
    <w:basedOn w:val="1"/>
    <w:link w:val="30"/>
    <w:semiHidden/>
    <w:uiPriority w:val="99"/>
    <w:rPr>
      <w:rFonts w:cs="Times New Roman"/>
      <w:kern w:val="0"/>
      <w:sz w:val="18"/>
      <w:szCs w:val="18"/>
    </w:rPr>
  </w:style>
  <w:style w:type="paragraph" w:styleId="10">
    <w:name w:val="footer"/>
    <w:basedOn w:val="1"/>
    <w:link w:val="26"/>
    <w:uiPriority w:val="0"/>
    <w:pPr>
      <w:tabs>
        <w:tab w:val="center" w:pos="4153"/>
        <w:tab w:val="right" w:pos="8306"/>
      </w:tabs>
      <w:snapToGrid w:val="0"/>
      <w:jc w:val="left"/>
    </w:pPr>
    <w:rPr>
      <w:rFonts w:cs="Times New Roman"/>
      <w:kern w:val="0"/>
      <w:sz w:val="18"/>
      <w:szCs w:val="18"/>
    </w:rPr>
  </w:style>
  <w:style w:type="paragraph" w:styleId="11">
    <w:name w:val="header"/>
    <w:basedOn w:val="1"/>
    <w:link w:val="25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cs="Times New Roman"/>
      <w:kern w:val="0"/>
      <w:sz w:val="18"/>
      <w:szCs w:val="18"/>
    </w:rPr>
  </w:style>
  <w:style w:type="paragraph" w:styleId="12">
    <w:name w:val="toc 1"/>
    <w:basedOn w:val="1"/>
    <w:next w:val="1"/>
    <w:uiPriority w:val="39"/>
    <w:pPr>
      <w:tabs>
        <w:tab w:val="right" w:leader="dot" w:pos="8296"/>
      </w:tabs>
      <w:spacing w:before="93" w:beforeLines="30" w:after="93" w:afterLines="30"/>
      <w:jc w:val="center"/>
    </w:pPr>
    <w:rPr>
      <w:b/>
      <w:sz w:val="44"/>
      <w:szCs w:val="44"/>
    </w:rPr>
  </w:style>
  <w:style w:type="paragraph" w:styleId="13">
    <w:name w:val="toc 2"/>
    <w:basedOn w:val="1"/>
    <w:next w:val="1"/>
    <w:uiPriority w:val="39"/>
    <w:pPr>
      <w:ind w:left="420" w:leftChars="200"/>
    </w:pPr>
  </w:style>
  <w:style w:type="paragraph" w:styleId="14">
    <w:name w:val="Normal (Web)"/>
    <w:basedOn w:val="1"/>
    <w:semiHidden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5">
    <w:name w:val="annotation subject"/>
    <w:basedOn w:val="6"/>
    <w:next w:val="6"/>
    <w:link w:val="37"/>
    <w:semiHidden/>
    <w:uiPriority w:val="99"/>
    <w:rPr>
      <w:rFonts w:cs="Times New Roman"/>
      <w:b/>
      <w:bCs/>
      <w:kern w:val="0"/>
      <w:sz w:val="20"/>
      <w:szCs w:val="20"/>
    </w:rPr>
  </w:style>
  <w:style w:type="table" w:styleId="17">
    <w:name w:val="Table Grid"/>
    <w:basedOn w:val="16"/>
    <w:uiPriority w:val="99"/>
    <w:rPr>
      <w:rFonts w:cs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page number"/>
    <w:basedOn w:val="18"/>
    <w:uiPriority w:val="99"/>
  </w:style>
  <w:style w:type="character" w:styleId="20">
    <w:name w:val="Hyperlink"/>
    <w:uiPriority w:val="99"/>
    <w:rPr>
      <w:color w:val="0563C1"/>
      <w:u w:val="single"/>
    </w:rPr>
  </w:style>
  <w:style w:type="character" w:styleId="21">
    <w:name w:val="annotation reference"/>
    <w:semiHidden/>
    <w:uiPriority w:val="99"/>
    <w:rPr>
      <w:sz w:val="21"/>
      <w:szCs w:val="21"/>
    </w:rPr>
  </w:style>
  <w:style w:type="character" w:customStyle="1" w:styleId="22">
    <w:name w:val="标题 1 字符"/>
    <w:link w:val="2"/>
    <w:locked/>
    <w:uiPriority w:val="99"/>
    <w:rPr>
      <w:b/>
      <w:bCs/>
      <w:kern w:val="44"/>
      <w:sz w:val="44"/>
      <w:szCs w:val="44"/>
    </w:rPr>
  </w:style>
  <w:style w:type="character" w:customStyle="1" w:styleId="23">
    <w:name w:val="标题 2 字符"/>
    <w:link w:val="3"/>
    <w:locked/>
    <w:uiPriority w:val="99"/>
    <w:rPr>
      <w:rFonts w:ascii="Calibri Light" w:hAnsi="Calibri Light"/>
      <w:b/>
      <w:bCs/>
      <w:sz w:val="30"/>
      <w:szCs w:val="32"/>
    </w:rPr>
  </w:style>
  <w:style w:type="character" w:customStyle="1" w:styleId="24">
    <w:name w:val="标题 3 字符"/>
    <w:link w:val="4"/>
    <w:locked/>
    <w:uiPriority w:val="99"/>
    <w:rPr>
      <w:b/>
      <w:bCs/>
      <w:sz w:val="32"/>
      <w:szCs w:val="32"/>
    </w:rPr>
  </w:style>
  <w:style w:type="character" w:customStyle="1" w:styleId="25">
    <w:name w:val="页眉 字符"/>
    <w:link w:val="11"/>
    <w:qFormat/>
    <w:locked/>
    <w:uiPriority w:val="99"/>
    <w:rPr>
      <w:sz w:val="18"/>
      <w:szCs w:val="18"/>
    </w:rPr>
  </w:style>
  <w:style w:type="character" w:customStyle="1" w:styleId="26">
    <w:name w:val="页脚 字符"/>
    <w:link w:val="10"/>
    <w:locked/>
    <w:uiPriority w:val="0"/>
    <w:rPr>
      <w:sz w:val="18"/>
      <w:szCs w:val="18"/>
    </w:rPr>
  </w:style>
  <w:style w:type="character" w:customStyle="1" w:styleId="27">
    <w:name w:val="日期 字符"/>
    <w:basedOn w:val="18"/>
    <w:link w:val="8"/>
    <w:semiHidden/>
    <w:locked/>
    <w:uiPriority w:val="99"/>
  </w:style>
  <w:style w:type="paragraph" w:customStyle="1" w:styleId="28">
    <w:name w:val="List Paragraph"/>
    <w:basedOn w:val="1"/>
    <w:qFormat/>
    <w:uiPriority w:val="99"/>
    <w:pPr>
      <w:ind w:firstLine="420" w:firstLineChars="200"/>
    </w:pPr>
  </w:style>
  <w:style w:type="paragraph" w:customStyle="1" w:styleId="29">
    <w:name w:val="TOC 标题1"/>
    <w:basedOn w:val="2"/>
    <w:next w:val="1"/>
    <w:qFormat/>
    <w:uiPriority w:val="99"/>
    <w:pPr>
      <w:widowControl/>
      <w:spacing w:before="240" w:after="0" w:line="259" w:lineRule="auto"/>
      <w:jc w:val="left"/>
      <w:outlineLvl w:val="9"/>
    </w:pPr>
    <w:rPr>
      <w:rFonts w:ascii="Calibri Light" w:hAnsi="Calibri Light" w:cs="Calibri Light"/>
      <w:b w:val="0"/>
      <w:bCs w:val="0"/>
      <w:color w:val="2E74B5"/>
      <w:kern w:val="0"/>
      <w:sz w:val="32"/>
      <w:szCs w:val="32"/>
    </w:rPr>
  </w:style>
  <w:style w:type="character" w:customStyle="1" w:styleId="30">
    <w:name w:val="批注框文本 字符"/>
    <w:link w:val="9"/>
    <w:semiHidden/>
    <w:qFormat/>
    <w:locked/>
    <w:uiPriority w:val="99"/>
    <w:rPr>
      <w:sz w:val="18"/>
      <w:szCs w:val="18"/>
    </w:rPr>
  </w:style>
  <w:style w:type="paragraph" w:customStyle="1" w:styleId="31">
    <w:name w:val="No Spacing"/>
    <w:link w:val="32"/>
    <w:qFormat/>
    <w:uiPriority w:val="99"/>
    <w:rPr>
      <w:rFonts w:ascii="Calibri" w:hAnsi="Calibri" w:eastAsia="宋体" w:cs="Calibri"/>
      <w:sz w:val="22"/>
      <w:szCs w:val="22"/>
      <w:lang w:val="en-US" w:eastAsia="zh-CN" w:bidi="ar-SA"/>
    </w:rPr>
  </w:style>
  <w:style w:type="character" w:customStyle="1" w:styleId="32">
    <w:name w:val="无间隔 字符"/>
    <w:link w:val="31"/>
    <w:locked/>
    <w:uiPriority w:val="99"/>
    <w:rPr>
      <w:rFonts w:cs="Calibri"/>
      <w:sz w:val="22"/>
      <w:szCs w:val="22"/>
      <w:lang w:val="en-US" w:eastAsia="zh-CN" w:bidi="ar-SA"/>
    </w:rPr>
  </w:style>
  <w:style w:type="character" w:customStyle="1" w:styleId="33">
    <w:name w:val="文档结构图 字符"/>
    <w:link w:val="5"/>
    <w:semiHidden/>
    <w:locked/>
    <w:uiPriority w:val="99"/>
    <w:rPr>
      <w:rFonts w:ascii="宋体" w:eastAsia="宋体" w:cs="宋体"/>
      <w:sz w:val="18"/>
      <w:szCs w:val="18"/>
    </w:rPr>
  </w:style>
  <w:style w:type="paragraph" w:customStyle="1" w:styleId="34">
    <w:name w:val="列出段落1"/>
    <w:basedOn w:val="1"/>
    <w:uiPriority w:val="99"/>
    <w:pPr>
      <w:ind w:firstLine="420" w:firstLineChars="200"/>
    </w:pPr>
  </w:style>
  <w:style w:type="paragraph" w:customStyle="1" w:styleId="35">
    <w:name w:val="reader-word-layer"/>
    <w:basedOn w:val="1"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36">
    <w:name w:val="批注文字 字符"/>
    <w:basedOn w:val="18"/>
    <w:link w:val="6"/>
    <w:semiHidden/>
    <w:locked/>
    <w:uiPriority w:val="99"/>
  </w:style>
  <w:style w:type="character" w:customStyle="1" w:styleId="37">
    <w:name w:val="批注主题 字符"/>
    <w:link w:val="15"/>
    <w:semiHidden/>
    <w:locked/>
    <w:uiPriority w:val="99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9</Pages>
  <Words>757</Words>
  <Characters>4319</Characters>
  <Lines>35</Lines>
  <Paragraphs>10</Paragraphs>
  <TotalTime>2</TotalTime>
  <ScaleCrop>false</ScaleCrop>
  <LinksUpToDate>false</LinksUpToDate>
  <CharactersWithSpaces>5066</CharactersWithSpaces>
  <Application>WPS Office_11.1.0.8986_F1E327BC-269C-435d-A152-05C5408002CA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2014-11-24T14:33:00Z</dcterms:created>
  <dc:creator>孙志辉</dc:creator>
  <cp:lastModifiedBy>MEI大東</cp:lastModifiedBy>
  <cp:lastPrinted>2014-11-25T05:40:00Z</cp:lastPrinted>
  <dcterms:modified xsi:type="dcterms:W3CDTF">2019-09-24T01:19:19Z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2052-11.1.0.8986</vt:lpwstr>
  </property>
</Properties>
</file>