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b/>
          <w:sz w:val="52"/>
        </w:rPr>
      </w:pPr>
    </w:p>
    <w:p>
      <w:pPr>
        <w:jc w:val="center"/>
        <w:rPr>
          <w:rFonts w:ascii="宋体" w:hAnsi="宋体"/>
          <w:sz w:val="52"/>
          <w:szCs w:val="52"/>
        </w:rPr>
      </w:pPr>
      <w:bookmarkStart w:id="0" w:name="OLE_LINK2"/>
      <w:bookmarkStart w:id="1" w:name="OLE_LINK9"/>
      <w:bookmarkStart w:id="2" w:name="OLE_LINK1"/>
      <w:bookmarkStart w:id="3" w:name="OLE_LINK8"/>
      <w:r>
        <w:rPr>
          <w:rFonts w:hint="eastAsia" w:ascii="宋体" w:hAnsi="宋体"/>
          <w:b/>
          <w:sz w:val="52"/>
          <w:szCs w:val="52"/>
          <w:lang w:eastAsia="zh-CN"/>
        </w:rPr>
        <w:t>青岛九邮信息技术</w:t>
      </w:r>
      <w:r>
        <w:rPr>
          <w:rFonts w:hint="eastAsia" w:ascii="宋体" w:hAnsi="宋体"/>
          <w:b/>
          <w:sz w:val="52"/>
          <w:szCs w:val="52"/>
        </w:rPr>
        <w:t>有限公司</w:t>
      </w:r>
    </w:p>
    <w:bookmarkEnd w:id="0"/>
    <w:bookmarkEnd w:id="1"/>
    <w:bookmarkEnd w:id="2"/>
    <w:bookmarkEnd w:id="3"/>
    <w:p>
      <w:pPr>
        <w:jc w:val="center"/>
        <w:rPr>
          <w:rFonts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48"/>
          <w:szCs w:val="52"/>
        </w:rPr>
        <w:t xml:space="preserve"> </w:t>
      </w:r>
      <w:r>
        <w:rPr>
          <w:rFonts w:hint="eastAsia" w:ascii="宋体" w:hAnsi="宋体"/>
          <w:b/>
          <w:sz w:val="48"/>
          <w:szCs w:val="52"/>
          <w:lang w:val="en-US" w:eastAsia="zh-CN"/>
        </w:rPr>
        <w:t>2019</w:t>
      </w:r>
      <w:r>
        <w:rPr>
          <w:rFonts w:hint="eastAsia" w:ascii="宋体" w:hAnsi="宋体"/>
          <w:b/>
          <w:sz w:val="52"/>
        </w:rPr>
        <w:t>年度人员</w:t>
      </w:r>
      <w:r>
        <w:rPr>
          <w:rFonts w:hint="eastAsia" w:ascii="宋体" w:hAnsi="宋体"/>
          <w:b/>
          <w:sz w:val="52"/>
          <w:lang w:eastAsia="zh-CN"/>
        </w:rPr>
        <w:t>招聘、</w:t>
      </w:r>
      <w:r>
        <w:rPr>
          <w:rFonts w:hint="eastAsia" w:ascii="宋体" w:hAnsi="宋体"/>
          <w:b/>
          <w:sz w:val="52"/>
        </w:rPr>
        <w:t>储备计划</w:t>
      </w: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ind w:firstLine="1239" w:firstLineChars="590"/>
      </w:pPr>
    </w:p>
    <w:p/>
    <w:p/>
    <w:p/>
    <w:p/>
    <w:p/>
    <w:p/>
    <w:tbl>
      <w:tblPr>
        <w:tblStyle w:val="9"/>
        <w:tblpPr w:leftFromText="180" w:rightFromText="180" w:vertAnchor="text" w:horzAnchor="page" w:tblpX="1934" w:tblpY="498"/>
        <w:tblOverlap w:val="never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450"/>
        <w:gridCol w:w="1110"/>
        <w:gridCol w:w="1664"/>
        <w:gridCol w:w="1661"/>
        <w:gridCol w:w="16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982" w:type="dxa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编制</w:t>
            </w:r>
          </w:p>
        </w:tc>
        <w:tc>
          <w:tcPr>
            <w:tcW w:w="1450" w:type="dxa"/>
          </w:tcPr>
          <w:p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  <w:t>张莲花</w:t>
            </w:r>
          </w:p>
        </w:tc>
        <w:tc>
          <w:tcPr>
            <w:tcW w:w="1110" w:type="dxa"/>
          </w:tcPr>
          <w:p>
            <w:pPr>
              <w:jc w:val="center"/>
              <w:rPr>
                <w:rFonts w:hint="eastAsia" w:ascii="微软雅黑" w:hAnsi="微软雅黑" w:eastAsia="微软雅黑"/>
                <w:b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lang w:eastAsia="zh-CN"/>
              </w:rPr>
              <w:t>审核</w:t>
            </w:r>
          </w:p>
        </w:tc>
        <w:tc>
          <w:tcPr>
            <w:tcW w:w="1664" w:type="dxa"/>
          </w:tcPr>
          <w:p>
            <w:pPr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吴克</w:t>
            </w:r>
          </w:p>
        </w:tc>
        <w:tc>
          <w:tcPr>
            <w:tcW w:w="1661" w:type="dxa"/>
          </w:tcPr>
          <w:p>
            <w:pPr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  <w:lang w:val="en-US" w:eastAsia="zh-CN"/>
              </w:rPr>
              <w:t>审批</w:t>
            </w:r>
          </w:p>
        </w:tc>
        <w:tc>
          <w:tcPr>
            <w:tcW w:w="1659" w:type="dxa"/>
          </w:tcPr>
          <w:p>
            <w:pPr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孙元朝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2432" w:type="dxa"/>
            <w:gridSpan w:val="2"/>
          </w:tcPr>
          <w:p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2"/>
                <w:szCs w:val="22"/>
                <w:lang w:eastAsia="zh-CN"/>
              </w:rPr>
              <w:t>发布日期</w:t>
            </w:r>
          </w:p>
        </w:tc>
        <w:tc>
          <w:tcPr>
            <w:tcW w:w="6094" w:type="dxa"/>
            <w:gridSpan w:val="4"/>
          </w:tcPr>
          <w:p>
            <w:pPr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2019年1月1日</w:t>
            </w:r>
          </w:p>
        </w:tc>
      </w:tr>
    </w:tbl>
    <w:p/>
    <w:p/>
    <w:p/>
    <w:p>
      <w:pPr>
        <w:spacing w:line="360" w:lineRule="auto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发布、修订记录</w:t>
      </w:r>
    </w:p>
    <w:tbl>
      <w:tblPr>
        <w:tblStyle w:val="9"/>
        <w:tblW w:w="928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479"/>
        <w:gridCol w:w="1550"/>
        <w:gridCol w:w="1459"/>
        <w:gridCol w:w="1566"/>
        <w:gridCol w:w="21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版本号</w:t>
            </w:r>
          </w:p>
        </w:tc>
        <w:tc>
          <w:tcPr>
            <w:tcW w:w="1479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发布日期</w:t>
            </w:r>
          </w:p>
        </w:tc>
        <w:tc>
          <w:tcPr>
            <w:tcW w:w="15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修改人/</w:t>
            </w:r>
          </w:p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修改日期</w:t>
            </w:r>
          </w:p>
        </w:tc>
        <w:tc>
          <w:tcPr>
            <w:tcW w:w="1459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审核人/</w:t>
            </w:r>
          </w:p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审核日期</w:t>
            </w:r>
          </w:p>
        </w:tc>
        <w:tc>
          <w:tcPr>
            <w:tcW w:w="156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批准人/</w:t>
            </w:r>
          </w:p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批准日期</w:t>
            </w:r>
          </w:p>
        </w:tc>
        <w:tc>
          <w:tcPr>
            <w:tcW w:w="2118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修订原因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V1.0</w:t>
            </w:r>
          </w:p>
        </w:tc>
        <w:tc>
          <w:tcPr>
            <w:tcW w:w="1479" w:type="dxa"/>
            <w:vAlign w:val="center"/>
          </w:tcPr>
          <w:p>
            <w:pPr>
              <w:spacing w:after="0" w:afterLines="0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20</w:t>
            </w:r>
            <w:r>
              <w:rPr>
                <w:rFonts w:hint="eastAsia" w:ascii="宋体" w:hAnsi="宋体" w:cs="宋体"/>
                <w:lang w:val="en-US" w:eastAsia="zh-CN"/>
              </w:rPr>
              <w:t>19.1.1</w:t>
            </w:r>
          </w:p>
        </w:tc>
        <w:tc>
          <w:tcPr>
            <w:tcW w:w="1550" w:type="dxa"/>
            <w:vAlign w:val="center"/>
          </w:tcPr>
          <w:p>
            <w:pPr>
              <w:spacing w:after="0" w:afterLines="0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张莲花</w:t>
            </w:r>
          </w:p>
        </w:tc>
        <w:tc>
          <w:tcPr>
            <w:tcW w:w="1459" w:type="dxa"/>
            <w:vAlign w:val="center"/>
          </w:tcPr>
          <w:p>
            <w:pPr>
              <w:spacing w:after="0" w:afterLines="0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吴克</w:t>
            </w:r>
          </w:p>
        </w:tc>
        <w:tc>
          <w:tcPr>
            <w:tcW w:w="1566" w:type="dxa"/>
            <w:vAlign w:val="center"/>
          </w:tcPr>
          <w:p>
            <w:pPr>
              <w:spacing w:after="0" w:afterLine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 w:cs="宋体"/>
                <w:lang w:val="en-US" w:eastAsia="zh-CN"/>
              </w:rPr>
              <w:t>孙元朝</w:t>
            </w:r>
          </w:p>
        </w:tc>
        <w:tc>
          <w:tcPr>
            <w:tcW w:w="2118" w:type="dxa"/>
            <w:vAlign w:val="center"/>
          </w:tcPr>
          <w:p>
            <w:pPr>
              <w:spacing w:after="0" w:afterLines="0" w:line="360" w:lineRule="auto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新建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</w:tbl>
    <w:p>
      <w:pPr>
        <w:rPr>
          <w:rFonts w:ascii="宋体" w:hAnsi="宋体"/>
        </w:rPr>
      </w:pPr>
    </w:p>
    <w:p>
      <w:pPr>
        <w:spacing w:line="276" w:lineRule="auto"/>
        <w:jc w:val="left"/>
        <w:rPr>
          <w:rFonts w:ascii="宋体" w:hAnsi="宋体"/>
          <w:b/>
          <w:bCs/>
          <w:sz w:val="36"/>
          <w:szCs w:val="36"/>
        </w:rPr>
      </w:pPr>
    </w:p>
    <w:p/>
    <w:p>
      <w:p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titlePg/>
          <w:docGrid w:type="lines" w:linePitch="326" w:charSpace="0"/>
        </w:sectPr>
      </w:pPr>
    </w:p>
    <w:p>
      <w:pPr>
        <w:jc w:val="center"/>
        <w:rPr>
          <w:rFonts w:ascii="宋体" w:hAnsi="宋体" w:cs="Arial"/>
          <w:b/>
          <w:sz w:val="44"/>
          <w:szCs w:val="44"/>
        </w:rPr>
      </w:pPr>
      <w:r>
        <w:rPr>
          <w:rFonts w:hint="eastAsia" w:ascii="宋体" w:hAnsi="宋体" w:cs="Arial"/>
          <w:b/>
          <w:sz w:val="44"/>
          <w:szCs w:val="44"/>
        </w:rPr>
        <w:t>目  录</w:t>
      </w:r>
    </w:p>
    <w:p>
      <w:pPr>
        <w:pStyle w:val="7"/>
        <w:tabs>
          <w:tab w:val="right" w:leader="dot" w:pos="8306"/>
        </w:tabs>
      </w:pPr>
      <w:r>
        <w:rPr>
          <w:rFonts w:ascii="宋体" w:hAnsi="宋体" w:cs="Arial"/>
        </w:rPr>
        <w:fldChar w:fldCharType="begin"/>
      </w:r>
      <w:r>
        <w:rPr>
          <w:rFonts w:ascii="宋体" w:hAnsi="宋体" w:cs="Arial"/>
        </w:rPr>
        <w:instrText xml:space="preserve"> TOC \o "1-2" \h \z \u </w:instrText>
      </w:r>
      <w:r>
        <w:rPr>
          <w:rFonts w:ascii="宋体" w:hAnsi="宋体" w:cs="Arial"/>
        </w:rPr>
        <w:fldChar w:fldCharType="separate"/>
      </w:r>
      <w:r>
        <w:rPr>
          <w:rFonts w:ascii="宋体" w:hAnsi="宋体" w:cs="Arial"/>
        </w:rPr>
        <w:fldChar w:fldCharType="begin"/>
      </w:r>
      <w:r>
        <w:rPr>
          <w:rFonts w:ascii="宋体" w:hAnsi="宋体" w:cs="Arial"/>
        </w:rPr>
        <w:instrText xml:space="preserve"> HYPERLINK \l _Toc29616 </w:instrText>
      </w:r>
      <w:r>
        <w:rPr>
          <w:rFonts w:ascii="宋体" w:hAnsi="宋体" w:cs="Arial"/>
        </w:rPr>
        <w:fldChar w:fldCharType="separate"/>
      </w:r>
      <w:r>
        <w:rPr>
          <w:rFonts w:hint="eastAsia"/>
        </w:rPr>
        <w:t>一、目的及意义</w:t>
      </w:r>
      <w:r>
        <w:tab/>
      </w:r>
      <w:r>
        <w:fldChar w:fldCharType="begin"/>
      </w:r>
      <w:r>
        <w:instrText xml:space="preserve"> PAGEREF _Toc29616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cs="Arial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ascii="宋体" w:hAnsi="宋体" w:cs="Arial"/>
        </w:rPr>
        <w:fldChar w:fldCharType="begin"/>
      </w:r>
      <w:r>
        <w:rPr>
          <w:rFonts w:ascii="宋体" w:hAnsi="宋体" w:cs="Arial"/>
        </w:rPr>
        <w:instrText xml:space="preserve"> HYPERLINK \l _Toc19650 </w:instrText>
      </w:r>
      <w:r>
        <w:rPr>
          <w:rFonts w:ascii="宋体" w:hAnsi="宋体" w:cs="Arial"/>
        </w:rPr>
        <w:fldChar w:fldCharType="separate"/>
      </w:r>
      <w:r>
        <w:rPr>
          <w:rFonts w:hint="eastAsia"/>
        </w:rPr>
        <w:t>二、</w:t>
      </w:r>
      <w:r>
        <w:t>201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年公司人员情况</w:t>
      </w:r>
      <w:r>
        <w:tab/>
      </w:r>
      <w:r>
        <w:fldChar w:fldCharType="begin"/>
      </w:r>
      <w:r>
        <w:instrText xml:space="preserve"> PAGEREF _Toc19650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cs="Arial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ascii="宋体" w:hAnsi="宋体" w:cs="Arial"/>
        </w:rPr>
        <w:fldChar w:fldCharType="begin"/>
      </w:r>
      <w:r>
        <w:rPr>
          <w:rFonts w:ascii="宋体" w:hAnsi="宋体" w:cs="Arial"/>
        </w:rPr>
        <w:instrText xml:space="preserve"> HYPERLINK \l _Toc2954 </w:instrText>
      </w:r>
      <w:r>
        <w:rPr>
          <w:rFonts w:ascii="宋体" w:hAnsi="宋体" w:cs="Arial"/>
        </w:rPr>
        <w:fldChar w:fldCharType="separate"/>
      </w:r>
      <w:r>
        <w:rPr>
          <w:rFonts w:hint="eastAsia"/>
        </w:rPr>
        <w:t>201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年度人员</w:t>
      </w:r>
      <w:r>
        <w:rPr>
          <w:rFonts w:hint="eastAsia"/>
          <w:lang w:eastAsia="zh-CN"/>
        </w:rPr>
        <w:t>招聘</w:t>
      </w:r>
      <w:r>
        <w:rPr>
          <w:rFonts w:hint="eastAsia"/>
        </w:rPr>
        <w:t>计划</w:t>
      </w:r>
      <w:r>
        <w:tab/>
      </w:r>
      <w:r>
        <w:fldChar w:fldCharType="begin"/>
      </w:r>
      <w:r>
        <w:instrText xml:space="preserve"> PAGEREF _Toc2954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 w:cs="Arial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ascii="宋体" w:hAnsi="宋体" w:cs="Arial"/>
        </w:rPr>
        <w:fldChar w:fldCharType="begin"/>
      </w:r>
      <w:r>
        <w:rPr>
          <w:rFonts w:ascii="宋体" w:hAnsi="宋体" w:cs="Arial"/>
        </w:rPr>
        <w:instrText xml:space="preserve"> HYPERLINK \l _Toc12904 </w:instrText>
      </w:r>
      <w:r>
        <w:rPr>
          <w:rFonts w:ascii="宋体" w:hAnsi="宋体" w:cs="Arial"/>
        </w:rPr>
        <w:fldChar w:fldCharType="separate"/>
      </w:r>
      <w:r>
        <w:rPr>
          <w:rFonts w:hint="eastAsia" w:ascii="宋体"/>
          <w:bCs/>
          <w:szCs w:val="24"/>
          <w:lang w:val="en-US" w:eastAsia="zh-CN"/>
        </w:rPr>
        <w:t>2019年度招聘、培训实施计划</w:t>
      </w:r>
      <w:r>
        <w:tab/>
      </w:r>
      <w:r>
        <w:fldChar w:fldCharType="begin"/>
      </w:r>
      <w:r>
        <w:instrText xml:space="preserve"> PAGEREF _Toc12904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cs="Arial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ascii="宋体" w:hAnsi="宋体" w:cs="Arial"/>
        </w:rPr>
        <w:fldChar w:fldCharType="begin"/>
      </w:r>
      <w:r>
        <w:rPr>
          <w:rFonts w:ascii="宋体" w:hAnsi="宋体" w:cs="Arial"/>
        </w:rPr>
        <w:instrText xml:space="preserve"> HYPERLINK \l _Toc4255 </w:instrText>
      </w:r>
      <w:r>
        <w:rPr>
          <w:rFonts w:ascii="宋体" w:hAnsi="宋体" w:cs="Arial"/>
        </w:rPr>
        <w:fldChar w:fldCharType="separate"/>
      </w:r>
      <w:r>
        <w:rPr>
          <w:rFonts w:hint="eastAsia" w:ascii="宋体" w:hAnsi="宋体" w:cs="宋体"/>
          <w:bCs/>
          <w:szCs w:val="32"/>
        </w:rPr>
        <w:t>三、储备渠道建设</w:t>
      </w:r>
      <w:r>
        <w:tab/>
      </w:r>
      <w:r>
        <w:fldChar w:fldCharType="begin"/>
      </w:r>
      <w:r>
        <w:instrText xml:space="preserve"> PAGEREF _Toc4255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cs="Arial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ascii="宋体" w:hAnsi="宋体" w:cs="Arial"/>
        </w:rPr>
        <w:fldChar w:fldCharType="begin"/>
      </w:r>
      <w:r>
        <w:rPr>
          <w:rFonts w:ascii="宋体" w:hAnsi="宋体" w:cs="Arial"/>
        </w:rPr>
        <w:instrText xml:space="preserve"> HYPERLINK \l _Toc18483 </w:instrText>
      </w:r>
      <w:r>
        <w:rPr>
          <w:rFonts w:ascii="宋体" w:hAnsi="宋体" w:cs="Arial"/>
        </w:rPr>
        <w:fldChar w:fldCharType="separate"/>
      </w:r>
      <w:r>
        <w:rPr>
          <w:rFonts w:hint="eastAsia" w:ascii="宋体" w:hAnsi="宋体" w:cs="宋体"/>
          <w:bCs/>
          <w:szCs w:val="32"/>
        </w:rPr>
        <w:t>四、招聘方案及投入</w:t>
      </w:r>
      <w:r>
        <w:tab/>
      </w:r>
      <w:r>
        <w:fldChar w:fldCharType="begin"/>
      </w:r>
      <w:r>
        <w:instrText xml:space="preserve"> PAGEREF _Toc18483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cs="Arial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ascii="宋体" w:hAnsi="宋体" w:cs="Arial"/>
        </w:rPr>
        <w:fldChar w:fldCharType="begin"/>
      </w:r>
      <w:r>
        <w:rPr>
          <w:rFonts w:ascii="宋体" w:hAnsi="宋体" w:cs="Arial"/>
        </w:rPr>
        <w:instrText xml:space="preserve"> HYPERLINK \l _Toc2752 </w:instrText>
      </w:r>
      <w:r>
        <w:rPr>
          <w:rFonts w:ascii="宋体" w:hAnsi="宋体" w:cs="Arial"/>
        </w:rPr>
        <w:fldChar w:fldCharType="separate"/>
      </w:r>
      <w:r>
        <w:rPr>
          <w:rFonts w:hint="eastAsia" w:ascii="宋体" w:hAnsi="宋体" w:cs="宋体"/>
          <w:bCs/>
          <w:szCs w:val="32"/>
        </w:rPr>
        <w:t>五、招聘的实施</w:t>
      </w:r>
      <w:r>
        <w:tab/>
      </w:r>
      <w:r>
        <w:fldChar w:fldCharType="begin"/>
      </w:r>
      <w:r>
        <w:instrText xml:space="preserve"> PAGEREF _Toc2752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cs="Arial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ascii="宋体" w:hAnsi="宋体" w:cs="Arial"/>
        </w:rPr>
        <w:fldChar w:fldCharType="begin"/>
      </w:r>
      <w:r>
        <w:rPr>
          <w:rFonts w:ascii="宋体" w:hAnsi="宋体" w:cs="Arial"/>
        </w:rPr>
        <w:instrText xml:space="preserve"> HYPERLINK \l _Toc10090 </w:instrText>
      </w:r>
      <w:r>
        <w:rPr>
          <w:rFonts w:ascii="宋体" w:hAnsi="宋体" w:cs="Arial"/>
        </w:rPr>
        <w:fldChar w:fldCharType="separate"/>
      </w:r>
      <w:r>
        <w:rPr>
          <w:rFonts w:ascii="宋体" w:hAnsi="宋体" w:cs="宋体"/>
          <w:kern w:val="0"/>
          <w:szCs w:val="24"/>
        </w:rPr>
        <w:t>5.1</w:t>
      </w:r>
      <w:r>
        <w:rPr>
          <w:rFonts w:hint="eastAsia" w:ascii="宋体" w:hAnsi="宋体" w:cs="宋体"/>
          <w:kern w:val="0"/>
          <w:szCs w:val="24"/>
        </w:rPr>
        <w:t>第一阶段</w:t>
      </w:r>
      <w:r>
        <w:tab/>
      </w:r>
      <w:r>
        <w:fldChar w:fldCharType="begin"/>
      </w:r>
      <w:r>
        <w:instrText xml:space="preserve"> PAGEREF _Toc10090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cs="Arial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ascii="宋体" w:hAnsi="宋体" w:cs="Arial"/>
        </w:rPr>
        <w:fldChar w:fldCharType="begin"/>
      </w:r>
      <w:r>
        <w:rPr>
          <w:rFonts w:ascii="宋体" w:hAnsi="宋体" w:cs="Arial"/>
        </w:rPr>
        <w:instrText xml:space="preserve"> HYPERLINK \l _Toc1003 </w:instrText>
      </w:r>
      <w:r>
        <w:rPr>
          <w:rFonts w:ascii="宋体" w:hAnsi="宋体" w:cs="Arial"/>
        </w:rPr>
        <w:fldChar w:fldCharType="separate"/>
      </w:r>
      <w:r>
        <w:rPr>
          <w:rFonts w:ascii="宋体" w:hAnsi="宋体" w:cs="宋体"/>
          <w:kern w:val="0"/>
          <w:szCs w:val="24"/>
        </w:rPr>
        <w:t xml:space="preserve">5.2 </w:t>
      </w:r>
      <w:r>
        <w:rPr>
          <w:rFonts w:hint="eastAsia" w:ascii="宋体" w:hAnsi="宋体" w:cs="宋体"/>
          <w:kern w:val="0"/>
          <w:szCs w:val="24"/>
        </w:rPr>
        <w:t>第二阶段</w:t>
      </w:r>
      <w:r>
        <w:tab/>
      </w:r>
      <w:r>
        <w:fldChar w:fldCharType="begin"/>
      </w:r>
      <w:r>
        <w:instrText xml:space="preserve"> PAGEREF _Toc1003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cs="Arial"/>
        </w:rPr>
        <w:fldChar w:fldCharType="end"/>
      </w:r>
    </w:p>
    <w:p>
      <w:pPr>
        <w:pStyle w:val="7"/>
        <w:tabs>
          <w:tab w:val="right" w:leader="dot" w:pos="8306"/>
        </w:tabs>
      </w:pPr>
      <w:r>
        <w:rPr>
          <w:rFonts w:ascii="宋体" w:hAnsi="宋体" w:cs="Arial"/>
        </w:rPr>
        <w:fldChar w:fldCharType="begin"/>
      </w:r>
      <w:r>
        <w:rPr>
          <w:rFonts w:ascii="宋体" w:hAnsi="宋体" w:cs="Arial"/>
        </w:rPr>
        <w:instrText xml:space="preserve"> HYPERLINK \l _Toc30882 </w:instrText>
      </w:r>
      <w:r>
        <w:rPr>
          <w:rFonts w:ascii="宋体" w:hAnsi="宋体" w:cs="Arial"/>
        </w:rPr>
        <w:fldChar w:fldCharType="separate"/>
      </w:r>
      <w:r>
        <w:rPr>
          <w:rFonts w:ascii="宋体" w:hAnsi="宋体" w:cs="宋体"/>
          <w:kern w:val="0"/>
          <w:szCs w:val="24"/>
        </w:rPr>
        <w:t>5.</w:t>
      </w:r>
      <w:r>
        <w:rPr>
          <w:rFonts w:hint="eastAsia" w:ascii="宋体" w:hAnsi="宋体" w:cs="宋体"/>
          <w:kern w:val="0"/>
          <w:szCs w:val="24"/>
        </w:rPr>
        <w:t>3</w:t>
      </w:r>
      <w:r>
        <w:rPr>
          <w:rFonts w:ascii="宋体" w:hAnsi="宋体" w:cs="宋体"/>
          <w:kern w:val="0"/>
          <w:szCs w:val="24"/>
        </w:rPr>
        <w:t xml:space="preserve"> </w:t>
      </w:r>
      <w:r>
        <w:rPr>
          <w:rFonts w:hint="eastAsia" w:ascii="宋体" w:hAnsi="宋体" w:cs="宋体"/>
          <w:kern w:val="0"/>
          <w:szCs w:val="24"/>
        </w:rPr>
        <w:t>第三阶段</w:t>
      </w:r>
      <w:r>
        <w:tab/>
      </w:r>
      <w:r>
        <w:fldChar w:fldCharType="begin"/>
      </w:r>
      <w:r>
        <w:instrText xml:space="preserve"> PAGEREF _Toc30882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cs="Arial"/>
        </w:rPr>
        <w:fldChar w:fldCharType="end"/>
      </w:r>
    </w:p>
    <w:p>
      <w:pPr>
        <w:spacing w:before="94" w:beforeLines="30" w:after="94" w:afterLines="30"/>
        <w:jc w:val="center"/>
        <w:rPr>
          <w:rFonts w:ascii="Arial" w:hAnsi="Arial" w:cs="Arial"/>
        </w:rPr>
      </w:pPr>
      <w:r>
        <w:rPr>
          <w:rFonts w:ascii="宋体" w:hAnsi="宋体" w:cs="Arial"/>
        </w:rPr>
        <w:fldChar w:fldCharType="end"/>
      </w:r>
    </w:p>
    <w:p>
      <w:pPr>
        <w:jc w:val="center"/>
        <w:rPr>
          <w:rFonts w:ascii="Arial" w:hAnsi="Arial" w:cs="Arial"/>
        </w:rPr>
      </w:pPr>
    </w:p>
    <w:p>
      <w:pPr>
        <w:jc w:val="center"/>
        <w:rPr>
          <w:rFonts w:ascii="Arial" w:hAnsi="Arial" w:cs="Arial"/>
        </w:rPr>
      </w:pPr>
    </w:p>
    <w:p>
      <w:pPr>
        <w:jc w:val="center"/>
        <w:rPr>
          <w:rFonts w:ascii="Arial" w:hAnsi="Arial" w:cs="Arial"/>
        </w:rPr>
      </w:pPr>
    </w:p>
    <w:p>
      <w:pPr>
        <w:jc w:val="center"/>
        <w:rPr>
          <w:rFonts w:ascii="Arial" w:hAnsi="Arial" w:cs="Arial"/>
        </w:rPr>
      </w:pPr>
    </w:p>
    <w:p>
      <w:pPr>
        <w:jc w:val="center"/>
        <w:rPr>
          <w:rFonts w:ascii="Arial" w:hAnsi="Arial" w:cs="Arial"/>
        </w:rPr>
      </w:pPr>
    </w:p>
    <w:p>
      <w:pPr>
        <w:jc w:val="center"/>
        <w:rPr>
          <w:rFonts w:ascii="Arial" w:hAnsi="Arial" w:cs="Arial"/>
        </w:rPr>
      </w:pPr>
    </w:p>
    <w:p>
      <w:pPr>
        <w:jc w:val="center"/>
        <w:rPr>
          <w:rFonts w:ascii="Arial" w:hAnsi="Arial" w:cs="Arial"/>
        </w:rPr>
      </w:pPr>
    </w:p>
    <w:p>
      <w:pPr>
        <w:jc w:val="center"/>
        <w:rPr>
          <w:rFonts w:ascii="Arial" w:hAnsi="Arial" w:cs="Arial"/>
        </w:rPr>
      </w:pPr>
    </w:p>
    <w:p>
      <w:pPr>
        <w:jc w:val="center"/>
        <w:rPr>
          <w:rFonts w:ascii="Arial" w:hAnsi="Arial" w:cs="Arial"/>
        </w:rPr>
      </w:pPr>
    </w:p>
    <w:p>
      <w:pPr>
        <w:jc w:val="center"/>
        <w:rPr>
          <w:rFonts w:ascii="Arial" w:hAnsi="Arial" w:cs="Arial"/>
        </w:rPr>
      </w:pPr>
    </w:p>
    <w:p>
      <w:pPr>
        <w:jc w:val="center"/>
        <w:rPr>
          <w:rFonts w:ascii="Arial" w:hAnsi="Arial" w:cs="Arial"/>
        </w:rPr>
      </w:pPr>
    </w:p>
    <w:p>
      <w:pPr>
        <w:jc w:val="center"/>
        <w:rPr>
          <w:rFonts w:ascii="Arial" w:hAnsi="Arial" w:cs="Arial"/>
        </w:rPr>
      </w:pPr>
    </w:p>
    <w:p>
      <w:pPr>
        <w:jc w:val="center"/>
        <w:rPr>
          <w:rFonts w:ascii="Arial" w:hAnsi="Arial" w:cs="Arial"/>
        </w:rPr>
      </w:pPr>
    </w:p>
    <w:p>
      <w:pPr>
        <w:jc w:val="center"/>
        <w:rPr>
          <w:rFonts w:ascii="Arial" w:hAnsi="Arial" w:cs="Arial"/>
        </w:rPr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jc w:val="center"/>
        <w:rPr>
          <w:rFonts w:ascii="Arial" w:hAnsi="Arial" w:cs="Arial"/>
        </w:rPr>
      </w:pPr>
    </w:p>
    <w:p>
      <w:pPr>
        <w:pStyle w:val="2"/>
      </w:pPr>
      <w:bookmarkStart w:id="4" w:name="_Toc29616"/>
      <w:r>
        <w:rPr>
          <w:rFonts w:hint="eastAsia"/>
        </w:rPr>
        <w:t>一、目的及意义</w:t>
      </w:r>
      <w:bookmarkEnd w:id="4"/>
    </w:p>
    <w:p>
      <w:pPr>
        <w:spacing w:line="360" w:lineRule="auto"/>
        <w:ind w:firstLine="480" w:firstLineChars="200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随着公司规模的不断扩大，对人才的需求也是日益增长。本着储备公司人才，提高公司员工整体素质，获取公司发展所需人才的宗旨，结合公司</w:t>
      </w:r>
      <w:r>
        <w:rPr>
          <w:rFonts w:ascii="宋体" w:hAnsi="宋体" w:cs="宋体"/>
          <w:sz w:val="24"/>
          <w:szCs w:val="24"/>
        </w:rPr>
        <w:t>201</w:t>
      </w:r>
      <w:r>
        <w:rPr>
          <w:rFonts w:hint="eastAsia" w:ascii="宋体" w:hAnsi="宋体" w:cs="宋体"/>
          <w:sz w:val="24"/>
          <w:szCs w:val="24"/>
          <w:lang w:val="en-US" w:eastAsia="zh-CN"/>
        </w:rPr>
        <w:t>9</w:t>
      </w:r>
      <w:r>
        <w:rPr>
          <w:rFonts w:hint="eastAsia" w:ascii="宋体" w:hAnsi="宋体" w:cs="宋体"/>
          <w:sz w:val="24"/>
          <w:szCs w:val="24"/>
        </w:rPr>
        <w:t>年发展战略及相关计划安排，特制订</w:t>
      </w:r>
      <w:r>
        <w:rPr>
          <w:rFonts w:ascii="宋体" w:hAnsi="宋体" w:cs="宋体"/>
          <w:sz w:val="24"/>
          <w:szCs w:val="24"/>
        </w:rPr>
        <w:t>201</w:t>
      </w:r>
      <w:r>
        <w:rPr>
          <w:rFonts w:hint="eastAsia" w:ascii="宋体" w:hAnsi="宋体" w:cs="宋体"/>
          <w:sz w:val="24"/>
          <w:szCs w:val="24"/>
          <w:lang w:val="en-US" w:eastAsia="zh-CN"/>
        </w:rPr>
        <w:t>9</w:t>
      </w:r>
      <w:r>
        <w:rPr>
          <w:rFonts w:hint="eastAsia" w:ascii="宋体" w:hAnsi="宋体" w:cs="宋体"/>
          <w:sz w:val="24"/>
          <w:szCs w:val="24"/>
        </w:rPr>
        <w:t>年人员储备计划。</w:t>
      </w:r>
    </w:p>
    <w:p>
      <w:pPr>
        <w:pStyle w:val="2"/>
        <w:rPr>
          <w:rFonts w:hint="eastAsia" w:eastAsia="宋体"/>
          <w:lang w:eastAsia="zh-CN"/>
        </w:rPr>
      </w:pPr>
      <w:bookmarkStart w:id="5" w:name="_Toc19650"/>
      <w:r>
        <w:rPr>
          <w:rFonts w:hint="eastAsia"/>
        </w:rPr>
        <w:t>二、</w:t>
      </w:r>
      <w:r>
        <w:t>201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年公司人员情况</w:t>
      </w:r>
      <w:bookmarkEnd w:id="5"/>
      <w:r>
        <w:rPr>
          <w:rFonts w:hint="eastAsia"/>
          <w:lang w:eastAsia="zh-CN"/>
        </w:rPr>
        <w:t>分析</w:t>
      </w:r>
    </w:p>
    <w:p>
      <w:pPr>
        <w:widowControl/>
        <w:jc w:val="left"/>
        <w:rPr>
          <w:rFonts w:ascii="宋体" w:hAnsi="宋体" w:cs="宋体"/>
          <w:b/>
          <w:bCs/>
          <w:sz w:val="30"/>
          <w:szCs w:val="30"/>
        </w:rPr>
      </w:pPr>
      <w:r>
        <w:rPr>
          <w:rFonts w:ascii="宋体" w:hAnsi="宋体" w:cs="宋体"/>
          <w:b/>
          <w:bCs/>
          <w:sz w:val="30"/>
          <w:szCs w:val="30"/>
        </w:rPr>
        <w:t>201</w:t>
      </w:r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>8</w:t>
      </w:r>
      <w:r>
        <w:rPr>
          <w:rFonts w:hint="eastAsia" w:ascii="宋体" w:hAnsi="宋体" w:cs="宋体"/>
          <w:b/>
          <w:bCs/>
          <w:sz w:val="30"/>
          <w:szCs w:val="30"/>
        </w:rPr>
        <w:t>年度人员情况</w:t>
      </w:r>
    </w:p>
    <w:tbl>
      <w:tblPr>
        <w:tblStyle w:val="9"/>
        <w:tblW w:w="89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7"/>
        <w:gridCol w:w="1260"/>
        <w:gridCol w:w="1656"/>
        <w:gridCol w:w="1134"/>
        <w:gridCol w:w="1560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2187" w:type="dxa"/>
            <w:vMerge w:val="restart"/>
            <w:shd w:val="clear" w:color="auto" w:fill="C0C0C0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部门</w:t>
            </w:r>
          </w:p>
        </w:tc>
        <w:tc>
          <w:tcPr>
            <w:tcW w:w="5610" w:type="dxa"/>
            <w:gridSpan w:val="4"/>
            <w:shd w:val="clear" w:color="auto" w:fill="C0C0C0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ascii="宋体" w:hAnsi="宋体"/>
                <w:b/>
              </w:rPr>
              <w:t>201</w:t>
            </w:r>
            <w:r>
              <w:rPr>
                <w:rFonts w:hint="eastAsia" w:ascii="宋体" w:hAnsi="宋体"/>
                <w:b/>
                <w:lang w:val="en-US" w:eastAsia="zh-CN"/>
              </w:rPr>
              <w:t>8</w:t>
            </w:r>
            <w:r>
              <w:rPr>
                <w:rFonts w:hint="eastAsia" w:ascii="宋体" w:hAnsi="宋体"/>
                <w:b/>
              </w:rPr>
              <w:t>年人员情况</w:t>
            </w:r>
          </w:p>
        </w:tc>
        <w:tc>
          <w:tcPr>
            <w:tcW w:w="1134" w:type="dxa"/>
            <w:vMerge w:val="restart"/>
            <w:shd w:val="clear" w:color="auto" w:fill="C0C0C0"/>
            <w:vAlign w:val="center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离职</w:t>
            </w:r>
          </w:p>
          <w:p>
            <w:r>
              <w:rPr>
                <w:rFonts w:hint="eastAsia"/>
                <w:b/>
              </w:rPr>
              <w:t>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2187" w:type="dxa"/>
            <w:vMerge w:val="continue"/>
            <w:shd w:val="clear" w:color="auto" w:fill="C0C0C0"/>
            <w:vAlign w:val="center"/>
          </w:tcPr>
          <w:p>
            <w:pPr>
              <w:rPr>
                <w:rFonts w:ascii="宋体" w:hAnsi="宋体"/>
                <w:b/>
              </w:rPr>
            </w:pPr>
          </w:p>
        </w:tc>
        <w:tc>
          <w:tcPr>
            <w:tcW w:w="1260" w:type="dxa"/>
            <w:shd w:val="clear" w:color="auto" w:fill="C0C0C0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总人数</w:t>
            </w:r>
          </w:p>
        </w:tc>
        <w:tc>
          <w:tcPr>
            <w:tcW w:w="1656" w:type="dxa"/>
            <w:shd w:val="clear" w:color="auto" w:fill="C0C0C0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大专以下</w:t>
            </w:r>
          </w:p>
        </w:tc>
        <w:tc>
          <w:tcPr>
            <w:tcW w:w="1134" w:type="dxa"/>
            <w:shd w:val="clear" w:color="auto" w:fill="C0C0C0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大专</w:t>
            </w:r>
          </w:p>
        </w:tc>
        <w:tc>
          <w:tcPr>
            <w:tcW w:w="1560" w:type="dxa"/>
            <w:shd w:val="clear" w:color="auto" w:fill="C0C0C0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本科及以上</w:t>
            </w:r>
          </w:p>
        </w:tc>
        <w:tc>
          <w:tcPr>
            <w:tcW w:w="1134" w:type="dxa"/>
            <w:vMerge w:val="continue"/>
            <w:shd w:val="clear" w:color="auto" w:fill="C0C0C0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187" w:type="dxa"/>
            <w:vAlign w:val="center"/>
          </w:tcPr>
          <w:p>
            <w:bookmarkStart w:id="6" w:name="_Hlk341203812"/>
            <w:r>
              <w:rPr>
                <w:rFonts w:hint="eastAsia"/>
              </w:rPr>
              <w:t>运维管理部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hint="eastAsia" w:eastAsia="宋体"/>
                <w:lang w:eastAsia="zh-CN"/>
              </w:rPr>
            </w:pPr>
            <w:r>
              <w:t>1</w:t>
            </w: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656" w:type="dxa"/>
            <w:vAlign w:val="center"/>
          </w:tcPr>
          <w:p>
            <w:r>
              <w:t>0</w:t>
            </w:r>
          </w:p>
        </w:tc>
        <w:tc>
          <w:tcPr>
            <w:tcW w:w="1134" w:type="dxa"/>
            <w:vAlign w:val="center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1560" w:type="dxa"/>
            <w:vAlign w:val="center"/>
          </w:tcPr>
          <w:p>
            <w:r>
              <w:t>10</w:t>
            </w:r>
          </w:p>
        </w:tc>
        <w:tc>
          <w:tcPr>
            <w:tcW w:w="1134" w:type="dxa"/>
            <w:vAlign w:val="center"/>
          </w:tcPr>
          <w:p>
            <w: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187" w:type="dxa"/>
            <w:vAlign w:val="center"/>
          </w:tcPr>
          <w:p>
            <w:r>
              <w:rPr>
                <w:rFonts w:hint="eastAsia"/>
              </w:rPr>
              <w:t>开发部</w:t>
            </w:r>
          </w:p>
        </w:tc>
        <w:tc>
          <w:tcPr>
            <w:tcW w:w="1260" w:type="dxa"/>
            <w:vAlign w:val="center"/>
          </w:tcPr>
          <w:p>
            <w:r>
              <w:t>9</w:t>
            </w:r>
          </w:p>
        </w:tc>
        <w:tc>
          <w:tcPr>
            <w:tcW w:w="1656" w:type="dxa"/>
            <w:vAlign w:val="center"/>
          </w:tcPr>
          <w:p>
            <w:r>
              <w:t>0</w:t>
            </w:r>
          </w:p>
        </w:tc>
        <w:tc>
          <w:tcPr>
            <w:tcW w:w="1134" w:type="dxa"/>
            <w:vAlign w:val="center"/>
          </w:tcPr>
          <w:p>
            <w:r>
              <w:t>1</w:t>
            </w:r>
          </w:p>
        </w:tc>
        <w:tc>
          <w:tcPr>
            <w:tcW w:w="1560" w:type="dxa"/>
            <w:vAlign w:val="center"/>
          </w:tcPr>
          <w:p>
            <w:r>
              <w:t>8</w:t>
            </w:r>
          </w:p>
        </w:tc>
        <w:tc>
          <w:tcPr>
            <w:tcW w:w="1134" w:type="dxa"/>
            <w:vAlign w:val="center"/>
          </w:tcPr>
          <w:p>
            <w:r>
              <w:rPr>
                <w:rFonts w:hint="eastAsia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187" w:type="dxa"/>
            <w:vAlign w:val="center"/>
          </w:tcPr>
          <w:p>
            <w:r>
              <w:rPr>
                <w:rFonts w:hint="eastAsia"/>
              </w:rPr>
              <w:t>质量管理部</w:t>
            </w:r>
          </w:p>
        </w:tc>
        <w:tc>
          <w:tcPr>
            <w:tcW w:w="1260" w:type="dxa"/>
            <w:vAlign w:val="center"/>
          </w:tcPr>
          <w:p>
            <w:r>
              <w:t>3</w:t>
            </w:r>
          </w:p>
        </w:tc>
        <w:tc>
          <w:tcPr>
            <w:tcW w:w="1656" w:type="dxa"/>
            <w:vAlign w:val="center"/>
          </w:tcPr>
          <w:p>
            <w:r>
              <w:t>0</w:t>
            </w:r>
          </w:p>
        </w:tc>
        <w:tc>
          <w:tcPr>
            <w:tcW w:w="1134" w:type="dxa"/>
            <w:vAlign w:val="center"/>
          </w:tcPr>
          <w:p>
            <w:r>
              <w:t>0</w:t>
            </w:r>
          </w:p>
        </w:tc>
        <w:tc>
          <w:tcPr>
            <w:tcW w:w="1560" w:type="dxa"/>
            <w:vAlign w:val="center"/>
          </w:tcPr>
          <w:p>
            <w:r>
              <w:t>3</w:t>
            </w:r>
          </w:p>
        </w:tc>
        <w:tc>
          <w:tcPr>
            <w:tcW w:w="1134" w:type="dxa"/>
            <w:vAlign w:val="center"/>
          </w:tcPr>
          <w:p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187" w:type="dxa"/>
            <w:vAlign w:val="center"/>
          </w:tcPr>
          <w:p>
            <w:r>
              <w:rPr>
                <w:rFonts w:hint="eastAsia"/>
              </w:rPr>
              <w:t>人力资源部</w:t>
            </w:r>
          </w:p>
        </w:tc>
        <w:tc>
          <w:tcPr>
            <w:tcW w:w="1260" w:type="dxa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656" w:type="dxa"/>
            <w:vAlign w:val="center"/>
          </w:tcPr>
          <w:p>
            <w:r>
              <w:t>0</w:t>
            </w:r>
          </w:p>
        </w:tc>
        <w:tc>
          <w:tcPr>
            <w:tcW w:w="1134" w:type="dxa"/>
            <w:vAlign w:val="center"/>
          </w:tcPr>
          <w:p>
            <w:r>
              <w:t>0</w:t>
            </w:r>
          </w:p>
        </w:tc>
        <w:tc>
          <w:tcPr>
            <w:tcW w:w="1560" w:type="dxa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>
            <w: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187" w:type="dxa"/>
            <w:vAlign w:val="center"/>
          </w:tcPr>
          <w:p>
            <w:r>
              <w:rPr>
                <w:rFonts w:hint="eastAsia"/>
              </w:rPr>
              <w:t>财务部</w:t>
            </w:r>
          </w:p>
        </w:tc>
        <w:tc>
          <w:tcPr>
            <w:tcW w:w="1260" w:type="dxa"/>
            <w:vAlign w:val="center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1656" w:type="dxa"/>
            <w:vAlign w:val="center"/>
          </w:tcPr>
          <w:p>
            <w:r>
              <w:t>0</w:t>
            </w:r>
          </w:p>
        </w:tc>
        <w:tc>
          <w:tcPr>
            <w:tcW w:w="1134" w:type="dxa"/>
            <w:vAlign w:val="center"/>
          </w:tcPr>
          <w:p>
            <w:r>
              <w:t>0</w:t>
            </w:r>
          </w:p>
        </w:tc>
        <w:tc>
          <w:tcPr>
            <w:tcW w:w="1560" w:type="dxa"/>
            <w:vAlign w:val="center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>
            <w:r>
              <w:t>0</w:t>
            </w:r>
          </w:p>
        </w:tc>
      </w:tr>
      <w:bookmarkEnd w:id="6"/>
    </w:tbl>
    <w:p>
      <w:pPr>
        <w:widowControl/>
        <w:jc w:val="left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r>
        <w:rPr>
          <w:rFonts w:ascii="宋体" w:hAnsi="宋体" w:cs="宋体"/>
          <w:b/>
          <w:bCs/>
          <w:sz w:val="30"/>
          <w:szCs w:val="30"/>
        </w:rPr>
        <w:t>201</w:t>
      </w:r>
      <w:r>
        <w:rPr>
          <w:rFonts w:hint="eastAsia" w:ascii="宋体" w:hAnsi="宋体" w:cs="宋体"/>
          <w:b/>
          <w:bCs/>
          <w:sz w:val="30"/>
          <w:szCs w:val="30"/>
          <w:lang w:val="en-US" w:eastAsia="zh-CN"/>
        </w:rPr>
        <w:t>9</w:t>
      </w:r>
      <w:r>
        <w:rPr>
          <w:rFonts w:hint="eastAsia" w:ascii="宋体" w:hAnsi="宋体" w:cs="宋体"/>
          <w:b/>
          <w:bCs/>
          <w:sz w:val="30"/>
          <w:szCs w:val="30"/>
        </w:rPr>
        <w:t>年度人员</w:t>
      </w:r>
      <w:r>
        <w:rPr>
          <w:rFonts w:hint="eastAsia" w:ascii="宋体" w:hAnsi="宋体" w:cs="宋体"/>
          <w:b/>
          <w:bCs/>
          <w:sz w:val="30"/>
          <w:szCs w:val="30"/>
          <w:lang w:eastAsia="zh-CN"/>
        </w:rPr>
        <w:t>需求分析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根据201</w:t>
      </w:r>
      <w:r>
        <w:rPr>
          <w:rFonts w:ascii="宋体" w:hAnsi="宋体"/>
          <w:sz w:val="24"/>
          <w:szCs w:val="24"/>
        </w:rPr>
        <w:t>9</w:t>
      </w:r>
      <w:r>
        <w:rPr>
          <w:rFonts w:hint="eastAsia" w:ascii="宋体" w:hAnsi="宋体"/>
          <w:sz w:val="24"/>
          <w:szCs w:val="24"/>
        </w:rPr>
        <w:t>年IT服务人员储备率10%的要求，在技术人员需</w:t>
      </w:r>
      <w:r>
        <w:rPr>
          <w:rFonts w:hint="eastAsia" w:ascii="宋体" w:hAnsi="宋体"/>
          <w:sz w:val="24"/>
          <w:szCs w:val="24"/>
          <w:lang w:eastAsia="zh-CN"/>
        </w:rPr>
        <w:t>招聘</w:t>
      </w:r>
      <w:r>
        <w:rPr>
          <w:rFonts w:hint="eastAsia" w:ascii="宋体" w:hAnsi="宋体"/>
          <w:sz w:val="24"/>
          <w:szCs w:val="24"/>
          <w:lang w:val="en-US" w:eastAsia="zh-CN"/>
        </w:rPr>
        <w:t>2人，其中技术支持岗1人、操作岗1人，并</w:t>
      </w:r>
      <w:r>
        <w:rPr>
          <w:rFonts w:hint="eastAsia" w:ascii="宋体" w:hAnsi="宋体"/>
          <w:sz w:val="24"/>
          <w:szCs w:val="24"/>
        </w:rPr>
        <w:t>储备</w:t>
      </w:r>
      <w:r>
        <w:rPr>
          <w:rFonts w:ascii="宋体" w:hAnsi="宋体"/>
          <w:sz w:val="24"/>
          <w:szCs w:val="24"/>
        </w:rPr>
        <w:t>1</w:t>
      </w:r>
      <w:r>
        <w:rPr>
          <w:rFonts w:hint="eastAsia" w:ascii="宋体" w:hAnsi="宋体"/>
          <w:sz w:val="24"/>
          <w:szCs w:val="24"/>
        </w:rPr>
        <w:t>人</w:t>
      </w:r>
      <w:r>
        <w:rPr>
          <w:rFonts w:hint="eastAsia" w:ascii="宋体" w:hAnsi="宋体"/>
          <w:sz w:val="24"/>
          <w:szCs w:val="24"/>
          <w:lang w:eastAsia="zh-CN"/>
        </w:rPr>
        <w:t>，为技术支持岗</w:t>
      </w:r>
      <w:r>
        <w:rPr>
          <w:rFonts w:hint="eastAsia" w:ascii="宋体" w:hAnsi="宋体"/>
          <w:sz w:val="24"/>
          <w:szCs w:val="24"/>
        </w:rPr>
        <w:t>。</w:t>
      </w:r>
    </w:p>
    <w:p>
      <w:pPr>
        <w:pStyle w:val="2"/>
        <w:rPr>
          <w:rFonts w:hint="eastAsia"/>
        </w:rPr>
      </w:pPr>
      <w:bookmarkStart w:id="7" w:name="_Toc2954"/>
      <w:r>
        <w:rPr>
          <w:rFonts w:hint="eastAsia"/>
          <w:lang w:eastAsia="zh-CN"/>
        </w:rPr>
        <w:t>三、</w:t>
      </w:r>
      <w:r>
        <w:rPr>
          <w:rFonts w:hint="eastAsia"/>
        </w:rPr>
        <w:t>201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年度人员</w:t>
      </w:r>
      <w:r>
        <w:rPr>
          <w:rFonts w:hint="eastAsia"/>
          <w:lang w:eastAsia="zh-CN"/>
        </w:rPr>
        <w:t>招聘、储备</w:t>
      </w:r>
      <w:r>
        <w:rPr>
          <w:rFonts w:hint="eastAsia"/>
        </w:rPr>
        <w:t>计划</w:t>
      </w:r>
      <w:bookmarkEnd w:id="7"/>
    </w:p>
    <w:p>
      <w:pPr>
        <w:widowControl/>
        <w:jc w:val="left"/>
        <w:rPr>
          <w:rFonts w:hint="eastAsia" w:ascii="宋体" w:hAnsi="宋体" w:cs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cs="宋体"/>
          <w:b/>
          <w:bCs/>
          <w:sz w:val="30"/>
          <w:szCs w:val="30"/>
          <w:lang w:eastAsia="zh-CN"/>
        </w:rPr>
        <w:t>招聘计划</w:t>
      </w:r>
    </w:p>
    <w:tbl>
      <w:tblPr>
        <w:tblStyle w:val="9"/>
        <w:tblW w:w="88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6"/>
        <w:gridCol w:w="978"/>
        <w:gridCol w:w="519"/>
        <w:gridCol w:w="3643"/>
        <w:gridCol w:w="1116"/>
        <w:gridCol w:w="128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2" w:hRule="atLeast"/>
        </w:trPr>
        <w:tc>
          <w:tcPr>
            <w:tcW w:w="8840" w:type="dxa"/>
            <w:gridSpan w:val="6"/>
            <w:shd w:val="clear" w:color="auto" w:fill="auto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b/>
                <w:i w:val="0"/>
                <w:color w:val="000000"/>
                <w:sz w:val="40"/>
                <w:szCs w:val="4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3" w:hRule="atLeast"/>
        </w:trPr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部门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岗位</w:t>
            </w:r>
          </w:p>
        </w:tc>
        <w:tc>
          <w:tcPr>
            <w:tcW w:w="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人数</w:t>
            </w:r>
          </w:p>
        </w:tc>
        <w:tc>
          <w:tcPr>
            <w:tcW w:w="3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学历及经验要求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招聘途径</w:t>
            </w:r>
          </w:p>
        </w:tc>
        <w:tc>
          <w:tcPr>
            <w:tcW w:w="1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期望到岗时间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0" w:hRule="atLeast"/>
        </w:trPr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运维管理部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运维工程师（高级）</w:t>
            </w:r>
          </w:p>
        </w:tc>
        <w:tc>
          <w:tcPr>
            <w:tcW w:w="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1、大专及以上学历，2年以上软件维护工作经验；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2、精通windows操作系统，了解各种办公软件；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3、具有独立处理软件系统故障的能力。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网络招聘</w:t>
            </w:r>
          </w:p>
        </w:tc>
        <w:tc>
          <w:tcPr>
            <w:tcW w:w="1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2019.6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47" w:hRule="atLeast"/>
        </w:trPr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运维管理部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运维工程师（初级）</w:t>
            </w:r>
          </w:p>
        </w:tc>
        <w:tc>
          <w:tcPr>
            <w:tcW w:w="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1、大专及以上学历，1年以上软件维护维护的工作经验；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2、精通windows操作系统，了解各种办公软件；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3、具有独立处理系统故障的能力。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网络招聘</w:t>
            </w:r>
          </w:p>
        </w:tc>
        <w:tc>
          <w:tcPr>
            <w:tcW w:w="1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2019.9</w:t>
            </w:r>
          </w:p>
        </w:tc>
      </w:tr>
    </w:tbl>
    <w:p>
      <w:pPr>
        <w:spacing w:line="360" w:lineRule="auto"/>
        <w:outlineLvl w:val="0"/>
        <w:rPr>
          <w:rFonts w:hint="eastAsia" w:ascii="宋体"/>
          <w:b/>
          <w:bCs/>
          <w:sz w:val="24"/>
          <w:szCs w:val="24"/>
          <w:lang w:eastAsia="zh-CN"/>
        </w:rPr>
      </w:pPr>
      <w:r>
        <w:rPr>
          <w:rFonts w:hint="eastAsia" w:ascii="宋体"/>
          <w:b/>
          <w:bCs/>
          <w:sz w:val="24"/>
          <w:szCs w:val="24"/>
          <w:lang w:eastAsia="zh-CN"/>
        </w:rPr>
        <w:t>储备计划</w:t>
      </w:r>
    </w:p>
    <w:tbl>
      <w:tblPr>
        <w:tblStyle w:val="9"/>
        <w:tblW w:w="88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6"/>
        <w:gridCol w:w="978"/>
        <w:gridCol w:w="519"/>
        <w:gridCol w:w="3643"/>
        <w:gridCol w:w="1116"/>
        <w:gridCol w:w="128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2" w:hRule="atLeast"/>
        </w:trPr>
        <w:tc>
          <w:tcPr>
            <w:tcW w:w="8840" w:type="dxa"/>
            <w:gridSpan w:val="6"/>
            <w:shd w:val="clear" w:color="auto" w:fill="auto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b/>
                <w:i w:val="0"/>
                <w:color w:val="000000"/>
                <w:sz w:val="40"/>
                <w:szCs w:val="4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3" w:hRule="atLeast"/>
        </w:trPr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部门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岗位</w:t>
            </w:r>
          </w:p>
        </w:tc>
        <w:tc>
          <w:tcPr>
            <w:tcW w:w="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人数</w:t>
            </w:r>
          </w:p>
        </w:tc>
        <w:tc>
          <w:tcPr>
            <w:tcW w:w="3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学历及经验要求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招聘途径</w:t>
            </w:r>
          </w:p>
        </w:tc>
        <w:tc>
          <w:tcPr>
            <w:tcW w:w="1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期望到岗时间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0" w:hRule="atLeast"/>
        </w:trPr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运维管理部</w:t>
            </w:r>
          </w:p>
        </w:tc>
        <w:tc>
          <w:tcPr>
            <w:tcW w:w="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运维工程师（高级）</w:t>
            </w:r>
          </w:p>
        </w:tc>
        <w:tc>
          <w:tcPr>
            <w:tcW w:w="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3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1、大专及以上学历，2年以上软件维护工作经验；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2、精通windows操作系统，了解各种办公软件；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3、具有独立处理软件系统故障的能力。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网络招聘</w:t>
            </w:r>
          </w:p>
        </w:tc>
        <w:tc>
          <w:tcPr>
            <w:tcW w:w="1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2019.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</w:tr>
    </w:tbl>
    <w:p>
      <w:pPr>
        <w:spacing w:line="360" w:lineRule="auto"/>
        <w:outlineLvl w:val="0"/>
        <w:rPr>
          <w:rFonts w:hint="eastAsia" w:ascii="宋体"/>
          <w:b/>
          <w:bCs/>
          <w:sz w:val="24"/>
          <w:szCs w:val="24"/>
          <w:lang w:eastAsia="zh-CN"/>
        </w:rPr>
      </w:pPr>
    </w:p>
    <w:p>
      <w:pPr>
        <w:spacing w:line="360" w:lineRule="auto"/>
        <w:outlineLvl w:val="0"/>
        <w:rPr>
          <w:rFonts w:hint="eastAsia" w:ascii="宋体"/>
          <w:b/>
          <w:bCs/>
          <w:sz w:val="24"/>
          <w:szCs w:val="24"/>
          <w:lang w:eastAsia="zh-CN"/>
        </w:rPr>
      </w:pPr>
    </w:p>
    <w:p>
      <w:pPr>
        <w:pStyle w:val="2"/>
        <w:rPr>
          <w:rFonts w:hint="eastAsia"/>
          <w:lang w:val="en-US" w:eastAsia="zh-CN"/>
        </w:rPr>
      </w:pPr>
      <w:bookmarkStart w:id="8" w:name="_Toc12904"/>
      <w:r>
        <w:rPr>
          <w:rFonts w:hint="eastAsia"/>
          <w:lang w:val="en-US" w:eastAsia="zh-CN"/>
        </w:rPr>
        <w:t>四、2019年度招聘、储备实施计划</w:t>
      </w:r>
      <w:bookmarkEnd w:id="8"/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公司根据储备要求特制定2019年招聘</w:t>
      </w:r>
      <w:r>
        <w:rPr>
          <w:rFonts w:hint="eastAsia" w:ascii="宋体" w:hAnsi="宋体"/>
          <w:sz w:val="24"/>
          <w:szCs w:val="24"/>
          <w:lang w:eastAsia="zh-CN"/>
        </w:rPr>
        <w:t>实施</w:t>
      </w:r>
      <w:r>
        <w:rPr>
          <w:rFonts w:hint="eastAsia" w:ascii="宋体" w:hAnsi="宋体"/>
          <w:sz w:val="24"/>
          <w:szCs w:val="24"/>
        </w:rPr>
        <w:t>计划:</w:t>
      </w:r>
    </w:p>
    <w:tbl>
      <w:tblPr>
        <w:tblStyle w:val="9"/>
        <w:tblW w:w="890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610"/>
        <w:gridCol w:w="1780"/>
        <w:gridCol w:w="1780"/>
        <w:gridCol w:w="178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951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招聘岗位</w:t>
            </w:r>
          </w:p>
        </w:tc>
        <w:tc>
          <w:tcPr>
            <w:tcW w:w="161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第一季度</w:t>
            </w:r>
          </w:p>
        </w:tc>
        <w:tc>
          <w:tcPr>
            <w:tcW w:w="178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第二季度</w:t>
            </w:r>
          </w:p>
        </w:tc>
        <w:tc>
          <w:tcPr>
            <w:tcW w:w="178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第三季度</w:t>
            </w:r>
          </w:p>
        </w:tc>
        <w:tc>
          <w:tcPr>
            <w:tcW w:w="178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第四季度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951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操作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岗</w:t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（初级运维工程师）</w:t>
            </w:r>
          </w:p>
        </w:tc>
        <w:tc>
          <w:tcPr>
            <w:tcW w:w="1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19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技术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支持岗</w:t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（高级运维工程师）</w:t>
            </w:r>
          </w:p>
        </w:tc>
        <w:tc>
          <w:tcPr>
            <w:tcW w:w="161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0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0</w:t>
            </w:r>
          </w:p>
        </w:tc>
      </w:tr>
    </w:tbl>
    <w:p>
      <w:pPr>
        <w:rPr>
          <w:rFonts w:ascii="宋体" w:hAnsi="宋体" w:cs="宋体"/>
          <w:sz w:val="24"/>
          <w:szCs w:val="24"/>
          <w:highlight w:val="yellow"/>
          <w:lang w:val="en-GB"/>
        </w:rPr>
      </w:pP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公司根据储备要求特制定2019年</w:t>
      </w:r>
      <w:r>
        <w:rPr>
          <w:rFonts w:hint="eastAsia" w:ascii="宋体" w:hAnsi="宋体"/>
          <w:sz w:val="24"/>
          <w:szCs w:val="24"/>
          <w:lang w:eastAsia="zh-CN"/>
        </w:rPr>
        <w:t>储备实施</w:t>
      </w:r>
      <w:r>
        <w:rPr>
          <w:rFonts w:hint="eastAsia" w:ascii="宋体" w:hAnsi="宋体"/>
          <w:sz w:val="24"/>
          <w:szCs w:val="24"/>
        </w:rPr>
        <w:t>计划:</w:t>
      </w:r>
    </w:p>
    <w:tbl>
      <w:tblPr>
        <w:tblStyle w:val="9"/>
        <w:tblW w:w="890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4"/>
        <w:gridCol w:w="1177"/>
        <w:gridCol w:w="1780"/>
        <w:gridCol w:w="1780"/>
        <w:gridCol w:w="178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4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招聘岗位</w:t>
            </w:r>
          </w:p>
        </w:tc>
        <w:tc>
          <w:tcPr>
            <w:tcW w:w="117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第一季度</w:t>
            </w:r>
          </w:p>
        </w:tc>
        <w:tc>
          <w:tcPr>
            <w:tcW w:w="178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第二季度</w:t>
            </w:r>
          </w:p>
        </w:tc>
        <w:tc>
          <w:tcPr>
            <w:tcW w:w="178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第三季度</w:t>
            </w:r>
          </w:p>
        </w:tc>
        <w:tc>
          <w:tcPr>
            <w:tcW w:w="178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第四季度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2384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操作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岗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</w:trPr>
        <w:tc>
          <w:tcPr>
            <w:tcW w:w="238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技术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支持岗</w:t>
            </w:r>
          </w:p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（高级运维工程师）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7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7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0</w:t>
            </w:r>
          </w:p>
        </w:tc>
      </w:tr>
    </w:tbl>
    <w:p>
      <w:pPr>
        <w:rPr>
          <w:rFonts w:ascii="宋体" w:hAnsi="宋体" w:cs="宋体"/>
          <w:sz w:val="24"/>
          <w:szCs w:val="24"/>
          <w:highlight w:val="yellow"/>
          <w:lang w:val="en-GB"/>
        </w:rPr>
      </w:pPr>
    </w:p>
    <w:p>
      <w:pPr>
        <w:spacing w:line="360" w:lineRule="auto"/>
        <w:outlineLvl w:val="0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/>
          <w:b/>
          <w:bCs/>
          <w:sz w:val="24"/>
          <w:szCs w:val="24"/>
        </w:rPr>
        <w:br w:type="page"/>
      </w:r>
      <w:bookmarkStart w:id="9" w:name="_Toc4255"/>
      <w:r>
        <w:rPr>
          <w:rFonts w:hint="eastAsia" w:ascii="宋体" w:hAnsi="宋体" w:cs="宋体"/>
          <w:b/>
          <w:bCs/>
          <w:sz w:val="32"/>
          <w:szCs w:val="32"/>
        </w:rPr>
        <w:t>三、储备渠道建设</w:t>
      </w:r>
      <w:bookmarkEnd w:id="9"/>
    </w:p>
    <w:p>
      <w:pPr>
        <w:spacing w:line="360" w:lineRule="auto"/>
        <w:rPr>
          <w:rFonts w:ascii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1</w:t>
      </w:r>
      <w:r>
        <w:rPr>
          <w:rFonts w:hint="eastAsia" w:ascii="宋体" w:hAnsi="宋体" w:cs="宋体"/>
          <w:sz w:val="24"/>
          <w:szCs w:val="24"/>
        </w:rPr>
        <w:t>、拓宽招聘渠道：在原有传统招聘渠道之上，增加了网络招聘网站（如51JOB、赶集网等），扩大了招聘渠道，同时也为储备人才奠定了基础。</w:t>
      </w:r>
    </w:p>
    <w:p>
      <w:pPr>
        <w:spacing w:line="360" w:lineRule="auto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2</w:t>
      </w:r>
      <w:r>
        <w:rPr>
          <w:rFonts w:hint="eastAsia" w:ascii="宋体" w:hAnsi="宋体" w:cs="宋体"/>
          <w:sz w:val="24"/>
          <w:szCs w:val="24"/>
        </w:rPr>
        <w:t>、内部推荐渠道：有利于人才稳定。</w:t>
      </w:r>
    </w:p>
    <w:p>
      <w:pPr>
        <w:spacing w:line="360" w:lineRule="auto"/>
        <w:outlineLvl w:val="0"/>
        <w:rPr>
          <w:rFonts w:ascii="宋体" w:hAnsi="宋体" w:cs="宋体"/>
          <w:b/>
          <w:bCs/>
          <w:sz w:val="32"/>
          <w:szCs w:val="32"/>
        </w:rPr>
      </w:pPr>
      <w:bookmarkStart w:id="10" w:name="_Toc18483"/>
      <w:r>
        <w:rPr>
          <w:rFonts w:hint="eastAsia" w:ascii="宋体" w:hAnsi="宋体" w:cs="宋体"/>
          <w:b/>
          <w:bCs/>
          <w:sz w:val="32"/>
          <w:szCs w:val="32"/>
        </w:rPr>
        <w:t>四、招聘方案及投入</w:t>
      </w:r>
      <w:bookmarkEnd w:id="10"/>
    </w:p>
    <w:tbl>
      <w:tblPr>
        <w:tblStyle w:val="9"/>
        <w:tblW w:w="9639" w:type="dxa"/>
        <w:tblInd w:w="-1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6"/>
        <w:gridCol w:w="3209"/>
        <w:gridCol w:w="1880"/>
        <w:gridCol w:w="251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6" w:type="dxa"/>
            <w:shd w:val="clear" w:color="auto" w:fill="C0C0C0"/>
            <w:vAlign w:val="center"/>
          </w:tcPr>
          <w:p>
            <w:pPr>
              <w:spacing w:line="360" w:lineRule="auto"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职位</w:t>
            </w:r>
          </w:p>
        </w:tc>
        <w:tc>
          <w:tcPr>
            <w:tcW w:w="3209" w:type="dxa"/>
            <w:tcBorders>
              <w:right w:val="single" w:color="auto" w:sz="4" w:space="0"/>
            </w:tcBorders>
            <w:shd w:val="clear" w:color="auto" w:fill="C0C0C0"/>
            <w:vAlign w:val="center"/>
          </w:tcPr>
          <w:p>
            <w:pPr>
              <w:spacing w:line="360" w:lineRule="auto"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招聘渠道</w:t>
            </w:r>
          </w:p>
        </w:tc>
        <w:tc>
          <w:tcPr>
            <w:tcW w:w="1880" w:type="dxa"/>
            <w:tcBorders>
              <w:left w:val="single" w:color="auto" w:sz="4" w:space="0"/>
            </w:tcBorders>
            <w:shd w:val="clear" w:color="auto" w:fill="C0C0C0"/>
            <w:vAlign w:val="center"/>
          </w:tcPr>
          <w:p>
            <w:pPr>
              <w:spacing w:line="360" w:lineRule="auto"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时间</w:t>
            </w:r>
          </w:p>
        </w:tc>
        <w:tc>
          <w:tcPr>
            <w:tcW w:w="2514" w:type="dxa"/>
            <w:shd w:val="clear" w:color="auto" w:fill="C0C0C0"/>
            <w:vAlign w:val="center"/>
          </w:tcPr>
          <w:p>
            <w:pPr>
              <w:spacing w:line="360" w:lineRule="auto"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预算费用（元）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</w:trPr>
        <w:tc>
          <w:tcPr>
            <w:tcW w:w="2036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行政、管理类</w:t>
            </w:r>
          </w:p>
        </w:tc>
        <w:tc>
          <w:tcPr>
            <w:tcW w:w="3209" w:type="dxa"/>
            <w:tcBorders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1</w:t>
            </w:r>
            <w:r>
              <w:rPr>
                <w:rFonts w:hint="eastAsia" w:ascii="宋体" w:hAnsi="宋体" w:cs="宋体"/>
                <w:kern w:val="0"/>
              </w:rPr>
              <w:t>、智联招聘</w:t>
            </w:r>
          </w:p>
          <w:p>
            <w:pPr>
              <w:spacing w:line="360" w:lineRule="auto"/>
              <w:rPr>
                <w:rFonts w:ascii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2</w:t>
            </w:r>
            <w:r>
              <w:rPr>
                <w:rFonts w:hint="eastAsia" w:ascii="宋体" w:hAnsi="宋体" w:cs="宋体"/>
                <w:kern w:val="0"/>
              </w:rPr>
              <w:t>、51JOB</w:t>
            </w:r>
          </w:p>
          <w:p>
            <w:pPr>
              <w:spacing w:line="360" w:lineRule="auto"/>
              <w:rPr>
                <w:rFonts w:ascii="宋体"/>
                <w:kern w:val="0"/>
              </w:rPr>
            </w:pPr>
          </w:p>
        </w:tc>
        <w:tc>
          <w:tcPr>
            <w:tcW w:w="1880" w:type="dxa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全年</w:t>
            </w:r>
          </w:p>
        </w:tc>
        <w:tc>
          <w:tcPr>
            <w:tcW w:w="2514" w:type="dxa"/>
          </w:tcPr>
          <w:p>
            <w:pPr>
              <w:spacing w:line="360" w:lineRule="auto"/>
              <w:rPr>
                <w:rFonts w:ascii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1</w:t>
            </w:r>
            <w:r>
              <w:rPr>
                <w:rFonts w:hint="eastAsia" w:ascii="宋体" w:hAnsi="宋体" w:cs="宋体"/>
                <w:kern w:val="0"/>
              </w:rPr>
              <w:t>、</w:t>
            </w:r>
            <w:r>
              <w:rPr>
                <w:rFonts w:ascii="宋体" w:hAnsi="宋体" w:cs="宋体"/>
                <w:kern w:val="0"/>
              </w:rPr>
              <w:t>3000</w:t>
            </w:r>
            <w:r>
              <w:rPr>
                <w:rFonts w:hint="eastAsia" w:ascii="宋体" w:hAnsi="宋体" w:cs="宋体"/>
                <w:kern w:val="0"/>
              </w:rPr>
              <w:t>元</w:t>
            </w:r>
          </w:p>
          <w:p>
            <w:pPr>
              <w:spacing w:line="360" w:lineRule="auto"/>
              <w:rPr>
                <w:rFonts w:ascii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2</w:t>
            </w:r>
            <w:r>
              <w:rPr>
                <w:rFonts w:hint="eastAsia" w:ascii="宋体" w:hAnsi="宋体" w:cs="宋体"/>
                <w:kern w:val="0"/>
              </w:rPr>
              <w:t>、无</w:t>
            </w:r>
          </w:p>
          <w:p>
            <w:pPr>
              <w:spacing w:line="360" w:lineRule="auto"/>
              <w:rPr>
                <w:rFonts w:ascii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3</w:t>
            </w:r>
            <w:r>
              <w:rPr>
                <w:rFonts w:hint="eastAsia" w:ascii="宋体" w:hAnsi="宋体" w:cs="宋体"/>
                <w:kern w:val="0"/>
              </w:rPr>
              <w:t>、元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</w:trPr>
        <w:tc>
          <w:tcPr>
            <w:tcW w:w="2036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储备干部</w:t>
            </w:r>
          </w:p>
        </w:tc>
        <w:tc>
          <w:tcPr>
            <w:tcW w:w="3209" w:type="dxa"/>
            <w:tcBorders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1</w:t>
            </w:r>
            <w:r>
              <w:rPr>
                <w:rFonts w:hint="eastAsia" w:ascii="宋体" w:hAnsi="宋体" w:cs="宋体"/>
                <w:kern w:val="0"/>
              </w:rPr>
              <w:t>、内部晋升</w:t>
            </w:r>
          </w:p>
          <w:p>
            <w:pPr>
              <w:spacing w:line="360" w:lineRule="auto"/>
              <w:rPr>
                <w:rFonts w:ascii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2</w:t>
            </w:r>
            <w:r>
              <w:rPr>
                <w:rFonts w:hint="eastAsia" w:ascii="宋体" w:hAnsi="宋体" w:cs="宋体"/>
                <w:kern w:val="0"/>
              </w:rPr>
              <w:t>、员工推荐</w:t>
            </w:r>
          </w:p>
        </w:tc>
        <w:tc>
          <w:tcPr>
            <w:tcW w:w="1880" w:type="dxa"/>
            <w:tcBorders>
              <w:lef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全年</w:t>
            </w:r>
          </w:p>
        </w:tc>
        <w:tc>
          <w:tcPr>
            <w:tcW w:w="2514" w:type="dxa"/>
            <w:tcBorders>
              <w:bottom w:val="single" w:color="auto" w:sz="4" w:space="0"/>
            </w:tcBorders>
          </w:tcPr>
          <w:p>
            <w:pPr>
              <w:spacing w:line="360" w:lineRule="auto"/>
              <w:rPr>
                <w:rFonts w:ascii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1</w:t>
            </w:r>
            <w:r>
              <w:rPr>
                <w:rFonts w:hint="eastAsia" w:ascii="宋体" w:hAnsi="宋体" w:cs="宋体"/>
                <w:kern w:val="0"/>
              </w:rPr>
              <w:t>、招聘人员半个月工资</w:t>
            </w:r>
          </w:p>
          <w:p>
            <w:pPr>
              <w:spacing w:line="360" w:lineRule="auto"/>
              <w:rPr>
                <w:rFonts w:ascii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2</w:t>
            </w:r>
            <w:r>
              <w:rPr>
                <w:rFonts w:hint="eastAsia" w:ascii="宋体" w:hAnsi="宋体" w:cs="宋体"/>
                <w:kern w:val="0"/>
              </w:rPr>
              <w:t>、免费</w:t>
            </w:r>
          </w:p>
          <w:p>
            <w:pPr>
              <w:spacing w:line="360" w:lineRule="auto"/>
              <w:rPr>
                <w:rFonts w:ascii="宋体"/>
                <w:kern w:val="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</w:trPr>
        <w:tc>
          <w:tcPr>
            <w:tcW w:w="2036" w:type="dxa"/>
            <w:vAlign w:val="center"/>
          </w:tcPr>
          <w:p>
            <w:pPr>
              <w:spacing w:line="360" w:lineRule="auto"/>
              <w:jc w:val="center"/>
              <w:rPr>
                <w:rFonts w:ascii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技术人员</w:t>
            </w:r>
          </w:p>
        </w:tc>
        <w:tc>
          <w:tcPr>
            <w:tcW w:w="3209" w:type="dxa"/>
            <w:tcBorders>
              <w:right w:val="single" w:color="auto" w:sz="4" w:space="0"/>
            </w:tcBorders>
          </w:tcPr>
          <w:p>
            <w:pPr>
              <w:spacing w:line="360" w:lineRule="auto"/>
              <w:rPr>
                <w:rFonts w:ascii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1</w:t>
            </w:r>
            <w:r>
              <w:rPr>
                <w:rFonts w:hint="eastAsia" w:ascii="宋体" w:hAnsi="宋体" w:cs="宋体"/>
                <w:kern w:val="0"/>
              </w:rPr>
              <w:t>、智联招聘</w:t>
            </w:r>
          </w:p>
          <w:p>
            <w:pPr>
              <w:spacing w:line="360" w:lineRule="auto"/>
              <w:rPr>
                <w:rFonts w:ascii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2</w:t>
            </w:r>
            <w:r>
              <w:rPr>
                <w:rFonts w:hint="eastAsia" w:ascii="宋体" w:hAnsi="宋体" w:cs="宋体"/>
                <w:kern w:val="0"/>
              </w:rPr>
              <w:t>、51JOB</w:t>
            </w:r>
          </w:p>
          <w:p>
            <w:pPr>
              <w:spacing w:line="360" w:lineRule="auto"/>
              <w:rPr>
                <w:rFonts w:ascii="宋体"/>
                <w:kern w:val="0"/>
              </w:rPr>
            </w:pPr>
          </w:p>
        </w:tc>
        <w:tc>
          <w:tcPr>
            <w:tcW w:w="1880" w:type="dxa"/>
            <w:tcBorders>
              <w:left w:val="single" w:color="auto" w:sz="4" w:space="0"/>
            </w:tcBorders>
          </w:tcPr>
          <w:p>
            <w:pPr>
              <w:spacing w:line="360" w:lineRule="auto"/>
              <w:ind w:firstLine="315" w:firstLineChars="150"/>
              <w:rPr>
                <w:rFonts w:ascii="宋体"/>
                <w:kern w:val="0"/>
              </w:rPr>
            </w:pPr>
          </w:p>
          <w:p>
            <w:pPr>
              <w:spacing w:line="360" w:lineRule="auto"/>
              <w:ind w:firstLine="630" w:firstLineChars="300"/>
              <w:rPr>
                <w:rFonts w:ascii="宋体"/>
                <w:kern w:val="0"/>
              </w:rPr>
            </w:pPr>
            <w:r>
              <w:rPr>
                <w:rFonts w:hint="eastAsia" w:ascii="宋体" w:hAnsi="宋体" w:cs="宋体"/>
                <w:kern w:val="0"/>
              </w:rPr>
              <w:t>全年</w:t>
            </w:r>
          </w:p>
          <w:p>
            <w:pPr>
              <w:spacing w:line="360" w:lineRule="auto"/>
              <w:ind w:firstLine="105" w:firstLineChars="50"/>
              <w:rPr>
                <w:rFonts w:ascii="宋体"/>
                <w:kern w:val="0"/>
              </w:rPr>
            </w:pPr>
          </w:p>
        </w:tc>
        <w:tc>
          <w:tcPr>
            <w:tcW w:w="2514" w:type="dxa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1</w:t>
            </w:r>
            <w:r>
              <w:rPr>
                <w:rFonts w:hint="eastAsia" w:ascii="宋体" w:hAnsi="宋体" w:cs="宋体"/>
                <w:kern w:val="0"/>
              </w:rPr>
              <w:t>、</w:t>
            </w:r>
            <w:r>
              <w:rPr>
                <w:rFonts w:ascii="宋体" w:hAnsi="宋体" w:cs="宋体"/>
                <w:kern w:val="0"/>
              </w:rPr>
              <w:t>4800</w:t>
            </w:r>
            <w:r>
              <w:rPr>
                <w:rFonts w:hint="eastAsia" w:ascii="宋体" w:hAnsi="宋体" w:cs="宋体"/>
                <w:kern w:val="0"/>
              </w:rPr>
              <w:t>元</w:t>
            </w:r>
          </w:p>
          <w:p>
            <w:pPr>
              <w:spacing w:line="360" w:lineRule="auto"/>
              <w:rPr>
                <w:rFonts w:ascii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2</w:t>
            </w:r>
            <w:r>
              <w:rPr>
                <w:rFonts w:hint="eastAsia" w:ascii="宋体" w:hAnsi="宋体" w:cs="宋体"/>
                <w:kern w:val="0"/>
              </w:rPr>
              <w:t>、无</w:t>
            </w:r>
          </w:p>
          <w:p>
            <w:pPr>
              <w:spacing w:line="360" w:lineRule="auto"/>
              <w:jc w:val="left"/>
              <w:rPr>
                <w:rFonts w:ascii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>3</w:t>
            </w:r>
            <w:r>
              <w:rPr>
                <w:rFonts w:hint="eastAsia" w:ascii="宋体" w:hAnsi="宋体" w:cs="宋体"/>
                <w:kern w:val="0"/>
              </w:rPr>
              <w:t>、元</w:t>
            </w:r>
          </w:p>
        </w:tc>
      </w:tr>
    </w:tbl>
    <w:p>
      <w:pPr>
        <w:spacing w:line="360" w:lineRule="auto"/>
        <w:outlineLvl w:val="0"/>
        <w:rPr>
          <w:rFonts w:ascii="宋体" w:hAnsi="宋体" w:cs="宋体"/>
          <w:b/>
          <w:bCs/>
          <w:sz w:val="32"/>
          <w:szCs w:val="32"/>
        </w:rPr>
      </w:pPr>
      <w:bookmarkStart w:id="11" w:name="_Toc2752"/>
      <w:r>
        <w:rPr>
          <w:rFonts w:hint="eastAsia" w:ascii="宋体" w:hAnsi="宋体" w:cs="宋体"/>
          <w:b/>
          <w:bCs/>
          <w:sz w:val="32"/>
          <w:szCs w:val="32"/>
        </w:rPr>
        <w:t>五、招聘的实施</w:t>
      </w:r>
      <w:bookmarkEnd w:id="11"/>
    </w:p>
    <w:p>
      <w:pPr>
        <w:autoSpaceDE w:val="0"/>
        <w:autoSpaceDN w:val="0"/>
        <w:adjustRightInd w:val="0"/>
        <w:spacing w:line="360" w:lineRule="auto"/>
        <w:jc w:val="left"/>
        <w:outlineLvl w:val="0"/>
        <w:rPr>
          <w:rFonts w:ascii="宋体"/>
          <w:kern w:val="0"/>
          <w:sz w:val="24"/>
          <w:szCs w:val="24"/>
        </w:rPr>
      </w:pPr>
      <w:bookmarkStart w:id="12" w:name="_Toc10090"/>
      <w:r>
        <w:rPr>
          <w:rFonts w:ascii="宋体" w:hAnsi="宋体" w:cs="宋体"/>
          <w:kern w:val="0"/>
          <w:sz w:val="24"/>
          <w:szCs w:val="24"/>
        </w:rPr>
        <w:t>5.1</w:t>
      </w:r>
      <w:r>
        <w:rPr>
          <w:rFonts w:hint="eastAsia" w:ascii="宋体" w:hAnsi="宋体" w:cs="宋体"/>
          <w:kern w:val="0"/>
          <w:sz w:val="24"/>
          <w:szCs w:val="24"/>
        </w:rPr>
        <w:t>第一阶段</w:t>
      </w:r>
      <w:bookmarkEnd w:id="12"/>
    </w:p>
    <w:p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2月中旬至6月，属招聘高峰期间，将不同的职位需求，通过智联招聘、</w:t>
      </w:r>
      <w:r>
        <w:rPr>
          <w:rFonts w:ascii="宋体" w:hAnsi="宋体" w:cs="宋体"/>
          <w:kern w:val="0"/>
          <w:sz w:val="24"/>
          <w:szCs w:val="24"/>
        </w:rPr>
        <w:t>5</w:t>
      </w:r>
      <w:r>
        <w:rPr>
          <w:rFonts w:hint="eastAsia" w:ascii="宋体" w:hAnsi="宋体" w:cs="宋体"/>
          <w:kern w:val="0"/>
          <w:sz w:val="24"/>
          <w:szCs w:val="24"/>
        </w:rPr>
        <w:t>1JOB进行网络招聘具体如下：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</w:t>
      </w:r>
      <w:r>
        <w:rPr>
          <w:rFonts w:ascii="宋体" w:hAnsi="宋体" w:cs="宋体"/>
          <w:kern w:val="0"/>
          <w:sz w:val="24"/>
          <w:szCs w:val="24"/>
        </w:rPr>
        <w:t>1</w:t>
      </w:r>
      <w:r>
        <w:rPr>
          <w:rFonts w:hint="eastAsia" w:ascii="宋体" w:hAnsi="宋体" w:cs="宋体"/>
          <w:kern w:val="0"/>
          <w:sz w:val="24"/>
          <w:szCs w:val="24"/>
        </w:rPr>
        <w:t>）坚持每天刷新网络招聘信息及简历筛选与联系，每周至少</w:t>
      </w:r>
      <w:r>
        <w:rPr>
          <w:rFonts w:ascii="宋体" w:hAnsi="宋体" w:cs="宋体"/>
          <w:kern w:val="0"/>
          <w:sz w:val="24"/>
          <w:szCs w:val="24"/>
        </w:rPr>
        <w:t xml:space="preserve"> 2 </w:t>
      </w:r>
      <w:r>
        <w:rPr>
          <w:rFonts w:hint="eastAsia" w:ascii="宋体" w:hAnsi="宋体" w:cs="宋体"/>
          <w:kern w:val="0"/>
          <w:sz w:val="24"/>
          <w:szCs w:val="24"/>
        </w:rPr>
        <w:t>次以上集体面试邀约；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</w:t>
      </w:r>
      <w:r>
        <w:rPr>
          <w:rFonts w:ascii="宋体" w:hAnsi="宋体" w:cs="宋体"/>
          <w:kern w:val="0"/>
          <w:sz w:val="24"/>
          <w:szCs w:val="24"/>
        </w:rPr>
        <w:t>2</w:t>
      </w:r>
      <w:r>
        <w:rPr>
          <w:rFonts w:hint="eastAsia" w:ascii="宋体" w:hAnsi="宋体" w:cs="宋体"/>
          <w:kern w:val="0"/>
          <w:sz w:val="24"/>
          <w:szCs w:val="24"/>
        </w:rPr>
        <w:t>）每周坚持</w:t>
      </w:r>
      <w:r>
        <w:rPr>
          <w:rFonts w:ascii="宋体" w:hAnsi="宋体" w:cs="宋体"/>
          <w:kern w:val="0"/>
          <w:sz w:val="24"/>
          <w:szCs w:val="24"/>
        </w:rPr>
        <w:t xml:space="preserve"> 2 </w:t>
      </w:r>
      <w:r>
        <w:rPr>
          <w:rFonts w:hint="eastAsia" w:ascii="宋体" w:hAnsi="宋体" w:cs="宋体"/>
          <w:kern w:val="0"/>
          <w:sz w:val="24"/>
          <w:szCs w:val="24"/>
        </w:rPr>
        <w:t>次以上，网络人才主动搜寻联系，补充少数岗位的空缺及离职补缺；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</w:t>
      </w:r>
      <w:r>
        <w:rPr>
          <w:rFonts w:ascii="宋体" w:hAnsi="宋体" w:cs="宋体"/>
          <w:kern w:val="0"/>
          <w:sz w:val="24"/>
          <w:szCs w:val="24"/>
        </w:rPr>
        <w:t>3</w:t>
      </w:r>
      <w:r>
        <w:rPr>
          <w:rFonts w:hint="eastAsia" w:ascii="宋体" w:hAnsi="宋体" w:cs="宋体"/>
          <w:kern w:val="0"/>
          <w:sz w:val="24"/>
          <w:szCs w:val="24"/>
        </w:rPr>
        <w:t>）组织部门架构的了解分析、在岗人员的了解分析；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</w:t>
      </w:r>
      <w:r>
        <w:rPr>
          <w:rFonts w:ascii="宋体" w:hAnsi="宋体" w:cs="宋体"/>
          <w:kern w:val="0"/>
          <w:sz w:val="24"/>
          <w:szCs w:val="24"/>
        </w:rPr>
        <w:t>4</w:t>
      </w:r>
      <w:r>
        <w:rPr>
          <w:rFonts w:hint="eastAsia" w:ascii="宋体" w:hAnsi="宋体" w:cs="宋体"/>
          <w:kern w:val="0"/>
          <w:sz w:val="24"/>
          <w:szCs w:val="24"/>
        </w:rPr>
        <w:t>）对当年新入职人员的关注、沟通、培训、统计分析；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</w:t>
      </w:r>
      <w:r>
        <w:rPr>
          <w:rFonts w:ascii="宋体" w:hAnsi="宋体" w:cs="宋体"/>
          <w:kern w:val="0"/>
          <w:sz w:val="24"/>
          <w:szCs w:val="24"/>
        </w:rPr>
        <w:t>5</w:t>
      </w:r>
      <w:r>
        <w:rPr>
          <w:rFonts w:hint="eastAsia" w:ascii="宋体" w:hAnsi="宋体" w:cs="宋体"/>
          <w:kern w:val="0"/>
          <w:sz w:val="24"/>
          <w:szCs w:val="24"/>
        </w:rPr>
        <w:t>）准备申报下半年的校园招聘会。</w:t>
      </w:r>
    </w:p>
    <w:p>
      <w:pPr>
        <w:autoSpaceDE w:val="0"/>
        <w:autoSpaceDN w:val="0"/>
        <w:adjustRightInd w:val="0"/>
        <w:spacing w:line="360" w:lineRule="auto"/>
        <w:jc w:val="left"/>
        <w:outlineLvl w:val="0"/>
        <w:rPr>
          <w:rFonts w:ascii="宋体"/>
          <w:kern w:val="0"/>
          <w:sz w:val="24"/>
          <w:szCs w:val="24"/>
        </w:rPr>
      </w:pPr>
      <w:bookmarkStart w:id="13" w:name="_Toc1003"/>
      <w:r>
        <w:rPr>
          <w:rFonts w:ascii="宋体" w:hAnsi="宋体" w:cs="宋体"/>
          <w:kern w:val="0"/>
          <w:sz w:val="24"/>
          <w:szCs w:val="24"/>
        </w:rPr>
        <w:t xml:space="preserve">5.2 </w:t>
      </w:r>
      <w:r>
        <w:rPr>
          <w:rFonts w:hint="eastAsia" w:ascii="宋体" w:hAnsi="宋体" w:cs="宋体"/>
          <w:kern w:val="0"/>
          <w:sz w:val="24"/>
          <w:szCs w:val="24"/>
        </w:rPr>
        <w:t>第二阶段</w:t>
      </w:r>
      <w:bookmarkEnd w:id="13"/>
    </w:p>
    <w:p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ascii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>7</w:t>
      </w:r>
      <w:r>
        <w:rPr>
          <w:rFonts w:hint="eastAsia" w:ascii="宋体" w:hAnsi="宋体" w:cs="宋体"/>
          <w:kern w:val="0"/>
          <w:sz w:val="24"/>
          <w:szCs w:val="24"/>
        </w:rPr>
        <w:t>月底至11月底，此阶段整体求职人员数量较少且分散，故此段时间进入常规化的招聘阶段，主要进行日常的人员流失补充及处理突发性招聘。将以每月一周的方式，将不同的职位需求，通过智联招聘、</w:t>
      </w:r>
      <w:r>
        <w:rPr>
          <w:rFonts w:ascii="宋体" w:hAnsi="宋体" w:cs="宋体"/>
          <w:kern w:val="0"/>
          <w:sz w:val="24"/>
          <w:szCs w:val="24"/>
        </w:rPr>
        <w:t>5</w:t>
      </w:r>
      <w:r>
        <w:rPr>
          <w:rFonts w:hint="eastAsia" w:ascii="宋体" w:hAnsi="宋体" w:cs="宋体"/>
          <w:kern w:val="0"/>
          <w:sz w:val="24"/>
          <w:szCs w:val="24"/>
        </w:rPr>
        <w:t>1JOB进行网络招聘平台进行网络招聘。</w:t>
      </w:r>
    </w:p>
    <w:p>
      <w:pPr>
        <w:spacing w:line="360" w:lineRule="auto"/>
        <w:textAlignment w:val="baseline"/>
        <w:rPr>
          <w:rFonts w:ascii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   1.</w:t>
      </w:r>
      <w:r>
        <w:rPr>
          <w:rFonts w:hint="eastAsia" w:ascii="宋体" w:hAnsi="宋体" w:cs="宋体"/>
          <w:kern w:val="0"/>
          <w:sz w:val="24"/>
          <w:szCs w:val="24"/>
        </w:rPr>
        <w:t>招聘小组成员</w:t>
      </w:r>
    </w:p>
    <w:p>
      <w:pPr>
        <w:pStyle w:val="8"/>
        <w:spacing w:before="0" w:beforeAutospacing="0" w:after="0" w:afterAutospacing="0" w:line="360" w:lineRule="auto"/>
        <w:ind w:firstLine="480" w:firstLineChars="200"/>
        <w:textAlignment w:val="baseline"/>
        <w:rPr>
          <w:rFonts w:cs="Times New Roman"/>
        </w:rPr>
      </w:pPr>
      <w:r>
        <w:rPr>
          <w:rFonts w:hint="eastAsia"/>
        </w:rPr>
        <w:t>组长：人力资源经理</w:t>
      </w:r>
    </w:p>
    <w:p>
      <w:pPr>
        <w:pStyle w:val="8"/>
        <w:spacing w:before="0" w:beforeAutospacing="0" w:after="0" w:afterAutospacing="0" w:line="360" w:lineRule="auto"/>
        <w:ind w:firstLine="480" w:firstLineChars="200"/>
        <w:textAlignment w:val="baseline"/>
        <w:rPr>
          <w:rFonts w:cs="Times New Roman"/>
        </w:rPr>
      </w:pPr>
      <w:r>
        <w:rPr>
          <w:rFonts w:hint="eastAsia"/>
        </w:rPr>
        <w:t>组员：各部门经理</w:t>
      </w:r>
    </w:p>
    <w:p>
      <w:pPr>
        <w:pStyle w:val="8"/>
        <w:spacing w:before="0" w:beforeAutospacing="0" w:after="0" w:afterAutospacing="0" w:line="360" w:lineRule="auto"/>
        <w:ind w:firstLine="360" w:firstLineChars="150"/>
        <w:textAlignment w:val="baseline"/>
        <w:rPr>
          <w:rFonts w:cs="Times New Roman"/>
        </w:rPr>
      </w:pPr>
      <w:r>
        <w:t>2.</w:t>
      </w:r>
      <w:r>
        <w:rPr>
          <w:rFonts w:hint="eastAsia"/>
        </w:rPr>
        <w:t>小组职责</w:t>
      </w:r>
    </w:p>
    <w:p>
      <w:pPr>
        <w:pStyle w:val="8"/>
        <w:spacing w:before="0" w:beforeAutospacing="0" w:after="0" w:afterAutospacing="0" w:line="360" w:lineRule="auto"/>
        <w:ind w:firstLine="600" w:firstLineChars="250"/>
        <w:textAlignment w:val="baseline"/>
        <w:rPr>
          <w:rFonts w:cs="Times New Roman"/>
        </w:rPr>
      </w:pPr>
      <w:r>
        <w:rPr>
          <w:rFonts w:hint="eastAsia"/>
        </w:rPr>
        <w:t>组长负责：</w:t>
      </w:r>
    </w:p>
    <w:p>
      <w:pPr>
        <w:pStyle w:val="8"/>
        <w:numPr>
          <w:ilvl w:val="0"/>
          <w:numId w:val="1"/>
        </w:numPr>
        <w:spacing w:before="0" w:beforeAutospacing="0" w:after="0" w:afterAutospacing="0" w:line="360" w:lineRule="auto"/>
        <w:textAlignment w:val="baseline"/>
      </w:pPr>
      <w:r>
        <w:rPr>
          <w:rFonts w:hint="eastAsia"/>
        </w:rPr>
        <w:t>定招聘时间和海报内容以及与外部的联络工作；</w:t>
      </w:r>
    </w:p>
    <w:p>
      <w:pPr>
        <w:pStyle w:val="8"/>
        <w:numPr>
          <w:ilvl w:val="0"/>
          <w:numId w:val="1"/>
        </w:numPr>
        <w:spacing w:before="0" w:beforeAutospacing="0" w:after="0" w:afterAutospacing="0" w:line="360" w:lineRule="auto"/>
        <w:textAlignment w:val="baseline"/>
      </w:pPr>
      <w:r>
        <w:rPr>
          <w:rFonts w:hint="eastAsia"/>
        </w:rPr>
        <w:t>校园张贴的招聘广告撰写和联系发布；</w:t>
      </w:r>
    </w:p>
    <w:p>
      <w:pPr>
        <w:pStyle w:val="8"/>
        <w:numPr>
          <w:ilvl w:val="0"/>
          <w:numId w:val="1"/>
        </w:numPr>
        <w:spacing w:before="0" w:beforeAutospacing="0" w:after="0" w:afterAutospacing="0" w:line="360" w:lineRule="auto"/>
        <w:textAlignment w:val="baseline"/>
      </w:pPr>
      <w:r>
        <w:rPr>
          <w:rFonts w:hint="eastAsia"/>
        </w:rPr>
        <w:t>与学校的招聘联系；</w:t>
      </w:r>
    </w:p>
    <w:p>
      <w:pPr>
        <w:pStyle w:val="8"/>
        <w:numPr>
          <w:ilvl w:val="0"/>
          <w:numId w:val="1"/>
        </w:numPr>
        <w:spacing w:before="0" w:beforeAutospacing="0" w:after="0" w:afterAutospacing="0" w:line="360" w:lineRule="auto"/>
        <w:textAlignment w:val="baseline"/>
      </w:pPr>
      <w:r>
        <w:rPr>
          <w:rFonts w:hint="eastAsia"/>
        </w:rPr>
        <w:t>根据不同岗位特点，及时提出针对性的招聘建议和方法；</w:t>
      </w:r>
    </w:p>
    <w:p>
      <w:pPr>
        <w:pStyle w:val="8"/>
        <w:numPr>
          <w:ilvl w:val="0"/>
          <w:numId w:val="1"/>
        </w:numPr>
        <w:spacing w:before="0" w:beforeAutospacing="0" w:after="0" w:afterAutospacing="0" w:line="360" w:lineRule="auto"/>
        <w:textAlignment w:val="baseline"/>
      </w:pPr>
      <w:r>
        <w:rPr>
          <w:rFonts w:hint="eastAsia"/>
        </w:rPr>
        <w:t>其他相关的招聘工作。</w:t>
      </w:r>
    </w:p>
    <w:p>
      <w:pPr>
        <w:pStyle w:val="8"/>
        <w:spacing w:before="0" w:beforeAutospacing="0" w:after="0" w:afterAutospacing="0" w:line="360" w:lineRule="auto"/>
        <w:ind w:firstLine="600" w:firstLineChars="250"/>
        <w:textAlignment w:val="baseline"/>
        <w:rPr>
          <w:rFonts w:cs="Times New Roman"/>
        </w:rPr>
      </w:pPr>
      <w:r>
        <w:rPr>
          <w:rFonts w:hint="eastAsia"/>
        </w:rPr>
        <w:t>组员负责：</w:t>
      </w:r>
    </w:p>
    <w:p>
      <w:pPr>
        <w:pStyle w:val="8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cs="Times New Roman"/>
        </w:rPr>
      </w:pPr>
      <w:r>
        <w:rPr>
          <w:rFonts w:hint="eastAsia"/>
        </w:rPr>
        <w:t>准备招聘的各类表单等；</w:t>
      </w:r>
    </w:p>
    <w:p>
      <w:pPr>
        <w:pStyle w:val="8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cs="Times New Roman"/>
        </w:rPr>
      </w:pPr>
      <w:r>
        <w:rPr>
          <w:rFonts w:hint="eastAsia"/>
        </w:rPr>
        <w:t>协助组长发布招聘信息；</w:t>
      </w:r>
    </w:p>
    <w:p>
      <w:pPr>
        <w:pStyle w:val="8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cs="Times New Roman"/>
        </w:rPr>
      </w:pPr>
      <w:r>
        <w:rPr>
          <w:rFonts w:hint="eastAsia"/>
        </w:rPr>
        <w:t>协助组长做好招聘的相关对外联络工作（如传真确认等）。</w:t>
      </w:r>
    </w:p>
    <w:p>
      <w:pPr>
        <w:spacing w:line="360" w:lineRule="auto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</w:t>
      </w:r>
      <w:r>
        <w:rPr>
          <w:rFonts w:ascii="宋体" w:hAnsi="宋体" w:cs="宋体"/>
          <w:kern w:val="0"/>
          <w:sz w:val="24"/>
          <w:szCs w:val="24"/>
        </w:rPr>
        <w:t>3</w:t>
      </w:r>
      <w:r>
        <w:rPr>
          <w:rFonts w:hint="eastAsia" w:ascii="宋体" w:hAnsi="宋体" w:cs="宋体"/>
          <w:kern w:val="0"/>
          <w:sz w:val="24"/>
          <w:szCs w:val="24"/>
        </w:rPr>
        <w:t>）相关资料的准备</w:t>
      </w:r>
    </w:p>
    <w:p>
      <w:pPr>
        <w:spacing w:line="360" w:lineRule="auto"/>
        <w:ind w:firstLine="600" w:firstLineChars="250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①公司的宣传资料；</w:t>
      </w:r>
    </w:p>
    <w:p>
      <w:pPr>
        <w:spacing w:line="360" w:lineRule="auto"/>
        <w:ind w:firstLine="600" w:firstLineChars="250"/>
        <w:rPr>
          <w:rFonts w:hint="eastAsia" w:ascii="宋体" w:hAnsi="Wingdings"/>
          <w:kern w:val="0"/>
          <w:sz w:val="24"/>
          <w:szCs w:val="24"/>
        </w:rPr>
      </w:pPr>
      <w:r>
        <w:rPr>
          <w:rFonts w:ascii="Wingdings 2" w:hAnsi="Wingdings 2"/>
          <w:kern w:val="0"/>
          <w:sz w:val="24"/>
          <w:szCs w:val="24"/>
        </w:rPr>
        <w:sym w:font="Wingdings 2" w:char="F06B"/>
      </w:r>
      <w:r>
        <w:rPr>
          <w:rFonts w:hint="eastAsia" w:ascii="宋体" w:hAnsi="Wingdings"/>
          <w:kern w:val="0"/>
          <w:sz w:val="24"/>
          <w:szCs w:val="24"/>
        </w:rPr>
        <w:t>相关考题及问题的准备。</w:t>
      </w:r>
    </w:p>
    <w:p>
      <w:pPr>
        <w:spacing w:line="360" w:lineRule="auto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</w:t>
      </w:r>
      <w:r>
        <w:rPr>
          <w:rFonts w:ascii="宋体" w:hAnsi="宋体" w:cs="宋体"/>
          <w:kern w:val="0"/>
          <w:sz w:val="24"/>
          <w:szCs w:val="24"/>
        </w:rPr>
        <w:t>4</w:t>
      </w:r>
      <w:r>
        <w:rPr>
          <w:rFonts w:hint="eastAsia" w:ascii="宋体" w:hAnsi="宋体" w:cs="宋体"/>
          <w:kern w:val="0"/>
          <w:sz w:val="24"/>
          <w:szCs w:val="24"/>
        </w:rPr>
        <w:t>）展台或是招聘台的布置</w:t>
      </w:r>
    </w:p>
    <w:p>
      <w:pPr>
        <w:numPr>
          <w:ilvl w:val="0"/>
          <w:numId w:val="3"/>
        </w:numPr>
        <w:spacing w:line="360" w:lineRule="auto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宣传标语的准备与布置；</w:t>
      </w:r>
    </w:p>
    <w:p>
      <w:pPr>
        <w:numPr>
          <w:ilvl w:val="0"/>
          <w:numId w:val="3"/>
        </w:numPr>
        <w:spacing w:line="360" w:lineRule="auto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仪器设备的准备。</w:t>
      </w:r>
    </w:p>
    <w:p>
      <w:pPr>
        <w:spacing w:line="360" w:lineRule="auto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</w:t>
      </w:r>
      <w:r>
        <w:rPr>
          <w:rFonts w:ascii="宋体" w:hAnsi="宋体" w:cs="宋体"/>
          <w:kern w:val="0"/>
          <w:sz w:val="24"/>
          <w:szCs w:val="24"/>
        </w:rPr>
        <w:t>5</w:t>
      </w:r>
      <w:r>
        <w:rPr>
          <w:rFonts w:hint="eastAsia" w:ascii="宋体" w:hAnsi="宋体" w:cs="宋体"/>
          <w:kern w:val="0"/>
          <w:sz w:val="24"/>
          <w:szCs w:val="24"/>
        </w:rPr>
        <w:t>）广告宣传</w:t>
      </w:r>
    </w:p>
    <w:p>
      <w:pPr>
        <w:spacing w:line="360" w:lineRule="auto"/>
        <w:ind w:firstLine="600" w:firstLineChars="250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在大学校内发布准备好的宣传资料，做好招聘前期的广告宣传工作。</w:t>
      </w:r>
    </w:p>
    <w:p>
      <w:pPr>
        <w:autoSpaceDE w:val="0"/>
        <w:autoSpaceDN w:val="0"/>
        <w:adjustRightInd w:val="0"/>
        <w:spacing w:line="360" w:lineRule="auto"/>
        <w:jc w:val="left"/>
        <w:outlineLvl w:val="0"/>
        <w:rPr>
          <w:rFonts w:ascii="宋体"/>
          <w:kern w:val="0"/>
          <w:sz w:val="24"/>
          <w:szCs w:val="24"/>
        </w:rPr>
      </w:pPr>
      <w:bookmarkStart w:id="14" w:name="_Toc30882"/>
      <w:r>
        <w:rPr>
          <w:rFonts w:ascii="宋体" w:hAnsi="宋体" w:cs="宋体"/>
          <w:kern w:val="0"/>
          <w:sz w:val="24"/>
          <w:szCs w:val="24"/>
        </w:rPr>
        <w:t>5.</w:t>
      </w:r>
      <w:r>
        <w:rPr>
          <w:rFonts w:hint="eastAsia" w:ascii="宋体" w:hAnsi="宋体" w:cs="宋体"/>
          <w:kern w:val="0"/>
          <w:sz w:val="24"/>
          <w:szCs w:val="24"/>
        </w:rPr>
        <w:t>3</w:t>
      </w:r>
      <w:r>
        <w:rPr>
          <w:rFonts w:ascii="宋体" w:hAnsi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</w:rPr>
        <w:t>第三阶段</w:t>
      </w:r>
      <w:bookmarkEnd w:id="14"/>
    </w:p>
    <w:p>
      <w:pPr>
        <w:autoSpaceDE w:val="0"/>
        <w:autoSpaceDN w:val="0"/>
        <w:adjustRightInd w:val="0"/>
        <w:spacing w:line="360" w:lineRule="auto"/>
        <w:ind w:firstLine="480" w:firstLineChars="200"/>
        <w:jc w:val="left"/>
        <w:rPr>
          <w:rFonts w:ascii="宋体"/>
          <w:kern w:val="0"/>
          <w:sz w:val="24"/>
          <w:szCs w:val="24"/>
        </w:rPr>
      </w:pPr>
      <w:r>
        <w:rPr>
          <w:rFonts w:ascii="宋体" w:hAnsi="宋体" w:cs="宋体"/>
          <w:kern w:val="0"/>
          <w:sz w:val="24"/>
          <w:szCs w:val="24"/>
        </w:rPr>
        <w:t xml:space="preserve">12 </w:t>
      </w:r>
      <w:r>
        <w:rPr>
          <w:rFonts w:hint="eastAsia" w:ascii="宋体" w:hAnsi="宋体" w:cs="宋体"/>
          <w:kern w:val="0"/>
          <w:sz w:val="24"/>
          <w:szCs w:val="24"/>
        </w:rPr>
        <w:t>月底至</w:t>
      </w:r>
      <w:r>
        <w:rPr>
          <w:rFonts w:ascii="宋体" w:hAnsi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2020</w:t>
      </w:r>
      <w:r>
        <w:rPr>
          <w:rFonts w:hint="eastAsia" w:ascii="宋体" w:hAnsi="宋体" w:cs="宋体"/>
          <w:kern w:val="0"/>
          <w:sz w:val="24"/>
          <w:szCs w:val="24"/>
        </w:rPr>
        <w:t>年</w:t>
      </w:r>
      <w:r>
        <w:rPr>
          <w:rFonts w:ascii="宋体" w:hAnsi="宋体" w:cs="宋体"/>
          <w:kern w:val="0"/>
          <w:sz w:val="24"/>
          <w:szCs w:val="24"/>
        </w:rPr>
        <w:t xml:space="preserve"> 1 </w:t>
      </w:r>
      <w:r>
        <w:rPr>
          <w:rFonts w:hint="eastAsia" w:ascii="宋体" w:hAnsi="宋体" w:cs="宋体"/>
          <w:kern w:val="0"/>
          <w:sz w:val="24"/>
          <w:szCs w:val="24"/>
        </w:rPr>
        <w:t>月，此阶段，整体招聘环境不理想，以年度人力资源规划、总结报告，及统计分析为主要工作，非紧急新增岗位，不重点做招聘工作，具体如下：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</w:t>
      </w:r>
      <w:r>
        <w:rPr>
          <w:rFonts w:ascii="宋体" w:hAnsi="宋体" w:cs="宋体"/>
          <w:kern w:val="0"/>
          <w:sz w:val="24"/>
          <w:szCs w:val="24"/>
        </w:rPr>
        <w:t>1</w:t>
      </w:r>
      <w:r>
        <w:rPr>
          <w:rFonts w:hint="eastAsia" w:ascii="宋体" w:hAnsi="宋体" w:cs="宋体"/>
          <w:kern w:val="0"/>
          <w:sz w:val="24"/>
          <w:szCs w:val="24"/>
        </w:rPr>
        <w:t>）公司年度招聘效果分析、公司人力资源分析、协助公司战略分析与讨论；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</w:t>
      </w:r>
      <w:r>
        <w:rPr>
          <w:rFonts w:ascii="宋体" w:hAnsi="宋体" w:cs="宋体"/>
          <w:kern w:val="0"/>
          <w:sz w:val="24"/>
          <w:szCs w:val="24"/>
        </w:rPr>
        <w:t>2</w:t>
      </w:r>
      <w:r>
        <w:rPr>
          <w:rFonts w:hint="eastAsia" w:ascii="宋体" w:hAnsi="宋体" w:cs="宋体"/>
          <w:kern w:val="0"/>
          <w:sz w:val="24"/>
          <w:szCs w:val="24"/>
        </w:rPr>
        <w:t>）编制年度人力资源规划；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</w:t>
      </w:r>
      <w:r>
        <w:rPr>
          <w:rFonts w:ascii="宋体" w:hAnsi="宋体" w:cs="宋体"/>
          <w:kern w:val="0"/>
          <w:sz w:val="24"/>
          <w:szCs w:val="24"/>
        </w:rPr>
        <w:t>3</w:t>
      </w:r>
      <w:r>
        <w:rPr>
          <w:rFonts w:hint="eastAsia" w:ascii="宋体" w:hAnsi="宋体" w:cs="宋体"/>
          <w:kern w:val="0"/>
          <w:sz w:val="24"/>
          <w:szCs w:val="24"/>
        </w:rPr>
        <w:t>）部门工作总结、讨论、分析，沟通确定新年个人工作计划及目标制定；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</w:t>
      </w:r>
      <w:r>
        <w:rPr>
          <w:rFonts w:ascii="宋体" w:hAnsi="宋体" w:cs="宋体"/>
          <w:kern w:val="0"/>
          <w:sz w:val="24"/>
          <w:szCs w:val="24"/>
        </w:rPr>
        <w:t>4</w:t>
      </w:r>
      <w:r>
        <w:rPr>
          <w:rFonts w:hint="eastAsia" w:ascii="宋体" w:hAnsi="宋体" w:cs="宋体"/>
          <w:kern w:val="0"/>
          <w:sz w:val="24"/>
          <w:szCs w:val="24"/>
        </w:rPr>
        <w:t>）建立、编制公司人才培养体系，建立人才成长计划；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</w:t>
      </w:r>
      <w:r>
        <w:rPr>
          <w:rFonts w:ascii="宋体" w:hAnsi="宋体" w:cs="宋体"/>
          <w:kern w:val="0"/>
          <w:sz w:val="24"/>
          <w:szCs w:val="24"/>
        </w:rPr>
        <w:t>5</w:t>
      </w:r>
      <w:r>
        <w:rPr>
          <w:rFonts w:hint="eastAsia" w:ascii="宋体" w:hAnsi="宋体" w:cs="宋体"/>
          <w:kern w:val="0"/>
          <w:sz w:val="24"/>
          <w:szCs w:val="24"/>
        </w:rPr>
        <w:t>）建立并完善人力资源管理制度、流程及体系；</w:t>
      </w:r>
    </w:p>
    <w:p>
      <w:pPr>
        <w:autoSpaceDE w:val="0"/>
        <w:autoSpaceDN w:val="0"/>
        <w:adjustRightInd w:val="0"/>
        <w:spacing w:line="360" w:lineRule="auto"/>
        <w:jc w:val="left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（</w:t>
      </w:r>
      <w:r>
        <w:rPr>
          <w:rFonts w:ascii="宋体" w:hAnsi="宋体" w:cs="宋体"/>
          <w:kern w:val="0"/>
          <w:sz w:val="24"/>
          <w:szCs w:val="24"/>
        </w:rPr>
        <w:t>6</w:t>
      </w:r>
      <w:r>
        <w:rPr>
          <w:rFonts w:hint="eastAsia" w:ascii="宋体" w:hAnsi="宋体" w:cs="宋体"/>
          <w:kern w:val="0"/>
          <w:sz w:val="24"/>
          <w:szCs w:val="24"/>
        </w:rPr>
        <w:t>）申报筹备</w:t>
      </w:r>
      <w:r>
        <w:rPr>
          <w:rFonts w:ascii="宋体" w:hAnsi="宋体" w:cs="宋体"/>
          <w:kern w:val="0"/>
          <w:sz w:val="24"/>
          <w:szCs w:val="24"/>
        </w:rPr>
        <w:t xml:space="preserve"> 20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20</w:t>
      </w:r>
      <w:r>
        <w:rPr>
          <w:rFonts w:hint="eastAsia" w:ascii="宋体" w:hAnsi="宋体" w:cs="宋体"/>
          <w:kern w:val="0"/>
          <w:sz w:val="24"/>
          <w:szCs w:val="24"/>
        </w:rPr>
        <w:t>年年度招聘计划，重点是年初招聘计划。</w:t>
      </w:r>
    </w:p>
    <w:sectPr>
      <w:footerReference r:id="rId9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left="48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left="480"/>
      <w:jc w:val="center"/>
    </w:pPr>
    <w:r>
      <w:rPr>
        <w:rFonts w:hint="eastAsia"/>
      </w:rPr>
      <w:t>青岛九邮信息技术有限公司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auto" w:sz="4" w:space="0"/>
      </w:pBdr>
      <w:ind w:left="480"/>
      <w:jc w:val="center"/>
    </w:pPr>
    <w:r>
      <w:rPr>
        <w:rFonts w:hint="eastAsia"/>
      </w:rPr>
      <w:t>青岛九邮信息技术有限公司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auto" w:sz="4" w:space="0"/>
      </w:pBdr>
      <w:jc w:val="center"/>
    </w:pPr>
    <w:r>
      <w:rPr>
        <w:rFonts w:hint="eastAsia"/>
      </w:rPr>
      <w:t>青岛九邮信息技术有限公司</w:t>
    </w:r>
    <w:bookmarkStart w:id="15" w:name="_GoBack"/>
    <w:bookmarkEnd w:id="15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DB07A0"/>
    <w:multiLevelType w:val="multilevel"/>
    <w:tmpl w:val="25DB07A0"/>
    <w:lvl w:ilvl="0" w:tentative="0">
      <w:start w:val="1"/>
      <w:numFmt w:val="decimalEnclosedCircle"/>
      <w:lvlText w:val="%1"/>
      <w:lvlJc w:val="left"/>
      <w:pPr>
        <w:ind w:left="900" w:hanging="420"/>
      </w:pPr>
      <w:rPr>
        <w:rFonts w:hint="default" w:cs="宋体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4AE74D6A"/>
    <w:multiLevelType w:val="multilevel"/>
    <w:tmpl w:val="4AE74D6A"/>
    <w:lvl w:ilvl="0" w:tentative="0">
      <w:start w:val="1"/>
      <w:numFmt w:val="decimalEnclosedCircle"/>
      <w:lvlText w:val="%1"/>
      <w:lvlJc w:val="left"/>
      <w:pPr>
        <w:ind w:left="1020" w:hanging="420"/>
      </w:pPr>
      <w:rPr>
        <w:rFonts w:hint="default" w:cs="宋体"/>
      </w:rPr>
    </w:lvl>
    <w:lvl w:ilvl="1" w:tentative="0">
      <w:start w:val="1"/>
      <w:numFmt w:val="lowerLetter"/>
      <w:lvlText w:val="%2)"/>
      <w:lvlJc w:val="left"/>
      <w:pPr>
        <w:ind w:left="1440" w:hanging="420"/>
      </w:pPr>
    </w:lvl>
    <w:lvl w:ilvl="2" w:tentative="0">
      <w:start w:val="1"/>
      <w:numFmt w:val="lowerRoman"/>
      <w:lvlText w:val="%3."/>
      <w:lvlJc w:val="right"/>
      <w:pPr>
        <w:ind w:left="1860" w:hanging="420"/>
      </w:pPr>
    </w:lvl>
    <w:lvl w:ilvl="3" w:tentative="0">
      <w:start w:val="1"/>
      <w:numFmt w:val="decimal"/>
      <w:lvlText w:val="%4."/>
      <w:lvlJc w:val="left"/>
      <w:pPr>
        <w:ind w:left="2280" w:hanging="420"/>
      </w:pPr>
    </w:lvl>
    <w:lvl w:ilvl="4" w:tentative="0">
      <w:start w:val="1"/>
      <w:numFmt w:val="lowerLetter"/>
      <w:lvlText w:val="%5)"/>
      <w:lvlJc w:val="left"/>
      <w:pPr>
        <w:ind w:left="2700" w:hanging="420"/>
      </w:pPr>
    </w:lvl>
    <w:lvl w:ilvl="5" w:tentative="0">
      <w:start w:val="1"/>
      <w:numFmt w:val="lowerRoman"/>
      <w:lvlText w:val="%6."/>
      <w:lvlJc w:val="right"/>
      <w:pPr>
        <w:ind w:left="3120" w:hanging="420"/>
      </w:pPr>
    </w:lvl>
    <w:lvl w:ilvl="6" w:tentative="0">
      <w:start w:val="1"/>
      <w:numFmt w:val="decimal"/>
      <w:lvlText w:val="%7."/>
      <w:lvlJc w:val="left"/>
      <w:pPr>
        <w:ind w:left="3540" w:hanging="420"/>
      </w:pPr>
    </w:lvl>
    <w:lvl w:ilvl="7" w:tentative="0">
      <w:start w:val="1"/>
      <w:numFmt w:val="lowerLetter"/>
      <w:lvlText w:val="%8)"/>
      <w:lvlJc w:val="left"/>
      <w:pPr>
        <w:ind w:left="3960" w:hanging="420"/>
      </w:pPr>
    </w:lvl>
    <w:lvl w:ilvl="8" w:tentative="0">
      <w:start w:val="1"/>
      <w:numFmt w:val="lowerRoman"/>
      <w:lvlText w:val="%9."/>
      <w:lvlJc w:val="right"/>
      <w:pPr>
        <w:ind w:left="4380" w:hanging="420"/>
      </w:pPr>
    </w:lvl>
  </w:abstractNum>
  <w:abstractNum w:abstractNumId="2">
    <w:nsid w:val="753E286C"/>
    <w:multiLevelType w:val="multilevel"/>
    <w:tmpl w:val="753E286C"/>
    <w:lvl w:ilvl="0" w:tentative="0">
      <w:start w:val="1"/>
      <w:numFmt w:val="decimalEnclosedCircle"/>
      <w:lvlText w:val="%1"/>
      <w:lvlJc w:val="left"/>
      <w:pPr>
        <w:ind w:left="1020" w:hanging="420"/>
      </w:pPr>
      <w:rPr>
        <w:rFonts w:hint="default" w:cs="宋体"/>
      </w:rPr>
    </w:lvl>
    <w:lvl w:ilvl="1" w:tentative="0">
      <w:start w:val="1"/>
      <w:numFmt w:val="lowerLetter"/>
      <w:lvlText w:val="%2)"/>
      <w:lvlJc w:val="left"/>
      <w:pPr>
        <w:ind w:left="1440" w:hanging="420"/>
      </w:pPr>
    </w:lvl>
    <w:lvl w:ilvl="2" w:tentative="0">
      <w:start w:val="1"/>
      <w:numFmt w:val="lowerRoman"/>
      <w:lvlText w:val="%3."/>
      <w:lvlJc w:val="right"/>
      <w:pPr>
        <w:ind w:left="1860" w:hanging="420"/>
      </w:pPr>
    </w:lvl>
    <w:lvl w:ilvl="3" w:tentative="0">
      <w:start w:val="1"/>
      <w:numFmt w:val="decimal"/>
      <w:lvlText w:val="%4."/>
      <w:lvlJc w:val="left"/>
      <w:pPr>
        <w:ind w:left="2280" w:hanging="420"/>
      </w:pPr>
    </w:lvl>
    <w:lvl w:ilvl="4" w:tentative="0">
      <w:start w:val="1"/>
      <w:numFmt w:val="lowerLetter"/>
      <w:lvlText w:val="%5)"/>
      <w:lvlJc w:val="left"/>
      <w:pPr>
        <w:ind w:left="2700" w:hanging="420"/>
      </w:pPr>
    </w:lvl>
    <w:lvl w:ilvl="5" w:tentative="0">
      <w:start w:val="1"/>
      <w:numFmt w:val="lowerRoman"/>
      <w:lvlText w:val="%6."/>
      <w:lvlJc w:val="right"/>
      <w:pPr>
        <w:ind w:left="3120" w:hanging="420"/>
      </w:pPr>
    </w:lvl>
    <w:lvl w:ilvl="6" w:tentative="0">
      <w:start w:val="1"/>
      <w:numFmt w:val="decimal"/>
      <w:lvlText w:val="%7."/>
      <w:lvlJc w:val="left"/>
      <w:pPr>
        <w:ind w:left="3540" w:hanging="420"/>
      </w:pPr>
    </w:lvl>
    <w:lvl w:ilvl="7" w:tentative="0">
      <w:start w:val="1"/>
      <w:numFmt w:val="lowerLetter"/>
      <w:lvlText w:val="%8)"/>
      <w:lvlJc w:val="left"/>
      <w:pPr>
        <w:ind w:left="3960" w:hanging="420"/>
      </w:pPr>
    </w:lvl>
    <w:lvl w:ilvl="8" w:tentative="0">
      <w:start w:val="1"/>
      <w:numFmt w:val="lowerRoman"/>
      <w:lvlText w:val="%9."/>
      <w:lvlJc w:val="right"/>
      <w:pPr>
        <w:ind w:left="43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6693007"/>
    <w:rsid w:val="18747532"/>
    <w:rsid w:val="2B9067C0"/>
    <w:rsid w:val="36672E71"/>
    <w:rsid w:val="403B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qFormat="1" w:unhideWhenUsed="0" w:uiPriority="99" w:semiHidden="0" w:name="Normal Indent"/>
    <w:lsdException w:uiPriority="99" w:name="footnote text"/>
    <w:lsdException w:uiPriority="99" w:name="annotation text"/>
    <w:lsdException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locked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99"/>
    <w:pPr>
      <w:ind w:firstLine="420" w:firstLineChars="200"/>
    </w:pPr>
  </w:style>
  <w:style w:type="paragraph" w:styleId="4">
    <w:name w:val="Document Map"/>
    <w:basedOn w:val="1"/>
    <w:link w:val="16"/>
    <w:semiHidden/>
    <w:qFormat/>
    <w:uiPriority w:val="99"/>
    <w:pPr>
      <w:shd w:val="clear" w:color="auto" w:fill="000080"/>
    </w:pPr>
    <w:rPr>
      <w:kern w:val="0"/>
      <w:sz w:val="2"/>
      <w:szCs w:val="2"/>
    </w:rPr>
  </w:style>
  <w:style w:type="paragraph" w:styleId="5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locked/>
    <w:uiPriority w:val="39"/>
  </w:style>
  <w:style w:type="paragraph" w:styleId="8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11">
    <w:name w:val="page number"/>
    <w:basedOn w:val="10"/>
    <w:uiPriority w:val="99"/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customStyle="1" w:styleId="13">
    <w:name w:val="apple-style-span"/>
    <w:basedOn w:val="10"/>
    <w:qFormat/>
    <w:uiPriority w:val="99"/>
  </w:style>
  <w:style w:type="character" w:customStyle="1" w:styleId="14">
    <w:name w:val="页眉 字符"/>
    <w:link w:val="6"/>
    <w:qFormat/>
    <w:locked/>
    <w:uiPriority w:val="99"/>
    <w:rPr>
      <w:kern w:val="2"/>
      <w:sz w:val="18"/>
      <w:szCs w:val="18"/>
    </w:rPr>
  </w:style>
  <w:style w:type="character" w:customStyle="1" w:styleId="15">
    <w:name w:val="页脚 字符"/>
    <w:link w:val="5"/>
    <w:qFormat/>
    <w:locked/>
    <w:uiPriority w:val="99"/>
    <w:rPr>
      <w:kern w:val="2"/>
      <w:sz w:val="18"/>
      <w:szCs w:val="18"/>
    </w:rPr>
  </w:style>
  <w:style w:type="character" w:customStyle="1" w:styleId="16">
    <w:name w:val="文档结构图 字符"/>
    <w:link w:val="4"/>
    <w:semiHidden/>
    <w:locked/>
    <w:uiPriority w:val="99"/>
    <w:rPr>
      <w:sz w:val="2"/>
      <w:szCs w:val="2"/>
    </w:rPr>
  </w:style>
  <w:style w:type="paragraph" w:customStyle="1" w:styleId="17">
    <w:name w:val="表格表头"/>
    <w:basedOn w:val="1"/>
    <w:next w:val="3"/>
    <w:qFormat/>
    <w:uiPriority w:val="99"/>
    <w:pPr>
      <w:widowControl/>
      <w:jc w:val="center"/>
    </w:pPr>
    <w:rPr>
      <w:kern w:val="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377</Words>
  <Characters>2152</Characters>
  <Lines>17</Lines>
  <Paragraphs>5</Paragraphs>
  <TotalTime>0</TotalTime>
  <ScaleCrop>false</ScaleCrop>
  <LinksUpToDate>false</LinksUpToDate>
  <CharactersWithSpaces>2524</CharactersWithSpaces>
  <Application>WPS Office_11.1.0.8986_F1E327BC-269C-435d-A152-05C5408002CA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2015-09-25T03:15:00Z</dcterms:created>
  <dc:creator>孙志辉</dc:creator>
  <cp:lastModifiedBy>MEI大東</cp:lastModifiedBy>
  <dcterms:modified xsi:type="dcterms:W3CDTF">2019-09-24T01:24:42Z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2052-11.1.0.8986</vt:lpwstr>
  </property>
</Properties>
</file>