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Pr>
        <w:spacing w:before="240" w:after="240" w:line="480" w:lineRule="auto"/>
        <w:jc w:val="center"/>
        <w:rPr>
          <w:rFonts w:ascii="黑体" w:hAnsi="黑体" w:eastAsia="黑体"/>
          <w:sz w:val="44"/>
        </w:rPr>
      </w:pPr>
      <w:r>
        <w:rPr>
          <w:rFonts w:hint="eastAsia" w:ascii="黑体" w:hAnsi="黑体" w:eastAsia="黑体"/>
          <w:sz w:val="44"/>
        </w:rPr>
        <w:t>运维</w:t>
      </w:r>
      <w:r>
        <w:rPr>
          <w:rFonts w:ascii="黑体" w:hAnsi="黑体" w:eastAsia="黑体"/>
          <w:sz w:val="44"/>
        </w:rPr>
        <w:t>服务</w:t>
      </w:r>
    </w:p>
    <w:p>
      <w:pPr>
        <w:spacing w:before="240" w:after="240" w:line="480" w:lineRule="auto"/>
        <w:jc w:val="center"/>
        <w:rPr>
          <w:rFonts w:ascii="黑体" w:hAnsi="黑体" w:eastAsia="黑体"/>
          <w:sz w:val="44"/>
        </w:rPr>
      </w:pPr>
      <w:r>
        <w:rPr>
          <w:rFonts w:hint="eastAsia" w:ascii="黑体" w:hAnsi="黑体" w:eastAsia="黑体"/>
          <w:sz w:val="44"/>
        </w:rPr>
        <w:t>例行</w:t>
      </w:r>
      <w:r>
        <w:rPr>
          <w:rFonts w:ascii="黑体" w:hAnsi="黑体" w:eastAsia="黑体"/>
          <w:sz w:val="44"/>
        </w:rPr>
        <w:t>操作手册</w:t>
      </w:r>
    </w:p>
    <w:p>
      <w:pPr>
        <w:jc w:val="center"/>
        <w:rPr>
          <w:rFonts w:ascii="黑体" w:hAnsi="黑体" w:eastAsia="黑体"/>
          <w:sz w:val="44"/>
        </w:rPr>
      </w:pPr>
    </w:p>
    <w:p/>
    <w:p/>
    <w:p/>
    <w:p/>
    <w:p/>
    <w:p/>
    <w:p/>
    <w:p/>
    <w:p/>
    <w:p/>
    <w:p/>
    <w:p/>
    <w:p/>
    <w:p/>
    <w:p/>
    <w:p/>
    <w:p/>
    <w:p/>
    <w:p>
      <w:pPr>
        <w:rPr>
          <w:rFonts w:hint="eastAsia"/>
        </w:rPr>
      </w:pPr>
    </w:p>
    <w:p>
      <w:pPr>
        <w:rPr>
          <w:rFonts w:hint="eastAsia"/>
        </w:rPr>
      </w:pPr>
    </w:p>
    <w:p/>
    <w:p/>
    <w:p/>
    <w:p>
      <w:pPr>
        <w:jc w:val="center"/>
        <w:rPr>
          <w:rFonts w:ascii="黑体" w:hAnsi="黑体" w:eastAsia="黑体"/>
          <w:sz w:val="44"/>
          <w:szCs w:val="44"/>
        </w:rPr>
      </w:pPr>
      <w:r>
        <w:rPr>
          <w:rFonts w:hint="eastAsia" w:ascii="黑体" w:hAnsi="黑体" w:eastAsia="黑体"/>
          <w:sz w:val="44"/>
          <w:szCs w:val="44"/>
        </w:rPr>
        <w:t xml:space="preserve"> </w:t>
      </w:r>
    </w:p>
    <w:p/>
    <w:p/>
    <w:p/>
    <w:p/>
    <w:p>
      <w:pPr>
        <w:pStyle w:val="12"/>
        <w:widowControl/>
        <w:numPr>
          <w:ilvl w:val="0"/>
          <w:numId w:val="1"/>
        </w:numPr>
        <w:spacing w:after="240" w:line="270" w:lineRule="atLeast"/>
        <w:ind w:firstLineChars="0"/>
        <w:jc w:val="left"/>
        <w:outlineLvl w:val="0"/>
        <w:rPr>
          <w:rFonts w:ascii="宋体" w:hAnsi="宋体" w:eastAsia="宋体" w:cs="宋体"/>
          <w:b/>
          <w:bCs/>
          <w:kern w:val="36"/>
          <w:sz w:val="32"/>
          <w:szCs w:val="32"/>
        </w:rPr>
        <w:sectPr>
          <w:headerReference r:id="rId3" w:type="default"/>
          <w:pgSz w:w="11906" w:h="16838"/>
          <w:pgMar w:top="1440" w:right="1800" w:bottom="1440" w:left="1800" w:header="851" w:footer="992" w:gutter="0"/>
          <w:cols w:space="425" w:num="1"/>
          <w:docGrid w:type="lines" w:linePitch="312" w:charSpace="0"/>
        </w:sectPr>
      </w:pPr>
    </w:p>
    <w:p>
      <w:pPr>
        <w:pStyle w:val="12"/>
        <w:widowControl/>
        <w:numPr>
          <w:ilvl w:val="0"/>
          <w:numId w:val="1"/>
        </w:numPr>
        <w:spacing w:after="240" w:line="270" w:lineRule="atLeast"/>
        <w:ind w:firstLineChars="0"/>
        <w:jc w:val="left"/>
        <w:outlineLvl w:val="0"/>
        <w:rPr>
          <w:rFonts w:ascii="宋体" w:hAnsi="宋体" w:eastAsia="宋体" w:cs="宋体"/>
          <w:b/>
          <w:bCs/>
          <w:kern w:val="36"/>
          <w:sz w:val="32"/>
          <w:szCs w:val="32"/>
        </w:rPr>
      </w:pPr>
      <w:r>
        <w:rPr>
          <w:rFonts w:hint="eastAsia" w:ascii="宋体" w:hAnsi="宋体" w:eastAsia="宋体" w:cs="宋体"/>
          <w:b/>
          <w:bCs/>
          <w:kern w:val="36"/>
          <w:sz w:val="32"/>
          <w:szCs w:val="32"/>
        </w:rPr>
        <w:t>例行维护简介</w:t>
      </w:r>
    </w:p>
    <w:p>
      <w:pPr>
        <w:widowControl/>
        <w:spacing w:before="120" w:after="120"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设备稳定运行一方面依赖于完备的网络规划，另一方面，通过日常的维护和监测发现设备运行隐患也是非常必要的。</w:t>
      </w:r>
    </w:p>
    <w:p>
      <w:pPr>
        <w:pStyle w:val="12"/>
        <w:widowControl/>
        <w:numPr>
          <w:ilvl w:val="0"/>
          <w:numId w:val="1"/>
        </w:numPr>
        <w:spacing w:after="240" w:line="270" w:lineRule="atLeast"/>
        <w:ind w:firstLineChars="0"/>
        <w:jc w:val="left"/>
        <w:outlineLvl w:val="0"/>
        <w:rPr>
          <w:rFonts w:ascii="宋体" w:hAnsi="宋体" w:eastAsia="宋体" w:cs="宋体"/>
          <w:b/>
          <w:bCs/>
          <w:kern w:val="36"/>
          <w:sz w:val="32"/>
          <w:szCs w:val="32"/>
        </w:rPr>
      </w:pPr>
      <w:r>
        <w:rPr>
          <w:rFonts w:hint="eastAsia" w:ascii="宋体" w:hAnsi="宋体" w:eastAsia="宋体" w:cs="宋体"/>
          <w:b/>
          <w:bCs/>
          <w:kern w:val="36"/>
          <w:sz w:val="32"/>
          <w:szCs w:val="32"/>
        </w:rPr>
        <w:t>设备环境检查</w:t>
      </w:r>
    </w:p>
    <w:p>
      <w:pPr>
        <w:widowControl/>
        <w:spacing w:before="120" w:after="120"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设备运行环境正常是保证设备正常运行的前提。</w:t>
      </w:r>
    </w:p>
    <w:tbl>
      <w:tblPr>
        <w:tblStyle w:val="8"/>
        <w:tblW w:w="8662" w:type="dxa"/>
        <w:tblInd w:w="93" w:type="dxa"/>
        <w:tblLayout w:type="autofit"/>
        <w:tblCellMar>
          <w:top w:w="0" w:type="dxa"/>
          <w:left w:w="108" w:type="dxa"/>
          <w:bottom w:w="0" w:type="dxa"/>
          <w:right w:w="108" w:type="dxa"/>
        </w:tblCellMar>
      </w:tblPr>
      <w:tblGrid>
        <w:gridCol w:w="540"/>
        <w:gridCol w:w="1360"/>
        <w:gridCol w:w="6762"/>
      </w:tblGrid>
      <w:tr>
        <w:tblPrEx>
          <w:tblCellMar>
            <w:top w:w="0" w:type="dxa"/>
            <w:left w:w="108" w:type="dxa"/>
            <w:bottom w:w="0" w:type="dxa"/>
            <w:right w:w="108" w:type="dxa"/>
          </w:tblCellMar>
        </w:tblPrEx>
        <w:trPr>
          <w:trHeight w:val="270" w:hRule="atLeast"/>
        </w:trPr>
        <w:tc>
          <w:tcPr>
            <w:tcW w:w="540" w:type="dxa"/>
            <w:tcBorders>
              <w:top w:val="single" w:color="auto" w:sz="4" w:space="0"/>
              <w:left w:val="single" w:color="auto" w:sz="4" w:space="0"/>
              <w:bottom w:val="single" w:color="auto" w:sz="4" w:space="0"/>
              <w:right w:val="single" w:color="auto"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No.</w:t>
            </w:r>
          </w:p>
        </w:tc>
        <w:tc>
          <w:tcPr>
            <w:tcW w:w="1360" w:type="dxa"/>
            <w:tcBorders>
              <w:top w:val="single" w:color="auto" w:sz="4" w:space="0"/>
              <w:left w:val="nil"/>
              <w:bottom w:val="single" w:color="auto" w:sz="4" w:space="0"/>
              <w:right w:val="single" w:color="auto"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检查项</w:t>
            </w:r>
          </w:p>
        </w:tc>
        <w:tc>
          <w:tcPr>
            <w:tcW w:w="6762" w:type="dxa"/>
            <w:tcBorders>
              <w:top w:val="single" w:color="auto" w:sz="4" w:space="0"/>
              <w:left w:val="nil"/>
              <w:bottom w:val="single" w:color="auto" w:sz="4" w:space="0"/>
              <w:right w:val="single" w:color="auto"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评估标准和说明</w:t>
            </w:r>
          </w:p>
        </w:tc>
      </w:tr>
      <w:tr>
        <w:tblPrEx>
          <w:tblCellMar>
            <w:top w:w="0" w:type="dxa"/>
            <w:left w:w="108" w:type="dxa"/>
            <w:bottom w:w="0" w:type="dxa"/>
            <w:right w:w="108" w:type="dxa"/>
          </w:tblCellMar>
        </w:tblPrEx>
        <w:trPr>
          <w:trHeight w:val="270" w:hRule="atLeast"/>
        </w:trPr>
        <w:tc>
          <w:tcPr>
            <w:tcW w:w="54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w:t>
            </w:r>
          </w:p>
        </w:tc>
        <w:tc>
          <w:tcPr>
            <w:tcW w:w="136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机房温度状况</w:t>
            </w: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长期工作环境温度：0℃～45℃；短期工作环境温度：-5℃～55℃。</w:t>
            </w:r>
          </w:p>
        </w:tc>
      </w:tr>
      <w:tr>
        <w:tblPrEx>
          <w:tblCellMar>
            <w:top w:w="0" w:type="dxa"/>
            <w:left w:w="108" w:type="dxa"/>
            <w:bottom w:w="0" w:type="dxa"/>
            <w:right w:w="108" w:type="dxa"/>
          </w:tblCellMar>
        </w:tblPrEx>
        <w:trPr>
          <w:trHeight w:val="48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3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机房的长期工作环境相对湿度应在5%RH～85%RH之间，不结露；短期工作环境相对湿度应在0%RH～95%RH之间，不结露。</w:t>
            </w:r>
          </w:p>
        </w:tc>
      </w:tr>
      <w:tr>
        <w:tblPrEx>
          <w:tblCellMar>
            <w:top w:w="0" w:type="dxa"/>
            <w:left w:w="108" w:type="dxa"/>
            <w:bottom w:w="0" w:type="dxa"/>
            <w:right w:w="108" w:type="dxa"/>
          </w:tblCellMar>
        </w:tblPrEx>
        <w:trPr>
          <w:trHeight w:val="27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3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若机房的环境温度长期不能满足要求，应考虑检修或更换机房的空调系统。</w:t>
            </w:r>
          </w:p>
        </w:tc>
      </w:tr>
      <w:tr>
        <w:tblPrEx>
          <w:tblCellMar>
            <w:top w:w="0" w:type="dxa"/>
            <w:left w:w="108" w:type="dxa"/>
            <w:bottom w:w="0" w:type="dxa"/>
            <w:right w:w="108" w:type="dxa"/>
          </w:tblCellMar>
        </w:tblPrEx>
        <w:trPr>
          <w:trHeight w:val="48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3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若机房的相对湿度过大，应考虑为机房安装除湿设备；若机房的相对湿度过小，应考虑为机房安装加湿设备。</w:t>
            </w:r>
          </w:p>
        </w:tc>
      </w:tr>
      <w:tr>
        <w:tblPrEx>
          <w:tblCellMar>
            <w:top w:w="0" w:type="dxa"/>
            <w:left w:w="108" w:type="dxa"/>
            <w:bottom w:w="0" w:type="dxa"/>
            <w:right w:w="108" w:type="dxa"/>
          </w:tblCellMar>
        </w:tblPrEx>
        <w:trPr>
          <w:trHeight w:val="27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3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说明：</w:t>
            </w:r>
          </w:p>
        </w:tc>
      </w:tr>
      <w:tr>
        <w:tblPrEx>
          <w:tblCellMar>
            <w:top w:w="0" w:type="dxa"/>
            <w:left w:w="108" w:type="dxa"/>
            <w:bottom w:w="0" w:type="dxa"/>
            <w:right w:w="108" w:type="dxa"/>
          </w:tblCellMar>
        </w:tblPrEx>
        <w:trPr>
          <w:trHeight w:val="48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3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短期工作条件是指连续不超过48小时和每年累计不超过15天。</w:t>
            </w:r>
          </w:p>
        </w:tc>
      </w:tr>
      <w:tr>
        <w:tblPrEx>
          <w:tblCellMar>
            <w:top w:w="0" w:type="dxa"/>
            <w:left w:w="108" w:type="dxa"/>
            <w:bottom w:w="0" w:type="dxa"/>
            <w:right w:w="108" w:type="dxa"/>
          </w:tblCellMar>
        </w:tblPrEx>
        <w:trPr>
          <w:trHeight w:val="270" w:hRule="atLeast"/>
        </w:trPr>
        <w:tc>
          <w:tcPr>
            <w:tcW w:w="54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w:t>
            </w:r>
          </w:p>
        </w:tc>
        <w:tc>
          <w:tcPr>
            <w:tcW w:w="136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清洁状况</w:t>
            </w: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所有项目都应干净整洁无明显尘土附着。</w:t>
            </w:r>
          </w:p>
        </w:tc>
      </w:tr>
      <w:tr>
        <w:tblPrEx>
          <w:tblCellMar>
            <w:top w:w="0" w:type="dxa"/>
            <w:left w:w="108" w:type="dxa"/>
            <w:bottom w:w="0" w:type="dxa"/>
            <w:right w:w="108" w:type="dxa"/>
          </w:tblCellMar>
        </w:tblPrEx>
        <w:trPr>
          <w:trHeight w:val="27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3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注意防尘网的清洁状况，及时清洗或更换，以免影响机柜门及风扇框的通风、散热。</w:t>
            </w:r>
          </w:p>
        </w:tc>
      </w:tr>
      <w:tr>
        <w:tblPrEx>
          <w:tblCellMar>
            <w:top w:w="0" w:type="dxa"/>
            <w:left w:w="108" w:type="dxa"/>
            <w:bottom w:w="0" w:type="dxa"/>
            <w:right w:w="108" w:type="dxa"/>
          </w:tblCellMar>
        </w:tblPrEx>
        <w:trPr>
          <w:trHeight w:val="480" w:hRule="atLeast"/>
        </w:trPr>
        <w:tc>
          <w:tcPr>
            <w:tcW w:w="54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3</w:t>
            </w:r>
          </w:p>
        </w:tc>
        <w:tc>
          <w:tcPr>
            <w:tcW w:w="136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散热状况</w:t>
            </w: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设备正常工作时，要求保持风扇正常运转（清理风扇期间除外），擅自关闭风扇会引起设备温度升高，并可能损坏单板。</w:t>
            </w:r>
          </w:p>
        </w:tc>
      </w:tr>
      <w:tr>
        <w:tblPrEx>
          <w:tblCellMar>
            <w:top w:w="0" w:type="dxa"/>
            <w:left w:w="108" w:type="dxa"/>
            <w:bottom w:w="0" w:type="dxa"/>
            <w:right w:w="108" w:type="dxa"/>
          </w:tblCellMar>
        </w:tblPrEx>
        <w:trPr>
          <w:trHeight w:val="27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3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不要在设备子架上通风口处放置杂物，还应定期清理风扇的防尘网。</w:t>
            </w:r>
          </w:p>
        </w:tc>
      </w:tr>
      <w:tr>
        <w:tblPrEx>
          <w:tblCellMar>
            <w:top w:w="0" w:type="dxa"/>
            <w:left w:w="108" w:type="dxa"/>
            <w:bottom w:w="0" w:type="dxa"/>
            <w:right w:w="108" w:type="dxa"/>
          </w:tblCellMar>
        </w:tblPrEx>
        <w:trPr>
          <w:trHeight w:val="27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4</w:t>
            </w:r>
          </w:p>
        </w:tc>
        <w:tc>
          <w:tcPr>
            <w:tcW w:w="13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线缆布放</w:t>
            </w: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电源线与业务线缆分开布放。电源线布放整齐、有序。业务线缆布放整齐、有序。</w:t>
            </w:r>
          </w:p>
        </w:tc>
      </w:tr>
      <w:tr>
        <w:tblPrEx>
          <w:tblCellMar>
            <w:top w:w="0" w:type="dxa"/>
            <w:left w:w="108" w:type="dxa"/>
            <w:bottom w:w="0" w:type="dxa"/>
            <w:right w:w="108" w:type="dxa"/>
          </w:tblCellMar>
        </w:tblPrEx>
        <w:trPr>
          <w:trHeight w:val="27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5</w:t>
            </w:r>
          </w:p>
        </w:tc>
        <w:tc>
          <w:tcPr>
            <w:tcW w:w="13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线缆标签</w:t>
            </w: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线缆标签清晰、准确，符合规范。</w:t>
            </w:r>
          </w:p>
        </w:tc>
      </w:tr>
      <w:tr>
        <w:tblPrEx>
          <w:tblCellMar>
            <w:top w:w="0" w:type="dxa"/>
            <w:left w:w="108" w:type="dxa"/>
            <w:bottom w:w="0" w:type="dxa"/>
            <w:right w:w="108" w:type="dxa"/>
          </w:tblCellMar>
        </w:tblPrEx>
        <w:trPr>
          <w:trHeight w:val="48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6</w:t>
            </w:r>
          </w:p>
        </w:tc>
        <w:tc>
          <w:tcPr>
            <w:tcW w:w="13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机框散热</w:t>
            </w:r>
          </w:p>
        </w:tc>
        <w:tc>
          <w:tcPr>
            <w:tcW w:w="676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机框进风口没有过多灰尘堵塞，不影响设备正常散热。如果防尘网上灰尘较多，需要及时清洗。机框的防尘网清洗建议一季度进行一次。</w:t>
            </w:r>
          </w:p>
        </w:tc>
      </w:tr>
    </w:tbl>
    <w:p/>
    <w:p/>
    <w:p/>
    <w:p/>
    <w:p/>
    <w:p/>
    <w:p/>
    <w:p/>
    <w:p/>
    <w:p>
      <w:pPr>
        <w:rPr>
          <w:rFonts w:hint="eastAsia"/>
        </w:rPr>
      </w:pPr>
    </w:p>
    <w:p>
      <w:bookmarkStart w:id="2" w:name="_GoBack"/>
      <w:bookmarkEnd w:id="2"/>
    </w:p>
    <w:p/>
    <w:p>
      <w:pPr>
        <w:pStyle w:val="12"/>
        <w:widowControl/>
        <w:numPr>
          <w:ilvl w:val="0"/>
          <w:numId w:val="1"/>
        </w:numPr>
        <w:spacing w:after="240" w:line="270" w:lineRule="atLeast"/>
        <w:ind w:firstLineChars="0"/>
        <w:jc w:val="left"/>
        <w:outlineLvl w:val="0"/>
        <w:rPr>
          <w:rFonts w:ascii="宋体" w:hAnsi="宋体" w:eastAsia="宋体" w:cs="宋体"/>
          <w:b/>
          <w:bCs/>
          <w:kern w:val="36"/>
          <w:sz w:val="32"/>
          <w:szCs w:val="32"/>
        </w:rPr>
      </w:pPr>
      <w:r>
        <w:rPr>
          <w:rFonts w:hint="eastAsia" w:ascii="宋体" w:hAnsi="宋体" w:eastAsia="宋体" w:cs="宋体"/>
          <w:b/>
          <w:bCs/>
          <w:kern w:val="36"/>
          <w:sz w:val="32"/>
          <w:szCs w:val="32"/>
        </w:rPr>
        <w:t>网络设备例行操作</w:t>
      </w:r>
    </w:p>
    <w:p>
      <w:pPr>
        <w:pStyle w:val="3"/>
      </w:pPr>
      <w:r>
        <w:rPr>
          <w:rFonts w:hint="eastAsia"/>
        </w:rPr>
        <w:t>3</w:t>
      </w:r>
      <w:r>
        <w:t xml:space="preserve">.1 </w:t>
      </w:r>
      <w:r>
        <w:rPr>
          <w:rFonts w:hint="eastAsia"/>
        </w:rPr>
        <w:t>基本信息检查</w:t>
      </w:r>
    </w:p>
    <w:p>
      <w:pPr>
        <w:widowControl/>
        <w:spacing w:before="120" w:after="120" w:line="360" w:lineRule="auto"/>
        <w:jc w:val="left"/>
      </w:pPr>
      <w:r>
        <w:rPr>
          <w:rFonts w:hint="eastAsia" w:ascii="宋体" w:hAnsi="宋体" w:eastAsia="宋体" w:cs="宋体"/>
          <w:color w:val="000000"/>
          <w:kern w:val="0"/>
          <w:sz w:val="24"/>
          <w:szCs w:val="24"/>
        </w:rPr>
        <w:t>检查设备的基本信息，如软件版本、补丁信息、系统时间等是否正确。</w:t>
      </w:r>
    </w:p>
    <w:tbl>
      <w:tblPr>
        <w:tblStyle w:val="8"/>
        <w:tblW w:w="8662" w:type="dxa"/>
        <w:tblInd w:w="93" w:type="dxa"/>
        <w:tblLayout w:type="autofit"/>
        <w:tblCellMar>
          <w:top w:w="0" w:type="dxa"/>
          <w:left w:w="108" w:type="dxa"/>
          <w:bottom w:w="0" w:type="dxa"/>
          <w:right w:w="108" w:type="dxa"/>
        </w:tblCellMar>
      </w:tblPr>
      <w:tblGrid>
        <w:gridCol w:w="540"/>
        <w:gridCol w:w="1885"/>
        <w:gridCol w:w="2693"/>
        <w:gridCol w:w="3544"/>
      </w:tblGrid>
      <w:tr>
        <w:tblPrEx>
          <w:tblCellMar>
            <w:top w:w="0" w:type="dxa"/>
            <w:left w:w="108" w:type="dxa"/>
            <w:bottom w:w="0" w:type="dxa"/>
            <w:right w:w="108" w:type="dxa"/>
          </w:tblCellMar>
        </w:tblPrEx>
        <w:trPr>
          <w:trHeight w:val="270" w:hRule="atLeast"/>
        </w:trPr>
        <w:tc>
          <w:tcPr>
            <w:tcW w:w="540" w:type="dxa"/>
            <w:tcBorders>
              <w:top w:val="single" w:color="000000" w:sz="4" w:space="0"/>
              <w:left w:val="single" w:color="000000" w:sz="4" w:space="0"/>
              <w:bottom w:val="nil"/>
              <w:right w:val="single" w:color="000000"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No.</w:t>
            </w:r>
          </w:p>
        </w:tc>
        <w:tc>
          <w:tcPr>
            <w:tcW w:w="1885" w:type="dxa"/>
            <w:tcBorders>
              <w:top w:val="single" w:color="000000" w:sz="4" w:space="0"/>
              <w:left w:val="nil"/>
              <w:bottom w:val="nil"/>
              <w:right w:val="single" w:color="000000"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检查项</w:t>
            </w:r>
          </w:p>
        </w:tc>
        <w:tc>
          <w:tcPr>
            <w:tcW w:w="2693" w:type="dxa"/>
            <w:tcBorders>
              <w:top w:val="single" w:color="000000" w:sz="4" w:space="0"/>
              <w:left w:val="nil"/>
              <w:bottom w:val="nil"/>
              <w:right w:val="single" w:color="000000"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检查方法</w:t>
            </w:r>
          </w:p>
        </w:tc>
        <w:tc>
          <w:tcPr>
            <w:tcW w:w="3544" w:type="dxa"/>
            <w:tcBorders>
              <w:top w:val="single" w:color="000000" w:sz="4" w:space="0"/>
              <w:left w:val="nil"/>
              <w:bottom w:val="nil"/>
              <w:right w:val="single" w:color="000000"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评估标准</w:t>
            </w:r>
          </w:p>
        </w:tc>
      </w:tr>
      <w:tr>
        <w:tblPrEx>
          <w:tblCellMar>
            <w:top w:w="0" w:type="dxa"/>
            <w:left w:w="108" w:type="dxa"/>
            <w:bottom w:w="0" w:type="dxa"/>
            <w:right w:w="108" w:type="dxa"/>
          </w:tblCellMar>
        </w:tblPrEx>
        <w:trPr>
          <w:trHeight w:val="270" w:hRule="atLeast"/>
        </w:trPr>
        <w:tc>
          <w:tcPr>
            <w:tcW w:w="5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w:t>
            </w:r>
          </w:p>
        </w:tc>
        <w:tc>
          <w:tcPr>
            <w:tcW w:w="1885"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设备运行的版本</w:t>
            </w:r>
          </w:p>
        </w:tc>
        <w:tc>
          <w:tcPr>
            <w:tcW w:w="2693"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version</w:t>
            </w:r>
          </w:p>
        </w:tc>
        <w:tc>
          <w:tcPr>
            <w:tcW w:w="3544"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单板PCB版本号、软件版本号与要求相符。</w:t>
            </w:r>
          </w:p>
        </w:tc>
      </w:tr>
      <w:tr>
        <w:tblPrEx>
          <w:tblCellMar>
            <w:top w:w="0" w:type="dxa"/>
            <w:left w:w="108" w:type="dxa"/>
            <w:bottom w:w="0" w:type="dxa"/>
            <w:right w:w="108" w:type="dxa"/>
          </w:tblCellMar>
        </w:tblPrEx>
        <w:trPr>
          <w:trHeight w:val="48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w:t>
            </w:r>
          </w:p>
        </w:tc>
        <w:tc>
          <w:tcPr>
            <w:tcW w:w="18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检查软件包</w:t>
            </w:r>
          </w:p>
        </w:tc>
        <w:tc>
          <w:tcPr>
            <w:tcW w:w="269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startup</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设备正在使用及下次启动时将要加载的产品版本软件和配置文件的文件名正确。</w:t>
            </w:r>
          </w:p>
        </w:tc>
      </w:tr>
      <w:tr>
        <w:tblPrEx>
          <w:tblCellMar>
            <w:top w:w="0" w:type="dxa"/>
            <w:left w:w="108" w:type="dxa"/>
            <w:bottom w:w="0" w:type="dxa"/>
            <w:right w:w="108" w:type="dxa"/>
          </w:tblCellMar>
        </w:tblPrEx>
        <w:trPr>
          <w:trHeight w:val="48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3</w:t>
            </w:r>
          </w:p>
        </w:tc>
        <w:tc>
          <w:tcPr>
            <w:tcW w:w="18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License信息</w:t>
            </w:r>
          </w:p>
        </w:tc>
        <w:tc>
          <w:tcPr>
            <w:tcW w:w="269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license</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License文件已经激活，且“Expired date”为“PERMANENT”（即永久有效）或在运行截至日期之内。</w:t>
            </w:r>
          </w:p>
        </w:tc>
      </w:tr>
      <w:tr>
        <w:tblPrEx>
          <w:tblCellMar>
            <w:top w:w="0" w:type="dxa"/>
            <w:left w:w="108" w:type="dxa"/>
            <w:bottom w:w="0" w:type="dxa"/>
            <w:right w:w="108" w:type="dxa"/>
          </w:tblCellMar>
        </w:tblPrEx>
        <w:trPr>
          <w:trHeight w:val="480" w:hRule="atLeast"/>
        </w:trPr>
        <w:tc>
          <w:tcPr>
            <w:tcW w:w="54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4</w:t>
            </w:r>
          </w:p>
        </w:tc>
        <w:tc>
          <w:tcPr>
            <w:tcW w:w="1885"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检查补丁信息</w:t>
            </w:r>
          </w:p>
        </w:tc>
        <w:tc>
          <w:tcPr>
            <w:tcW w:w="2693"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patch-information</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补丁文件必须与实际要求一致，建议加载华为公司发布的该产品版本对应的最新的补丁文件。</w:t>
            </w:r>
          </w:p>
        </w:tc>
      </w:tr>
      <w:tr>
        <w:tblPrEx>
          <w:tblCellMar>
            <w:top w:w="0" w:type="dxa"/>
            <w:left w:w="108" w:type="dxa"/>
            <w:bottom w:w="0" w:type="dxa"/>
            <w:right w:w="108" w:type="dxa"/>
          </w:tblCellMar>
        </w:tblPrEx>
        <w:trPr>
          <w:trHeight w:val="48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88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2693"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补丁必须已经生效，即补丁的总数量和正在运行的补丁数量一致。</w:t>
            </w:r>
          </w:p>
        </w:tc>
      </w:tr>
      <w:tr>
        <w:tblPrEx>
          <w:tblCellMar>
            <w:top w:w="0" w:type="dxa"/>
            <w:left w:w="108" w:type="dxa"/>
            <w:bottom w:w="0" w:type="dxa"/>
            <w:right w:w="108" w:type="dxa"/>
          </w:tblCellMar>
        </w:tblPrEx>
        <w:trPr>
          <w:trHeight w:val="480" w:hRule="atLeast"/>
        </w:trPr>
        <w:tc>
          <w:tcPr>
            <w:tcW w:w="54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5</w:t>
            </w:r>
          </w:p>
        </w:tc>
        <w:tc>
          <w:tcPr>
            <w:tcW w:w="1885"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检查系统时间</w:t>
            </w:r>
          </w:p>
        </w:tc>
        <w:tc>
          <w:tcPr>
            <w:tcW w:w="2693"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clock</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时间应与当地实际时间一致（时间差不大于5分钟），便于故障时通过时间精确定位。</w:t>
            </w:r>
          </w:p>
        </w:tc>
      </w:tr>
      <w:tr>
        <w:tblPrEx>
          <w:tblCellMar>
            <w:top w:w="0" w:type="dxa"/>
            <w:left w:w="108" w:type="dxa"/>
            <w:bottom w:w="0" w:type="dxa"/>
            <w:right w:w="108" w:type="dxa"/>
          </w:tblCellMar>
        </w:tblPrEx>
        <w:trPr>
          <w:trHeight w:val="48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88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2693"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如果不合格，请执行clock datetime命令修改系统时间或者配置NTP同步网络时间。</w:t>
            </w:r>
          </w:p>
        </w:tc>
      </w:tr>
      <w:tr>
        <w:tblPrEx>
          <w:tblCellMar>
            <w:top w:w="0" w:type="dxa"/>
            <w:left w:w="108" w:type="dxa"/>
            <w:bottom w:w="0" w:type="dxa"/>
            <w:right w:w="108" w:type="dxa"/>
          </w:tblCellMar>
        </w:tblPrEx>
        <w:trPr>
          <w:trHeight w:val="270" w:hRule="atLeast"/>
        </w:trPr>
        <w:tc>
          <w:tcPr>
            <w:tcW w:w="54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6</w:t>
            </w:r>
          </w:p>
        </w:tc>
        <w:tc>
          <w:tcPr>
            <w:tcW w:w="1885"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CF卡中的文件</w:t>
            </w:r>
          </w:p>
        </w:tc>
        <w:tc>
          <w:tcPr>
            <w:tcW w:w="269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dir cfcard：</w:t>
            </w:r>
          </w:p>
        </w:tc>
        <w:tc>
          <w:tcPr>
            <w:tcW w:w="3544"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CFcard里的文件都必须是有用的，否则请执行delete/unreserved命令删除。</w:t>
            </w:r>
          </w:p>
        </w:tc>
      </w:tr>
      <w:tr>
        <w:tblPrEx>
          <w:tblCellMar>
            <w:top w:w="0" w:type="dxa"/>
            <w:left w:w="108" w:type="dxa"/>
            <w:bottom w:w="0" w:type="dxa"/>
            <w:right w:w="108" w:type="dxa"/>
          </w:tblCellMar>
        </w:tblPrEx>
        <w:trPr>
          <w:trHeight w:val="27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88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269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dir slave#cfcard:</w:t>
            </w:r>
          </w:p>
        </w:tc>
        <w:tc>
          <w:tcPr>
            <w:tcW w:w="354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7</w:t>
            </w:r>
          </w:p>
        </w:tc>
        <w:tc>
          <w:tcPr>
            <w:tcW w:w="18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检查配置正确性</w:t>
            </w:r>
          </w:p>
        </w:tc>
        <w:tc>
          <w:tcPr>
            <w:tcW w:w="269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current-configuration</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通过查看当前生效的配置参数，验证设备配置是否正确。</w:t>
            </w:r>
          </w:p>
        </w:tc>
      </w:tr>
      <w:tr>
        <w:tblPrEx>
          <w:tblCellMar>
            <w:top w:w="0" w:type="dxa"/>
            <w:left w:w="108" w:type="dxa"/>
            <w:bottom w:w="0" w:type="dxa"/>
            <w:right w:w="108" w:type="dxa"/>
          </w:tblCellMar>
        </w:tblPrEx>
        <w:trPr>
          <w:trHeight w:val="27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8</w:t>
            </w:r>
          </w:p>
        </w:tc>
        <w:tc>
          <w:tcPr>
            <w:tcW w:w="18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检查debug开关</w:t>
            </w:r>
          </w:p>
        </w:tc>
        <w:tc>
          <w:tcPr>
            <w:tcW w:w="269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w:t>
            </w:r>
            <w:r>
              <w:rPr>
                <w:rFonts w:hint="eastAsia" w:ascii="宋体" w:hAnsi="宋体" w:eastAsia="宋体" w:cs="宋体"/>
                <w:b/>
                <w:bCs/>
                <w:color w:val="000000"/>
                <w:kern w:val="0"/>
                <w:sz w:val="20"/>
                <w:szCs w:val="20"/>
              </w:rPr>
              <w:t>show debugging</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设备正常运行时debug开关应该全部关闭。</w:t>
            </w:r>
          </w:p>
        </w:tc>
      </w:tr>
      <w:tr>
        <w:tblPrEx>
          <w:tblCellMar>
            <w:top w:w="0" w:type="dxa"/>
            <w:left w:w="108" w:type="dxa"/>
            <w:bottom w:w="0" w:type="dxa"/>
            <w:right w:w="108" w:type="dxa"/>
          </w:tblCellMar>
        </w:tblPrEx>
        <w:trPr>
          <w:trHeight w:val="48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w:t>
            </w:r>
          </w:p>
        </w:tc>
        <w:tc>
          <w:tcPr>
            <w:tcW w:w="18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检查配置是否保存</w:t>
            </w:r>
          </w:p>
        </w:tc>
        <w:tc>
          <w:tcPr>
            <w:tcW w:w="269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compare configuration</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业务配置正常后，要进行保存。运行配置需要与保存过的配置相同。</w:t>
            </w:r>
          </w:p>
        </w:tc>
      </w:tr>
    </w:tbl>
    <w:p/>
    <w:p/>
    <w:p/>
    <w:p/>
    <w:p/>
    <w:p/>
    <w:p/>
    <w:p/>
    <w:p>
      <w:pPr>
        <w:pStyle w:val="3"/>
      </w:pPr>
      <w:r>
        <w:rPr>
          <w:rFonts w:hint="eastAsia"/>
        </w:rPr>
        <w:t>3</w:t>
      </w:r>
      <w:r>
        <w:t xml:space="preserve">.2 </w:t>
      </w:r>
      <w:r>
        <w:rPr>
          <w:rFonts w:hint="eastAsia"/>
        </w:rPr>
        <w:t>设备运行检查</w:t>
      </w:r>
    </w:p>
    <w:p>
      <w:pPr>
        <w:widowControl/>
        <w:spacing w:before="120" w:after="120" w:line="360" w:lineRule="auto"/>
        <w:jc w:val="left"/>
      </w:pPr>
      <w:r>
        <w:rPr>
          <w:rFonts w:hint="eastAsia" w:ascii="宋体" w:hAnsi="宋体" w:eastAsia="宋体" w:cs="宋体"/>
          <w:color w:val="000000"/>
          <w:kern w:val="0"/>
          <w:sz w:val="24"/>
          <w:szCs w:val="24"/>
        </w:rPr>
        <w:t>检查设备的运行情况，如单板运行状态、设备复位情况、设备温度等是否正常。</w:t>
      </w:r>
    </w:p>
    <w:tbl>
      <w:tblPr>
        <w:tblStyle w:val="8"/>
        <w:tblW w:w="8662" w:type="dxa"/>
        <w:tblInd w:w="93" w:type="dxa"/>
        <w:tblLayout w:type="autofit"/>
        <w:tblCellMar>
          <w:top w:w="0" w:type="dxa"/>
          <w:left w:w="108" w:type="dxa"/>
          <w:bottom w:w="0" w:type="dxa"/>
          <w:right w:w="108" w:type="dxa"/>
        </w:tblCellMar>
      </w:tblPr>
      <w:tblGrid>
        <w:gridCol w:w="540"/>
        <w:gridCol w:w="1460"/>
        <w:gridCol w:w="3118"/>
        <w:gridCol w:w="3544"/>
      </w:tblGrid>
      <w:tr>
        <w:tblPrEx>
          <w:tblCellMar>
            <w:top w:w="0" w:type="dxa"/>
            <w:left w:w="108" w:type="dxa"/>
            <w:bottom w:w="0" w:type="dxa"/>
            <w:right w:w="108" w:type="dxa"/>
          </w:tblCellMar>
        </w:tblPrEx>
        <w:trPr>
          <w:trHeight w:val="270" w:hRule="atLeast"/>
        </w:trPr>
        <w:tc>
          <w:tcPr>
            <w:tcW w:w="540" w:type="dxa"/>
            <w:tcBorders>
              <w:top w:val="single" w:color="auto" w:sz="4" w:space="0"/>
              <w:left w:val="single" w:color="auto" w:sz="4" w:space="0"/>
              <w:bottom w:val="single" w:color="auto" w:sz="4" w:space="0"/>
              <w:right w:val="single" w:color="auto"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No.</w:t>
            </w:r>
          </w:p>
        </w:tc>
        <w:tc>
          <w:tcPr>
            <w:tcW w:w="1460" w:type="dxa"/>
            <w:tcBorders>
              <w:top w:val="single" w:color="auto" w:sz="4" w:space="0"/>
              <w:left w:val="nil"/>
              <w:bottom w:val="single" w:color="auto" w:sz="4" w:space="0"/>
              <w:right w:val="single" w:color="auto"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检查项</w:t>
            </w:r>
          </w:p>
        </w:tc>
        <w:tc>
          <w:tcPr>
            <w:tcW w:w="3118" w:type="dxa"/>
            <w:tcBorders>
              <w:top w:val="single" w:color="auto" w:sz="4" w:space="0"/>
              <w:left w:val="nil"/>
              <w:bottom w:val="single" w:color="auto" w:sz="4" w:space="0"/>
              <w:right w:val="single" w:color="auto"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检查方法</w:t>
            </w:r>
          </w:p>
        </w:tc>
        <w:tc>
          <w:tcPr>
            <w:tcW w:w="3544" w:type="dxa"/>
            <w:tcBorders>
              <w:top w:val="single" w:color="auto" w:sz="4" w:space="0"/>
              <w:left w:val="nil"/>
              <w:bottom w:val="single" w:color="auto" w:sz="4" w:space="0"/>
              <w:right w:val="single" w:color="auto"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评估标准</w:t>
            </w:r>
          </w:p>
        </w:tc>
      </w:tr>
      <w:tr>
        <w:tblPrEx>
          <w:tblCellMar>
            <w:top w:w="0" w:type="dxa"/>
            <w:left w:w="108" w:type="dxa"/>
            <w:bottom w:w="0" w:type="dxa"/>
            <w:right w:w="108" w:type="dxa"/>
          </w:tblCellMar>
        </w:tblPrEx>
        <w:trPr>
          <w:trHeight w:val="480" w:hRule="atLeast"/>
        </w:trPr>
        <w:tc>
          <w:tcPr>
            <w:tcW w:w="54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w:t>
            </w:r>
          </w:p>
        </w:tc>
        <w:tc>
          <w:tcPr>
            <w:tcW w:w="146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单板运行状态</w:t>
            </w:r>
          </w:p>
        </w:tc>
        <w:tc>
          <w:tcPr>
            <w:tcW w:w="311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device</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重点关注单板在位信息及状态信息是否正常，当显示如下信息时表示为正常。</w:t>
            </w:r>
          </w:p>
        </w:tc>
      </w:tr>
      <w:tr>
        <w:tblPrEx>
          <w:tblCellMar>
            <w:top w:w="0" w:type="dxa"/>
            <w:left w:w="108" w:type="dxa"/>
            <w:bottom w:w="0" w:type="dxa"/>
            <w:right w:w="108" w:type="dxa"/>
          </w:tblCellMar>
        </w:tblPrEx>
        <w:trPr>
          <w:trHeight w:val="27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4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118"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544" w:type="dxa"/>
            <w:tcBorders>
              <w:top w:val="nil"/>
              <w:left w:val="nil"/>
              <w:bottom w:val="single" w:color="auto" w:sz="4" w:space="0"/>
              <w:right w:val="single" w:color="auto" w:sz="4" w:space="0"/>
            </w:tcBorders>
            <w:shd w:val="clear" w:color="auto" w:fill="auto"/>
            <w:vAlign w:val="center"/>
          </w:tcPr>
          <w:p>
            <w:pPr>
              <w:widowControl/>
              <w:ind w:firstLine="200" w:firstLineChars="100"/>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单板“Online”为“Present”。</w:t>
            </w:r>
          </w:p>
        </w:tc>
      </w:tr>
      <w:tr>
        <w:tblPrEx>
          <w:tblCellMar>
            <w:top w:w="0" w:type="dxa"/>
            <w:left w:w="108" w:type="dxa"/>
            <w:bottom w:w="0" w:type="dxa"/>
            <w:right w:w="108" w:type="dxa"/>
          </w:tblCellMar>
        </w:tblPrEx>
        <w:trPr>
          <w:trHeight w:val="27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4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118"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544" w:type="dxa"/>
            <w:tcBorders>
              <w:top w:val="nil"/>
              <w:left w:val="nil"/>
              <w:bottom w:val="single" w:color="auto" w:sz="4" w:space="0"/>
              <w:right w:val="single" w:color="auto" w:sz="4" w:space="0"/>
            </w:tcBorders>
            <w:shd w:val="clear" w:color="auto" w:fill="auto"/>
            <w:vAlign w:val="center"/>
          </w:tcPr>
          <w:p>
            <w:pPr>
              <w:widowControl/>
              <w:ind w:firstLine="200" w:firstLineChars="100"/>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单板“Power”为“PowerOn”。</w:t>
            </w:r>
          </w:p>
        </w:tc>
      </w:tr>
      <w:tr>
        <w:tblPrEx>
          <w:tblCellMar>
            <w:top w:w="0" w:type="dxa"/>
            <w:left w:w="108" w:type="dxa"/>
            <w:bottom w:w="0" w:type="dxa"/>
            <w:right w:w="108" w:type="dxa"/>
          </w:tblCellMar>
        </w:tblPrEx>
        <w:trPr>
          <w:trHeight w:val="48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4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118"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544" w:type="dxa"/>
            <w:tcBorders>
              <w:top w:val="nil"/>
              <w:left w:val="nil"/>
              <w:bottom w:val="single" w:color="auto" w:sz="4" w:space="0"/>
              <w:right w:val="single" w:color="auto" w:sz="4" w:space="0"/>
            </w:tcBorders>
            <w:shd w:val="clear" w:color="auto" w:fill="auto"/>
            <w:vAlign w:val="center"/>
          </w:tcPr>
          <w:p>
            <w:pPr>
              <w:widowControl/>
              <w:ind w:firstLine="200" w:firstLineChars="100"/>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单板“Register”为“Registered”。</w:t>
            </w:r>
          </w:p>
        </w:tc>
      </w:tr>
      <w:tr>
        <w:tblPrEx>
          <w:tblCellMar>
            <w:top w:w="0" w:type="dxa"/>
            <w:left w:w="108" w:type="dxa"/>
            <w:bottom w:w="0" w:type="dxa"/>
            <w:right w:w="108" w:type="dxa"/>
          </w:tblCellMar>
        </w:tblPrEx>
        <w:trPr>
          <w:trHeight w:val="27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4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118"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544" w:type="dxa"/>
            <w:tcBorders>
              <w:top w:val="nil"/>
              <w:left w:val="nil"/>
              <w:bottom w:val="single" w:color="auto" w:sz="4" w:space="0"/>
              <w:right w:val="single" w:color="auto" w:sz="4" w:space="0"/>
            </w:tcBorders>
            <w:shd w:val="clear" w:color="auto" w:fill="auto"/>
            <w:vAlign w:val="center"/>
          </w:tcPr>
          <w:p>
            <w:pPr>
              <w:widowControl/>
              <w:ind w:firstLine="200" w:firstLineChars="100"/>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单板“Status”为“Normal”。</w:t>
            </w:r>
          </w:p>
        </w:tc>
      </w:tr>
      <w:tr>
        <w:tblPrEx>
          <w:tblCellMar>
            <w:top w:w="0" w:type="dxa"/>
            <w:left w:w="108" w:type="dxa"/>
            <w:bottom w:w="0" w:type="dxa"/>
            <w:right w:w="108" w:type="dxa"/>
          </w:tblCellMar>
        </w:tblPrEx>
        <w:trPr>
          <w:trHeight w:val="27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w:t>
            </w:r>
          </w:p>
        </w:tc>
        <w:tc>
          <w:tcPr>
            <w:tcW w:w="14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风扇状态。</w:t>
            </w:r>
          </w:p>
        </w:tc>
        <w:tc>
          <w:tcPr>
            <w:tcW w:w="3118"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fan</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Status为normal表示正常。</w:t>
            </w:r>
          </w:p>
        </w:tc>
      </w:tr>
      <w:tr>
        <w:tblPrEx>
          <w:tblCellMar>
            <w:top w:w="0" w:type="dxa"/>
            <w:left w:w="108" w:type="dxa"/>
            <w:bottom w:w="0" w:type="dxa"/>
            <w:right w:w="108" w:type="dxa"/>
          </w:tblCellMar>
        </w:tblPrEx>
        <w:trPr>
          <w:trHeight w:val="27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3</w:t>
            </w:r>
          </w:p>
        </w:tc>
        <w:tc>
          <w:tcPr>
            <w:tcW w:w="14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电源状态。</w:t>
            </w:r>
          </w:p>
        </w:tc>
        <w:tc>
          <w:tcPr>
            <w:tcW w:w="3118"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power</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state项为supply时表示正常。</w:t>
            </w:r>
          </w:p>
        </w:tc>
      </w:tr>
      <w:tr>
        <w:tblPrEx>
          <w:tblCellMar>
            <w:top w:w="0" w:type="dxa"/>
            <w:left w:w="108" w:type="dxa"/>
            <w:bottom w:w="0" w:type="dxa"/>
            <w:right w:w="108" w:type="dxa"/>
          </w:tblCellMar>
        </w:tblPrEx>
        <w:trPr>
          <w:trHeight w:val="120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4</w:t>
            </w:r>
          </w:p>
        </w:tc>
        <w:tc>
          <w:tcPr>
            <w:tcW w:w="14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主用板/备用板的备份状态。</w:t>
            </w:r>
          </w:p>
        </w:tc>
        <w:tc>
          <w:tcPr>
            <w:tcW w:w="3118"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switchover state</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主备板同时存在时，要同时有主备板的显示状态信息。倒换完成，设备开始正常工作后，主用板需要显示为“realtime or routine backup”表示正常。</w:t>
            </w:r>
          </w:p>
        </w:tc>
      </w:tr>
      <w:tr>
        <w:tblPrEx>
          <w:tblCellMar>
            <w:top w:w="0" w:type="dxa"/>
            <w:left w:w="108" w:type="dxa"/>
            <w:bottom w:w="0" w:type="dxa"/>
            <w:right w:w="108" w:type="dxa"/>
          </w:tblCellMar>
        </w:tblPrEx>
        <w:trPr>
          <w:trHeight w:val="27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5</w:t>
            </w:r>
          </w:p>
        </w:tc>
        <w:tc>
          <w:tcPr>
            <w:tcW w:w="14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FTP网络服务端口</w:t>
            </w:r>
          </w:p>
        </w:tc>
        <w:tc>
          <w:tcPr>
            <w:tcW w:w="3118"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ftp-server</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不使用的FTP网络服务端口要关闭。</w:t>
            </w:r>
          </w:p>
        </w:tc>
      </w:tr>
      <w:tr>
        <w:tblPrEx>
          <w:tblCellMar>
            <w:top w:w="0" w:type="dxa"/>
            <w:left w:w="108" w:type="dxa"/>
            <w:bottom w:w="0" w:type="dxa"/>
            <w:right w:w="108" w:type="dxa"/>
          </w:tblCellMar>
        </w:tblPrEx>
        <w:trPr>
          <w:trHeight w:val="270" w:hRule="atLeast"/>
        </w:trPr>
        <w:tc>
          <w:tcPr>
            <w:tcW w:w="54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6</w:t>
            </w:r>
          </w:p>
        </w:tc>
        <w:tc>
          <w:tcPr>
            <w:tcW w:w="146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告警信息</w:t>
            </w:r>
          </w:p>
        </w:tc>
        <w:tc>
          <w:tcPr>
            <w:tcW w:w="311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alarm all</w:t>
            </w:r>
          </w:p>
        </w:tc>
        <w:tc>
          <w:tcPr>
            <w:tcW w:w="3544" w:type="dxa"/>
            <w:tcBorders>
              <w:top w:val="nil"/>
              <w:left w:val="nil"/>
              <w:bottom w:val="single" w:color="auto" w:sz="4" w:space="0"/>
              <w:right w:val="single" w:color="auto" w:sz="4" w:space="0"/>
            </w:tcBorders>
            <w:shd w:val="clear" w:color="auto" w:fill="auto"/>
            <w:vAlign w:val="center"/>
          </w:tcPr>
          <w:p>
            <w:pPr>
              <w:widowControl/>
              <w:ind w:firstLine="200" w:firstLineChars="100"/>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无告警信息。</w:t>
            </w:r>
          </w:p>
        </w:tc>
      </w:tr>
      <w:tr>
        <w:tblPrEx>
          <w:tblCellMar>
            <w:top w:w="0" w:type="dxa"/>
            <w:left w:w="108" w:type="dxa"/>
            <w:bottom w:w="0" w:type="dxa"/>
            <w:right w:w="108" w:type="dxa"/>
          </w:tblCellMar>
        </w:tblPrEx>
        <w:trPr>
          <w:trHeight w:val="48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4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118"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544" w:type="dxa"/>
            <w:tcBorders>
              <w:top w:val="nil"/>
              <w:left w:val="nil"/>
              <w:bottom w:val="single" w:color="auto" w:sz="4" w:space="0"/>
              <w:right w:val="single" w:color="auto" w:sz="4" w:space="0"/>
            </w:tcBorders>
            <w:shd w:val="clear" w:color="auto" w:fill="auto"/>
            <w:vAlign w:val="center"/>
          </w:tcPr>
          <w:p>
            <w:pPr>
              <w:widowControl/>
              <w:ind w:firstLine="200" w:firstLineChars="100"/>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如果有告警，需要记录，对于严重以上告警需并立即分析并处理。</w:t>
            </w:r>
          </w:p>
        </w:tc>
      </w:tr>
      <w:tr>
        <w:tblPrEx>
          <w:tblCellMar>
            <w:top w:w="0" w:type="dxa"/>
            <w:left w:w="108" w:type="dxa"/>
            <w:bottom w:w="0" w:type="dxa"/>
            <w:right w:w="108" w:type="dxa"/>
          </w:tblCellMar>
        </w:tblPrEx>
        <w:trPr>
          <w:trHeight w:val="48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7</w:t>
            </w:r>
          </w:p>
        </w:tc>
        <w:tc>
          <w:tcPr>
            <w:tcW w:w="14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CPU状态</w:t>
            </w:r>
          </w:p>
        </w:tc>
        <w:tc>
          <w:tcPr>
            <w:tcW w:w="3118"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cpu-usage</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各模块的CPU占用率正常。如果CPU占用率如果超过80%，建议重点关注。</w:t>
            </w:r>
          </w:p>
        </w:tc>
      </w:tr>
      <w:tr>
        <w:tblPrEx>
          <w:tblCellMar>
            <w:top w:w="0" w:type="dxa"/>
            <w:left w:w="108" w:type="dxa"/>
            <w:bottom w:w="0" w:type="dxa"/>
            <w:right w:w="108" w:type="dxa"/>
          </w:tblCellMar>
        </w:tblPrEx>
        <w:trPr>
          <w:trHeight w:val="72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8</w:t>
            </w:r>
          </w:p>
        </w:tc>
        <w:tc>
          <w:tcPr>
            <w:tcW w:w="14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内存占用率</w:t>
            </w:r>
          </w:p>
        </w:tc>
        <w:tc>
          <w:tcPr>
            <w:tcW w:w="3118"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memory-usage</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内存占用情况正常，如果“Memory Using Percentage”超过60％时需要关注。</w:t>
            </w:r>
          </w:p>
        </w:tc>
      </w:tr>
      <w:tr>
        <w:tblPrEx>
          <w:tblCellMar>
            <w:top w:w="0" w:type="dxa"/>
            <w:left w:w="108" w:type="dxa"/>
            <w:bottom w:w="0" w:type="dxa"/>
            <w:right w:w="108" w:type="dxa"/>
          </w:tblCellMar>
        </w:tblPrEx>
        <w:trPr>
          <w:trHeight w:val="270" w:hRule="atLeast"/>
        </w:trPr>
        <w:tc>
          <w:tcPr>
            <w:tcW w:w="54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w:t>
            </w:r>
          </w:p>
        </w:tc>
        <w:tc>
          <w:tcPr>
            <w:tcW w:w="146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日志信息</w:t>
            </w:r>
          </w:p>
        </w:tc>
        <w:tc>
          <w:tcPr>
            <w:tcW w:w="3118"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logbuffer</w:t>
            </w:r>
          </w:p>
        </w:tc>
        <w:tc>
          <w:tcPr>
            <w:tcW w:w="3544"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不存在异常信息。</w:t>
            </w:r>
          </w:p>
        </w:tc>
      </w:tr>
      <w:tr>
        <w:tblPrEx>
          <w:tblCellMar>
            <w:top w:w="0" w:type="dxa"/>
            <w:left w:w="108" w:type="dxa"/>
            <w:bottom w:w="0" w:type="dxa"/>
            <w:right w:w="108" w:type="dxa"/>
          </w:tblCellMar>
        </w:tblPrEx>
        <w:trPr>
          <w:trHeight w:val="27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146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c>
          <w:tcPr>
            <w:tcW w:w="3118"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trapbuffer</w:t>
            </w:r>
          </w:p>
        </w:tc>
        <w:tc>
          <w:tcPr>
            <w:tcW w:w="354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宋体"/>
                <w:color w:val="000000"/>
                <w:kern w:val="0"/>
                <w:sz w:val="20"/>
                <w:szCs w:val="20"/>
              </w:rPr>
            </w:pPr>
          </w:p>
        </w:tc>
      </w:tr>
    </w:tbl>
    <w:p/>
    <w:p/>
    <w:p/>
    <w:p/>
    <w:p/>
    <w:p/>
    <w:p/>
    <w:p/>
    <w:p/>
    <w:p/>
    <w:p/>
    <w:p>
      <w:pPr>
        <w:pStyle w:val="3"/>
      </w:pPr>
      <w:r>
        <w:rPr>
          <w:rFonts w:hint="eastAsia"/>
        </w:rPr>
        <w:t>3</w:t>
      </w:r>
      <w:r>
        <w:t xml:space="preserve">.3 </w:t>
      </w:r>
      <w:r>
        <w:rPr>
          <w:rFonts w:hint="eastAsia"/>
        </w:rPr>
        <w:t>端口内容检查</w:t>
      </w:r>
    </w:p>
    <w:p>
      <w:pPr>
        <w:widowControl/>
        <w:spacing w:before="120" w:after="120"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检查设备的端口信息，如端口协商模式、端口配置、端口状态等是否正确。</w:t>
      </w:r>
    </w:p>
    <w:p/>
    <w:tbl>
      <w:tblPr>
        <w:tblStyle w:val="8"/>
        <w:tblW w:w="8520" w:type="dxa"/>
        <w:tblInd w:w="93" w:type="dxa"/>
        <w:tblLayout w:type="autofit"/>
        <w:tblCellMar>
          <w:top w:w="0" w:type="dxa"/>
          <w:left w:w="108" w:type="dxa"/>
          <w:bottom w:w="0" w:type="dxa"/>
          <w:right w:w="108" w:type="dxa"/>
        </w:tblCellMar>
      </w:tblPr>
      <w:tblGrid>
        <w:gridCol w:w="540"/>
        <w:gridCol w:w="1360"/>
        <w:gridCol w:w="2660"/>
        <w:gridCol w:w="3960"/>
      </w:tblGrid>
      <w:tr>
        <w:tblPrEx>
          <w:tblCellMar>
            <w:top w:w="0" w:type="dxa"/>
            <w:left w:w="108" w:type="dxa"/>
            <w:bottom w:w="0" w:type="dxa"/>
            <w:right w:w="108" w:type="dxa"/>
          </w:tblCellMar>
        </w:tblPrEx>
        <w:trPr>
          <w:trHeight w:val="270" w:hRule="atLeast"/>
        </w:trPr>
        <w:tc>
          <w:tcPr>
            <w:tcW w:w="540" w:type="dxa"/>
            <w:tcBorders>
              <w:top w:val="single" w:color="auto" w:sz="4" w:space="0"/>
              <w:left w:val="single" w:color="auto" w:sz="4" w:space="0"/>
              <w:bottom w:val="single" w:color="auto" w:sz="4" w:space="0"/>
              <w:right w:val="single" w:color="auto"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No.</w:t>
            </w:r>
          </w:p>
        </w:tc>
        <w:tc>
          <w:tcPr>
            <w:tcW w:w="1360" w:type="dxa"/>
            <w:tcBorders>
              <w:top w:val="single" w:color="auto" w:sz="4" w:space="0"/>
              <w:left w:val="nil"/>
              <w:bottom w:val="single" w:color="auto" w:sz="4" w:space="0"/>
              <w:right w:val="single" w:color="auto"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检查项</w:t>
            </w:r>
          </w:p>
        </w:tc>
        <w:tc>
          <w:tcPr>
            <w:tcW w:w="2660" w:type="dxa"/>
            <w:tcBorders>
              <w:top w:val="single" w:color="auto" w:sz="4" w:space="0"/>
              <w:left w:val="nil"/>
              <w:bottom w:val="single" w:color="auto" w:sz="4" w:space="0"/>
              <w:right w:val="single" w:color="auto"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检查方法</w:t>
            </w:r>
          </w:p>
        </w:tc>
        <w:tc>
          <w:tcPr>
            <w:tcW w:w="3960" w:type="dxa"/>
            <w:tcBorders>
              <w:top w:val="single" w:color="auto" w:sz="4" w:space="0"/>
              <w:left w:val="nil"/>
              <w:bottom w:val="single" w:color="auto" w:sz="4" w:space="0"/>
              <w:right w:val="single" w:color="auto" w:sz="4" w:space="0"/>
            </w:tcBorders>
            <w:shd w:val="clear" w:color="000000" w:fill="CFCFCF"/>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评估标准</w:t>
            </w:r>
          </w:p>
        </w:tc>
      </w:tr>
      <w:tr>
        <w:tblPrEx>
          <w:tblCellMar>
            <w:top w:w="0" w:type="dxa"/>
            <w:left w:w="108" w:type="dxa"/>
            <w:bottom w:w="0" w:type="dxa"/>
            <w:right w:w="108" w:type="dxa"/>
          </w:tblCellMar>
        </w:tblPrEx>
        <w:trPr>
          <w:trHeight w:val="48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w:t>
            </w:r>
          </w:p>
        </w:tc>
        <w:tc>
          <w:tcPr>
            <w:tcW w:w="13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端口错包</w:t>
            </w:r>
          </w:p>
        </w:tc>
        <w:tc>
          <w:tcPr>
            <w:tcW w:w="26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interface</w:t>
            </w:r>
          </w:p>
        </w:tc>
        <w:tc>
          <w:tcPr>
            <w:tcW w:w="39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业务运行时，要检查端口有无错包，包括CRC错包等。</w:t>
            </w:r>
          </w:p>
        </w:tc>
      </w:tr>
      <w:tr>
        <w:tblPrEx>
          <w:tblCellMar>
            <w:top w:w="0" w:type="dxa"/>
            <w:left w:w="108" w:type="dxa"/>
            <w:bottom w:w="0" w:type="dxa"/>
            <w:right w:w="108" w:type="dxa"/>
          </w:tblCellMar>
        </w:tblPrEx>
        <w:trPr>
          <w:trHeight w:val="48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w:t>
            </w:r>
          </w:p>
        </w:tc>
        <w:tc>
          <w:tcPr>
            <w:tcW w:w="13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端口协商模式</w:t>
            </w:r>
          </w:p>
        </w:tc>
        <w:tc>
          <w:tcPr>
            <w:tcW w:w="26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interface</w:t>
            </w:r>
          </w:p>
        </w:tc>
        <w:tc>
          <w:tcPr>
            <w:tcW w:w="39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端口协商模式正确，两边端口要一致，不能有半双工模式。</w:t>
            </w:r>
          </w:p>
        </w:tc>
      </w:tr>
      <w:tr>
        <w:tblPrEx>
          <w:tblCellMar>
            <w:top w:w="0" w:type="dxa"/>
            <w:left w:w="108" w:type="dxa"/>
            <w:bottom w:w="0" w:type="dxa"/>
            <w:right w:w="108" w:type="dxa"/>
          </w:tblCellMar>
        </w:tblPrEx>
        <w:trPr>
          <w:trHeight w:val="72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3</w:t>
            </w:r>
          </w:p>
        </w:tc>
        <w:tc>
          <w:tcPr>
            <w:tcW w:w="13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端口配置</w:t>
            </w:r>
          </w:p>
        </w:tc>
        <w:tc>
          <w:tcPr>
            <w:tcW w:w="26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current-configuration interface</w:t>
            </w:r>
          </w:p>
        </w:tc>
        <w:tc>
          <w:tcPr>
            <w:tcW w:w="39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接口的配置项合理，如接口协商模式、速率、隔离、限速等。</w:t>
            </w:r>
          </w:p>
        </w:tc>
      </w:tr>
      <w:tr>
        <w:tblPrEx>
          <w:tblCellMar>
            <w:top w:w="0" w:type="dxa"/>
            <w:left w:w="108" w:type="dxa"/>
            <w:bottom w:w="0" w:type="dxa"/>
            <w:right w:w="108" w:type="dxa"/>
          </w:tblCellMar>
        </w:tblPrEx>
        <w:trPr>
          <w:trHeight w:val="48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4</w:t>
            </w:r>
          </w:p>
        </w:tc>
        <w:tc>
          <w:tcPr>
            <w:tcW w:w="13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端口状态</w:t>
            </w:r>
          </w:p>
        </w:tc>
        <w:tc>
          <w:tcPr>
            <w:tcW w:w="26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interface brief</w:t>
            </w:r>
          </w:p>
        </w:tc>
        <w:tc>
          <w:tcPr>
            <w:tcW w:w="39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端口的Up/Down状态满足规划要求。</w:t>
            </w:r>
          </w:p>
        </w:tc>
      </w:tr>
      <w:tr>
        <w:tblPrEx>
          <w:tblCellMar>
            <w:top w:w="0" w:type="dxa"/>
            <w:left w:w="108" w:type="dxa"/>
            <w:bottom w:w="0" w:type="dxa"/>
            <w:right w:w="108" w:type="dxa"/>
          </w:tblCellMar>
        </w:tblPrEx>
        <w:trPr>
          <w:trHeight w:val="720" w:hRule="atLeast"/>
        </w:trPr>
        <w:tc>
          <w:tcPr>
            <w:tcW w:w="54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5</w:t>
            </w:r>
          </w:p>
        </w:tc>
        <w:tc>
          <w:tcPr>
            <w:tcW w:w="13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端口统计数据</w:t>
            </w:r>
          </w:p>
        </w:tc>
        <w:tc>
          <w:tcPr>
            <w:tcW w:w="26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ip interface 命令。分两次隔5分钟后收集数据，然后比较。</w:t>
            </w:r>
          </w:p>
        </w:tc>
        <w:tc>
          <w:tcPr>
            <w:tcW w:w="39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正常情况下，两次的数据没有增长，且基数不大于500。</w:t>
            </w:r>
          </w:p>
        </w:tc>
      </w:tr>
    </w:tbl>
    <w:p/>
    <w:p>
      <w:pPr>
        <w:pStyle w:val="3"/>
      </w:pPr>
      <w:r>
        <w:rPr>
          <w:rFonts w:hint="eastAsia"/>
        </w:rPr>
        <w:t>3</w:t>
      </w:r>
      <w:r>
        <w:t xml:space="preserve">.4 </w:t>
      </w:r>
      <w:r>
        <w:rPr>
          <w:rFonts w:hint="eastAsia"/>
        </w:rPr>
        <w:t>业务检查</w:t>
      </w:r>
    </w:p>
    <w:p>
      <w:pPr>
        <w:widowControl/>
        <w:spacing w:before="120" w:after="120" w:line="360" w:lineRule="auto"/>
        <w:jc w:val="left"/>
      </w:pPr>
      <w:r>
        <w:rPr>
          <w:rFonts w:hint="eastAsia" w:ascii="宋体" w:hAnsi="宋体" w:eastAsia="宋体" w:cs="宋体"/>
          <w:color w:val="000000"/>
          <w:kern w:val="0"/>
          <w:sz w:val="24"/>
          <w:szCs w:val="24"/>
        </w:rPr>
        <w:t>检查设备运行的业务是否正常。</w:t>
      </w:r>
    </w:p>
    <w:tbl>
      <w:tblPr>
        <w:tblStyle w:val="8"/>
        <w:tblW w:w="852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2"/>
        <w:gridCol w:w="1276"/>
        <w:gridCol w:w="2693"/>
        <w:gridCol w:w="3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组播成员接口和路由器接口信息</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igmp-snooping port-info</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静态成员接口、动态成员接口、静态路由器接口和动态路由器接口的信息正确。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582" w:type="dxa"/>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组播报文统计信息</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igmp-snooping statistics vlan</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VLAN接收/发送的IGMP报文和PIM Hello报文个数，以及所有VLAN内发生的二层事件次数统计合理。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3</w:t>
            </w:r>
          </w:p>
        </w:tc>
        <w:tc>
          <w:tcPr>
            <w:tcW w:w="1276"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组播转发表信息</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l2-multicast forwarding-table命令查看二层组播转发表项。</w:t>
            </w:r>
          </w:p>
        </w:tc>
        <w:tc>
          <w:tcPr>
            <w:tcW w:w="3969"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组播转发表项正确。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multicast forwarding-table命令查看三层组播转发表项。</w:t>
            </w:r>
          </w:p>
        </w:tc>
        <w:tc>
          <w:tcPr>
            <w:tcW w:w="3969" w:type="dxa"/>
            <w:vMerge w:val="continue"/>
            <w:vAlign w:val="center"/>
          </w:tcPr>
          <w:p>
            <w:pPr>
              <w:widowControl/>
              <w:jc w:val="left"/>
              <w:rPr>
                <w:rFonts w:ascii="宋体" w:hAnsi="宋体" w:eastAsia="宋体" w:cs="宋体"/>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4</w:t>
            </w:r>
          </w:p>
        </w:tc>
        <w:tc>
          <w:tcPr>
            <w:tcW w:w="1276"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组播路由协议</w:t>
            </w:r>
          </w:p>
        </w:tc>
        <w:tc>
          <w:tcPr>
            <w:tcW w:w="2693"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multicast routing-table命令。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域内组播路由协议采用PIM-SM。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vMerge w:val="continue"/>
            <w:vAlign w:val="center"/>
          </w:tcPr>
          <w:p>
            <w:pPr>
              <w:widowControl/>
              <w:jc w:val="left"/>
              <w:rPr>
                <w:rFonts w:ascii="宋体" w:hAnsi="宋体" w:eastAsia="宋体" w:cs="宋体"/>
                <w:color w:val="000000"/>
                <w:kern w:val="0"/>
                <w:sz w:val="20"/>
                <w:szCs w:val="20"/>
              </w:rPr>
            </w:pP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与组播相连的接口都必须要使能IGMP。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5</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DHCP Snooping绑定表</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dhcp snooping user-bind all</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静态表项和动态表项正确。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6</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MAC地址表信息</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mac-address</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MAC地址表信息正确。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7</w:t>
            </w:r>
          </w:p>
        </w:tc>
        <w:tc>
          <w:tcPr>
            <w:tcW w:w="1276"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路由表信息</w:t>
            </w:r>
          </w:p>
        </w:tc>
        <w:tc>
          <w:tcPr>
            <w:tcW w:w="2693"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&lt;Cisco&gt; show ip routing-table</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具有默认路由或者其他精确路由，便于故障时候可以远程定位。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vMerge w:val="continue"/>
            <w:vAlign w:val="center"/>
          </w:tcPr>
          <w:p>
            <w:pPr>
              <w:widowControl/>
              <w:jc w:val="left"/>
              <w:rPr>
                <w:rFonts w:ascii="宋体" w:hAnsi="宋体" w:eastAsia="宋体" w:cs="宋体"/>
                <w:color w:val="000000"/>
                <w:kern w:val="0"/>
                <w:sz w:val="20"/>
                <w:szCs w:val="20"/>
              </w:rPr>
            </w:pP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对于处于一个网络中同一层次的设备，如果运行相同的路由协议，各设备上的路由条目应该相差不大（因为静态路由的配置差异，路由条目上可能存在一定差异）。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8</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OSPF错包情况</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ospf error命令。分两次隔5分钟后收集数据，然后比较。</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正常情况下，两次的数据没有增长。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w:t>
            </w:r>
          </w:p>
        </w:tc>
        <w:tc>
          <w:tcPr>
            <w:tcW w:w="1276"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VRRP状态</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vrrp命令。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“State”不为“Initialize”状态。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vrrp statistics命令。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备份组中的设备的VRRP状态“State”不能同时为“Master”。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shd w:val="clear" w:color="auto" w:fill="auto"/>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“Checksum errors”、“Version errors”和“Vrid errors”为零。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10</w:t>
            </w:r>
          </w:p>
        </w:tc>
        <w:tc>
          <w:tcPr>
            <w:tcW w:w="1276" w:type="dxa"/>
            <w:vMerge w:val="restart"/>
            <w:shd w:val="clear" w:color="auto" w:fill="auto"/>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防攻击检测</w:t>
            </w:r>
          </w:p>
        </w:tc>
        <w:tc>
          <w:tcPr>
            <w:tcW w:w="2693"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current-configuration |include car命令。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应该有防攻击的配置。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vMerge w:val="continue"/>
            <w:vAlign w:val="center"/>
          </w:tcPr>
          <w:p>
            <w:pPr>
              <w:widowControl/>
              <w:jc w:val="left"/>
              <w:rPr>
                <w:rFonts w:ascii="宋体" w:hAnsi="宋体" w:eastAsia="宋体" w:cs="宋体"/>
                <w:color w:val="000000"/>
                <w:kern w:val="0"/>
                <w:sz w:val="20"/>
                <w:szCs w:val="20"/>
              </w:rPr>
            </w:pP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如果未配置，请使用car命令为设备配置防攻击功能。具体步骤请参见《S7700&amp;S9700 智能&amp;核心路由交换机配置指南-安全》中的“本机防攻击配置”。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11</w:t>
            </w:r>
          </w:p>
        </w:tc>
        <w:tc>
          <w:tcPr>
            <w:tcW w:w="1276"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MSTP状态</w:t>
            </w:r>
          </w:p>
        </w:tc>
        <w:tc>
          <w:tcPr>
            <w:tcW w:w="2693"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stp brief命令。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指定端口和根端口的“STP State”为“FORWARDING”。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vMerge w:val="continue"/>
            <w:vAlign w:val="center"/>
          </w:tcPr>
          <w:p>
            <w:pPr>
              <w:widowControl/>
              <w:jc w:val="left"/>
              <w:rPr>
                <w:rFonts w:ascii="宋体" w:hAnsi="宋体" w:eastAsia="宋体" w:cs="宋体"/>
                <w:color w:val="000000"/>
                <w:kern w:val="0"/>
                <w:sz w:val="20"/>
                <w:szCs w:val="20"/>
              </w:rPr>
            </w:pP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备份根端口的“STP State”为“DISCARDING”。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12</w:t>
            </w:r>
          </w:p>
        </w:tc>
        <w:tc>
          <w:tcPr>
            <w:tcW w:w="1276"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MST域配置信息</w:t>
            </w:r>
          </w:p>
        </w:tc>
        <w:tc>
          <w:tcPr>
            <w:tcW w:w="2693"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stp region-configuration命令。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查看交换机上当前生效的MST域配置信息。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vMerge w:val="continue"/>
            <w:vAlign w:val="center"/>
          </w:tcPr>
          <w:p>
            <w:pPr>
              <w:widowControl/>
              <w:jc w:val="left"/>
              <w:rPr>
                <w:rFonts w:ascii="宋体" w:hAnsi="宋体" w:eastAsia="宋体" w:cs="宋体"/>
                <w:color w:val="000000"/>
                <w:kern w:val="0"/>
                <w:sz w:val="20"/>
                <w:szCs w:val="20"/>
              </w:rPr>
            </w:pP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输出内容包括：域名、域的修订级别、VLAN与生成树实例的映射关系以及配置的摘要。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13</w:t>
            </w:r>
          </w:p>
        </w:tc>
        <w:tc>
          <w:tcPr>
            <w:tcW w:w="1276"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MSTP拓扑变化</w:t>
            </w:r>
          </w:p>
        </w:tc>
        <w:tc>
          <w:tcPr>
            <w:tcW w:w="2693"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stp topology-change命令。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查看MSTP拓扑变化相关的统计信息。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vMerge w:val="continue"/>
            <w:vAlign w:val="center"/>
          </w:tcPr>
          <w:p>
            <w:pPr>
              <w:widowControl/>
              <w:jc w:val="left"/>
              <w:rPr>
                <w:rFonts w:ascii="宋体" w:hAnsi="宋体" w:eastAsia="宋体" w:cs="宋体"/>
                <w:color w:val="000000"/>
                <w:kern w:val="0"/>
                <w:sz w:val="20"/>
                <w:szCs w:val="20"/>
              </w:rPr>
            </w:pP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如果设备拓扑变化次数递增，则可以确定网络存在震荡。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14</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TC/TCN报文收发计数</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stp tc-bpdu statistics命令。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查看实例端口的TC/TCN报文收发计数。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15</w:t>
            </w:r>
          </w:p>
        </w:tc>
        <w:tc>
          <w:tcPr>
            <w:tcW w:w="1276"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LDT环路检测</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loop-detection命令。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LDT功能配置正常的情况下：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loop-detection [ interface{ interface-type interface-number |interface-name }]</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“Following ports are block for loop”、“Following ports are shutdown for loop”下无端口，证明启动环路检测的VLAN中没有出现环路。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shd w:val="clear" w:color="auto" w:fill="auto"/>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端口的“Status”为“Normal”，证明该端口所属的VLAN没有出现环路。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16</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OSPF邻居状态</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ospf peer命令。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OSPF邻居状态：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IS-IS邻居状态</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ospf peer last-nbr-down命令。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邻居状态“State”为“Full”。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BGP邻居状态</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isis peer 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正常情况下，要求该邻居建立时间不应该小于一天。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　</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bgp peer命令。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正常情况下，没有邻居down掉。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　</w:t>
            </w:r>
          </w:p>
        </w:tc>
        <w:tc>
          <w:tcPr>
            <w:tcW w:w="2693" w:type="dxa"/>
            <w:shd w:val="clear" w:color="auto" w:fill="auto"/>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IS-IS邻居状态：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　</w:t>
            </w:r>
          </w:p>
        </w:tc>
        <w:tc>
          <w:tcPr>
            <w:tcW w:w="2693" w:type="dxa"/>
            <w:shd w:val="clear" w:color="auto" w:fill="auto"/>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邻居状态“State”为“Up”。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　</w:t>
            </w:r>
          </w:p>
        </w:tc>
        <w:tc>
          <w:tcPr>
            <w:tcW w:w="2693" w:type="dxa"/>
            <w:shd w:val="clear" w:color="auto" w:fill="auto"/>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BGP邻居状态：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shd w:val="clear" w:color="auto" w:fill="auto"/>
          </w:tcPr>
          <w:p>
            <w:pPr>
              <w:widowControl/>
              <w:jc w:val="left"/>
              <w:rPr>
                <w:rFonts w:ascii="宋体" w:hAnsi="宋体" w:eastAsia="宋体" w:cs="宋体"/>
                <w:color w:val="000000"/>
                <w:kern w:val="0"/>
                <w:sz w:val="22"/>
              </w:rPr>
            </w:pPr>
            <w:r>
              <w:rPr>
                <w:rFonts w:hint="eastAsia" w:ascii="宋体" w:hAnsi="宋体" w:eastAsia="宋体" w:cs="宋体"/>
                <w:color w:val="000000"/>
                <w:kern w:val="0"/>
                <w:sz w:val="22"/>
              </w:rPr>
              <w:t>　</w:t>
            </w:r>
          </w:p>
        </w:tc>
        <w:tc>
          <w:tcPr>
            <w:tcW w:w="2693" w:type="dxa"/>
            <w:shd w:val="clear" w:color="auto" w:fill="auto"/>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邻居状态“State”为“Established”。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17</w:t>
            </w:r>
          </w:p>
        </w:tc>
        <w:tc>
          <w:tcPr>
            <w:tcW w:w="1276"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路由信息</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ip routing-table命令。与前一次记录的路由信息比较，检查是否由明显变化。</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正常情况下，路由表中有默认路由。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并可抽样对其中的路由项进行</w:t>
            </w:r>
            <w:r>
              <w:rPr>
                <w:rFonts w:hint="eastAsia" w:ascii="宋体" w:hAnsi="宋体" w:eastAsia="宋体" w:cs="宋体"/>
                <w:b/>
                <w:bCs/>
                <w:color w:val="000000"/>
                <w:kern w:val="0"/>
                <w:sz w:val="20"/>
                <w:szCs w:val="20"/>
              </w:rPr>
              <w:t>ping</w:t>
            </w:r>
            <w:r>
              <w:rPr>
                <w:rFonts w:hint="eastAsia" w:ascii="宋体" w:hAnsi="宋体" w:eastAsia="宋体" w:cs="宋体"/>
                <w:color w:val="000000"/>
                <w:kern w:val="0"/>
                <w:sz w:val="20"/>
                <w:szCs w:val="20"/>
              </w:rPr>
              <w:t>或者</w:t>
            </w:r>
            <w:r>
              <w:rPr>
                <w:rFonts w:hint="eastAsia" w:ascii="宋体" w:hAnsi="宋体" w:eastAsia="宋体" w:cs="宋体"/>
                <w:b/>
                <w:bCs/>
                <w:color w:val="000000"/>
                <w:kern w:val="0"/>
                <w:sz w:val="20"/>
                <w:szCs w:val="20"/>
              </w:rPr>
              <w:t>tracert</w:t>
            </w:r>
            <w:r>
              <w:rPr>
                <w:rFonts w:hint="eastAsia" w:ascii="宋体" w:hAnsi="宋体" w:eastAsia="宋体" w:cs="宋体"/>
                <w:color w:val="000000"/>
                <w:kern w:val="0"/>
                <w:sz w:val="20"/>
                <w:szCs w:val="20"/>
              </w:rPr>
              <w:t>操作。</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对于处于一个网络中同一层次的设备，如果运行相同的路由协议，各设备上的路由条目应该相差不大（因为静态路由的配置差异，路由条目上可能存在一定差异）。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18</w:t>
            </w:r>
          </w:p>
        </w:tc>
        <w:tc>
          <w:tcPr>
            <w:tcW w:w="1276"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OSPF Router ID</w:t>
            </w:r>
          </w:p>
        </w:tc>
        <w:tc>
          <w:tcPr>
            <w:tcW w:w="2693"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w:t>
            </w:r>
            <w:r>
              <w:rPr>
                <w:rFonts w:hint="eastAsia" w:ascii="宋体" w:hAnsi="宋体" w:eastAsia="宋体" w:cs="宋体"/>
                <w:b/>
                <w:bCs/>
                <w:color w:val="000000"/>
                <w:kern w:val="0"/>
                <w:sz w:val="20"/>
                <w:szCs w:val="20"/>
              </w:rPr>
              <w:t>show current-configuration configuration ospf</w:t>
            </w:r>
            <w:r>
              <w:rPr>
                <w:rFonts w:hint="eastAsia" w:ascii="宋体" w:hAnsi="宋体" w:eastAsia="宋体" w:cs="宋体"/>
                <w:color w:val="000000"/>
                <w:kern w:val="0"/>
                <w:sz w:val="20"/>
                <w:szCs w:val="20"/>
              </w:rPr>
              <w:t>或者</w:t>
            </w:r>
            <w:r>
              <w:rPr>
                <w:rFonts w:hint="eastAsia" w:ascii="宋体" w:hAnsi="宋体" w:eastAsia="宋体" w:cs="宋体"/>
                <w:b/>
                <w:bCs/>
                <w:color w:val="000000"/>
                <w:kern w:val="0"/>
                <w:sz w:val="20"/>
                <w:szCs w:val="20"/>
              </w:rPr>
              <w:t>show router id</w:t>
            </w:r>
            <w:r>
              <w:rPr>
                <w:rFonts w:hint="eastAsia" w:ascii="宋体" w:hAnsi="宋体" w:eastAsia="宋体" w:cs="宋体"/>
                <w:color w:val="000000"/>
                <w:kern w:val="0"/>
                <w:sz w:val="20"/>
                <w:szCs w:val="20"/>
              </w:rPr>
              <w:t>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指定Router ID为Loopback口地址。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vMerge w:val="continue"/>
            <w:vAlign w:val="center"/>
          </w:tcPr>
          <w:p>
            <w:pPr>
              <w:widowControl/>
              <w:jc w:val="left"/>
              <w:rPr>
                <w:rFonts w:ascii="宋体" w:hAnsi="宋体" w:eastAsia="宋体" w:cs="宋体"/>
                <w:color w:val="000000"/>
                <w:kern w:val="0"/>
                <w:sz w:val="20"/>
                <w:szCs w:val="20"/>
              </w:rPr>
            </w:pP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如未分配Loopback口地址，则要指定为上行口地址或其他Down掉概率最小接口的地址。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vMerge w:val="continue"/>
            <w:vAlign w:val="center"/>
          </w:tcPr>
          <w:p>
            <w:pPr>
              <w:widowControl/>
              <w:jc w:val="left"/>
              <w:rPr>
                <w:rFonts w:ascii="宋体" w:hAnsi="宋体" w:eastAsia="宋体" w:cs="宋体"/>
                <w:color w:val="000000"/>
                <w:kern w:val="0"/>
                <w:sz w:val="20"/>
                <w:szCs w:val="20"/>
              </w:rPr>
            </w:pP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配置的Router ID必须与OSPF正在使用的Router ID一致。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19</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OSPF路由引入配置</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current-configuration configuration ospf命令。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尽量使用network发布路由，也可以通过import方式引入路由。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20</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OSPF虚连接</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ospf vlink命令。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不允许使用虚连接。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21</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OSPF STUB区域</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current-configuration configuration ospf命令。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STUB区域，不能有import-route命令。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vMerge w:val="restart"/>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22</w:t>
            </w:r>
          </w:p>
        </w:tc>
        <w:tc>
          <w:tcPr>
            <w:tcW w:w="1276"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BGP路由发布</w:t>
            </w:r>
          </w:p>
        </w:tc>
        <w:tc>
          <w:tcPr>
            <w:tcW w:w="2693" w:type="dxa"/>
            <w:vMerge w:val="restart"/>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current-configuration configuration bgp命令。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除了VPN路由，禁止采用import-route命令发布IP路由。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582" w:type="dxa"/>
            <w:vMerge w:val="continue"/>
            <w:vAlign w:val="center"/>
          </w:tcPr>
          <w:p>
            <w:pPr>
              <w:widowControl/>
              <w:jc w:val="left"/>
              <w:rPr>
                <w:rFonts w:ascii="宋体" w:hAnsi="宋体" w:eastAsia="宋体" w:cs="宋体"/>
                <w:color w:val="000000"/>
                <w:kern w:val="0"/>
                <w:sz w:val="20"/>
                <w:szCs w:val="20"/>
              </w:rPr>
            </w:pPr>
          </w:p>
        </w:tc>
        <w:tc>
          <w:tcPr>
            <w:tcW w:w="1276" w:type="dxa"/>
            <w:vMerge w:val="continue"/>
            <w:vAlign w:val="center"/>
          </w:tcPr>
          <w:p>
            <w:pPr>
              <w:widowControl/>
              <w:jc w:val="left"/>
              <w:rPr>
                <w:rFonts w:ascii="宋体" w:hAnsi="宋体" w:eastAsia="宋体" w:cs="宋体"/>
                <w:color w:val="000000"/>
                <w:kern w:val="0"/>
                <w:sz w:val="20"/>
                <w:szCs w:val="20"/>
              </w:rPr>
            </w:pPr>
          </w:p>
        </w:tc>
        <w:tc>
          <w:tcPr>
            <w:tcW w:w="2693" w:type="dxa"/>
            <w:vMerge w:val="continue"/>
            <w:vAlign w:val="center"/>
          </w:tcPr>
          <w:p>
            <w:pPr>
              <w:widowControl/>
              <w:jc w:val="left"/>
              <w:rPr>
                <w:rFonts w:ascii="宋体" w:hAnsi="宋体" w:eastAsia="宋体" w:cs="宋体"/>
                <w:color w:val="000000"/>
                <w:kern w:val="0"/>
                <w:sz w:val="20"/>
                <w:szCs w:val="20"/>
              </w:rPr>
            </w:pP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应使用</w:t>
            </w:r>
            <w:r>
              <w:rPr>
                <w:rFonts w:hint="eastAsia" w:ascii="宋体" w:hAnsi="宋体" w:eastAsia="宋体" w:cs="宋体"/>
                <w:b/>
                <w:bCs/>
                <w:color w:val="000000"/>
                <w:kern w:val="0"/>
                <w:sz w:val="20"/>
                <w:szCs w:val="20"/>
              </w:rPr>
              <w:t>network</w:t>
            </w:r>
            <w:r>
              <w:rPr>
                <w:rFonts w:hint="eastAsia" w:ascii="宋体" w:hAnsi="宋体" w:eastAsia="宋体" w:cs="宋体"/>
                <w:color w:val="000000"/>
                <w:kern w:val="0"/>
                <w:sz w:val="20"/>
                <w:szCs w:val="20"/>
              </w:rPr>
              <w:t>命令和</w:t>
            </w:r>
            <w:r>
              <w:rPr>
                <w:rFonts w:hint="eastAsia" w:ascii="宋体" w:hAnsi="宋体" w:eastAsia="宋体" w:cs="宋体"/>
                <w:b/>
                <w:bCs/>
                <w:color w:val="000000"/>
                <w:kern w:val="0"/>
                <w:sz w:val="20"/>
                <w:szCs w:val="20"/>
              </w:rPr>
              <w:t>ip route-static</w:t>
            </w:r>
            <w:r>
              <w:rPr>
                <w:rFonts w:hint="eastAsia" w:ascii="宋体" w:hAnsi="宋体" w:eastAsia="宋体" w:cs="宋体"/>
                <w:color w:val="000000"/>
                <w:kern w:val="0"/>
                <w:sz w:val="20"/>
                <w:szCs w:val="20"/>
              </w:rPr>
              <w:t> </w:t>
            </w:r>
            <w:r>
              <w:rPr>
                <w:rFonts w:hint="eastAsia" w:ascii="宋体" w:hAnsi="宋体" w:eastAsia="宋体" w:cs="宋体"/>
                <w:i/>
                <w:iCs/>
                <w:color w:val="000000"/>
                <w:kern w:val="0"/>
                <w:sz w:val="20"/>
                <w:szCs w:val="20"/>
              </w:rPr>
              <w:t>ip-address</w:t>
            </w:r>
            <w:r>
              <w:rPr>
                <w:rFonts w:hint="eastAsia" w:ascii="宋体" w:hAnsi="宋体" w:eastAsia="宋体" w:cs="宋体"/>
                <w:color w:val="000000"/>
                <w:kern w:val="0"/>
                <w:sz w:val="20"/>
                <w:szCs w:val="20"/>
              </w:rPr>
              <w:t> { </w:t>
            </w:r>
            <w:r>
              <w:rPr>
                <w:rFonts w:hint="eastAsia" w:ascii="宋体" w:hAnsi="宋体" w:eastAsia="宋体" w:cs="宋体"/>
                <w:i/>
                <w:iCs/>
                <w:color w:val="000000"/>
                <w:kern w:val="0"/>
                <w:sz w:val="20"/>
                <w:szCs w:val="20"/>
              </w:rPr>
              <w:t>mask</w:t>
            </w:r>
            <w:r>
              <w:rPr>
                <w:rFonts w:hint="eastAsia" w:ascii="宋体" w:hAnsi="宋体" w:eastAsia="宋体" w:cs="宋体"/>
                <w:color w:val="000000"/>
                <w:kern w:val="0"/>
                <w:sz w:val="20"/>
                <w:szCs w:val="20"/>
              </w:rPr>
              <w:t> | </w:t>
            </w:r>
            <w:r>
              <w:rPr>
                <w:rFonts w:hint="eastAsia" w:ascii="宋体" w:hAnsi="宋体" w:eastAsia="宋体" w:cs="宋体"/>
                <w:i/>
                <w:iCs/>
                <w:color w:val="000000"/>
                <w:kern w:val="0"/>
                <w:sz w:val="20"/>
                <w:szCs w:val="20"/>
              </w:rPr>
              <w:t>mask-length</w:t>
            </w:r>
            <w:r>
              <w:rPr>
                <w:rFonts w:hint="eastAsia" w:ascii="宋体" w:hAnsi="宋体" w:eastAsia="宋体" w:cs="宋体"/>
                <w:color w:val="000000"/>
                <w:kern w:val="0"/>
                <w:sz w:val="20"/>
                <w:szCs w:val="20"/>
              </w:rPr>
              <w:t> } </w:t>
            </w:r>
            <w:r>
              <w:rPr>
                <w:rFonts w:hint="eastAsia" w:ascii="宋体" w:hAnsi="宋体" w:eastAsia="宋体" w:cs="宋体"/>
                <w:b/>
                <w:bCs/>
                <w:color w:val="000000"/>
                <w:kern w:val="0"/>
                <w:sz w:val="20"/>
                <w:szCs w:val="20"/>
              </w:rPr>
              <w:t>null0</w:t>
            </w:r>
            <w:r>
              <w:rPr>
                <w:rFonts w:hint="eastAsia" w:ascii="宋体" w:hAnsi="宋体" w:eastAsia="宋体" w:cs="宋体"/>
                <w:color w:val="000000"/>
                <w:kern w:val="0"/>
                <w:sz w:val="20"/>
                <w:szCs w:val="20"/>
              </w:rPr>
              <w:t>命令手工聚合路由后再静态发布。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23</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IBGP邻居</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current-configuration configuration bgp命令。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基于协议稳定性的考虑，建议使用Loopback这类状态总为UP的接口建立邻居关系。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2" w:type="dxa"/>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24</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ISIS 路由引入</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current-configuration configuration isis命令。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尽量使用network-entity发布路由，也可以通过import方式引入路由。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82" w:type="dxa"/>
            <w:shd w:val="clear" w:color="auto" w:fill="auto"/>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25</w:t>
            </w:r>
          </w:p>
        </w:tc>
        <w:tc>
          <w:tcPr>
            <w:tcW w:w="1276"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VLAN信息</w:t>
            </w:r>
          </w:p>
        </w:tc>
        <w:tc>
          <w:tcPr>
            <w:tcW w:w="2693"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执行show vlan命令。</w:t>
            </w:r>
          </w:p>
        </w:tc>
        <w:tc>
          <w:tcPr>
            <w:tcW w:w="3969" w:type="dxa"/>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查看所有VLAN的基本信息。</w:t>
            </w:r>
          </w:p>
        </w:tc>
      </w:tr>
    </w:tbl>
    <w:p/>
    <w:p>
      <w:pPr>
        <w:pStyle w:val="12"/>
        <w:widowControl/>
        <w:numPr>
          <w:ilvl w:val="0"/>
          <w:numId w:val="1"/>
        </w:numPr>
        <w:spacing w:after="240" w:line="270" w:lineRule="atLeast"/>
        <w:ind w:firstLineChars="0"/>
        <w:jc w:val="left"/>
        <w:outlineLvl w:val="0"/>
        <w:rPr>
          <w:rFonts w:ascii="宋体" w:hAnsi="宋体" w:eastAsia="宋体" w:cs="宋体"/>
          <w:b/>
          <w:bCs/>
          <w:kern w:val="36"/>
          <w:sz w:val="32"/>
          <w:szCs w:val="32"/>
        </w:rPr>
      </w:pPr>
      <w:r>
        <w:rPr>
          <w:rFonts w:hint="eastAsia" w:ascii="宋体" w:hAnsi="宋体" w:eastAsia="宋体" w:cs="宋体"/>
          <w:b/>
          <w:bCs/>
          <w:kern w:val="36"/>
          <w:sz w:val="32"/>
          <w:szCs w:val="32"/>
        </w:rPr>
        <w:t>服务器例行操作</w:t>
      </w:r>
    </w:p>
    <w:p>
      <w:pPr>
        <w:pStyle w:val="3"/>
      </w:pPr>
      <w:bookmarkStart w:id="0" w:name="_Toc381888125"/>
      <w:r>
        <w:rPr>
          <w:rFonts w:hint="eastAsia"/>
        </w:rPr>
        <w:t>4.1 服务器日常维护</w:t>
      </w:r>
      <w:bookmarkEnd w:id="0"/>
    </w:p>
    <w:p>
      <w:pPr>
        <w:numPr>
          <w:ilvl w:val="0"/>
          <w:numId w:val="2"/>
        </w:numPr>
      </w:pPr>
      <w:r>
        <w:rPr>
          <w:rFonts w:hint="eastAsia"/>
        </w:rPr>
        <w:t>服务器是否开启</w:t>
      </w:r>
    </w:p>
    <w:p>
      <w:pPr>
        <w:ind w:left="360"/>
      </w:pPr>
      <w:r>
        <w:rPr>
          <w:rFonts w:hint="eastAsia"/>
        </w:rPr>
        <w:t>每个工作日，检查服务器的状态。可以在cmd命令窗口中，ping  IP地址，查看服务器是否开启，如：</w:t>
      </w:r>
    </w:p>
    <w:p>
      <w:pPr>
        <w:ind w:left="360"/>
      </w:pPr>
      <w:r>
        <w:rPr>
          <w:rFonts w:hint="eastAsia"/>
        </w:rPr>
        <w:drawing>
          <wp:inline distT="0" distB="0" distL="0" distR="0">
            <wp:extent cx="5267325" cy="34575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67325" cy="3457575"/>
                    </a:xfrm>
                    <a:prstGeom prst="rect">
                      <a:avLst/>
                    </a:prstGeom>
                    <a:noFill/>
                    <a:ln>
                      <a:noFill/>
                    </a:ln>
                  </pic:spPr>
                </pic:pic>
              </a:graphicData>
            </a:graphic>
          </wp:inline>
        </w:drawing>
      </w:r>
    </w:p>
    <w:p>
      <w:pPr>
        <w:ind w:left="360"/>
      </w:pPr>
      <w:r>
        <w:rPr>
          <w:rFonts w:hint="eastAsia"/>
        </w:rPr>
        <w:t>若运行结果如下，则服务中断，此时需要采取措施。</w:t>
      </w:r>
    </w:p>
    <w:p>
      <w:pPr>
        <w:ind w:left="360"/>
      </w:pPr>
      <w:r>
        <w:rPr>
          <w:rFonts w:hint="eastAsia"/>
        </w:rPr>
        <w:drawing>
          <wp:inline distT="0" distB="0" distL="0" distR="0">
            <wp:extent cx="4648200" cy="16764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676400"/>
                    </a:xfrm>
                    <a:prstGeom prst="rect">
                      <a:avLst/>
                    </a:prstGeom>
                    <a:noFill/>
                    <a:ln>
                      <a:noFill/>
                    </a:ln>
                  </pic:spPr>
                </pic:pic>
              </a:graphicData>
            </a:graphic>
          </wp:inline>
        </w:drawing>
      </w:r>
    </w:p>
    <w:p>
      <w:pPr>
        <w:numPr>
          <w:ilvl w:val="0"/>
          <w:numId w:val="2"/>
        </w:numPr>
      </w:pPr>
      <w:r>
        <w:rPr>
          <w:rFonts w:hint="eastAsia"/>
        </w:rPr>
        <w:t>服务器硬件检查</w:t>
      </w:r>
    </w:p>
    <w:p>
      <w:pPr>
        <w:ind w:firstLine="420" w:firstLineChars="200"/>
      </w:pPr>
      <w:r>
        <w:rPr>
          <w:rFonts w:hint="eastAsia"/>
        </w:rPr>
        <w:t>机房环境要防静电、防电磁，湿度：</w:t>
      </w:r>
      <w:r>
        <w:t>45%RH-60%RH</w:t>
      </w:r>
      <w:r>
        <w:rPr>
          <w:rFonts w:hint="eastAsia"/>
        </w:rPr>
        <w:t>，温度：20℃-25℃。</w:t>
      </w:r>
    </w:p>
    <w:p>
      <w:pPr>
        <w:ind w:firstLine="420" w:firstLineChars="200"/>
      </w:pPr>
      <w:r>
        <w:rPr>
          <w:rFonts w:hint="eastAsia"/>
        </w:rPr>
        <w:t>每个工作日对服务器硬件进行检查，检查结果登记在册，检查内容如下：</w:t>
      </w:r>
    </w:p>
    <w:p>
      <w:pPr>
        <w:pStyle w:val="12"/>
        <w:numPr>
          <w:ilvl w:val="0"/>
          <w:numId w:val="3"/>
        </w:numPr>
        <w:spacing w:before="3120" w:line="360" w:lineRule="auto"/>
        <w:ind w:firstLineChars="0"/>
        <w:rPr>
          <w:szCs w:val="21"/>
        </w:rPr>
      </w:pPr>
      <w:r>
        <w:rPr>
          <w:szCs w:val="21"/>
        </w:rPr>
        <w:t>主机电源、风扇的使用情况及主机机箱内部温度；</w:t>
      </w:r>
    </w:p>
    <w:p>
      <w:pPr>
        <w:pStyle w:val="12"/>
        <w:numPr>
          <w:ilvl w:val="0"/>
          <w:numId w:val="3"/>
        </w:numPr>
        <w:spacing w:line="360" w:lineRule="auto"/>
        <w:ind w:firstLineChars="0"/>
        <w:rPr>
          <w:szCs w:val="21"/>
        </w:rPr>
      </w:pPr>
      <w:r>
        <w:rPr>
          <w:szCs w:val="21"/>
        </w:rPr>
        <w:t>主机硬盘运行状态；</w:t>
      </w:r>
    </w:p>
    <w:p>
      <w:pPr>
        <w:pStyle w:val="12"/>
        <w:numPr>
          <w:ilvl w:val="0"/>
          <w:numId w:val="3"/>
        </w:numPr>
        <w:spacing w:line="360" w:lineRule="auto"/>
        <w:ind w:firstLineChars="0"/>
        <w:rPr>
          <w:szCs w:val="21"/>
        </w:rPr>
      </w:pPr>
      <w:r>
        <w:rPr>
          <w:szCs w:val="21"/>
        </w:rPr>
        <w:t>主机网卡、阵列卡等硬件状态；</w:t>
      </w:r>
    </w:p>
    <w:p>
      <w:pPr>
        <w:pStyle w:val="12"/>
        <w:numPr>
          <w:ilvl w:val="0"/>
          <w:numId w:val="3"/>
        </w:numPr>
        <w:spacing w:line="360" w:lineRule="auto"/>
        <w:ind w:firstLineChars="0"/>
        <w:rPr>
          <w:szCs w:val="21"/>
        </w:rPr>
      </w:pPr>
      <w:r>
        <w:rPr>
          <w:szCs w:val="21"/>
        </w:rPr>
        <w:t>主机HA运行状况</w:t>
      </w:r>
      <w:r>
        <w:rPr>
          <w:rFonts w:hint="eastAsia"/>
          <w:szCs w:val="21"/>
        </w:rPr>
        <w:t>；</w:t>
      </w:r>
    </w:p>
    <w:p>
      <w:pPr>
        <w:pStyle w:val="12"/>
        <w:numPr>
          <w:ilvl w:val="0"/>
          <w:numId w:val="3"/>
        </w:numPr>
        <w:spacing w:line="360" w:lineRule="auto"/>
        <w:ind w:firstLineChars="0"/>
        <w:rPr>
          <w:szCs w:val="21"/>
        </w:rPr>
      </w:pPr>
      <w:r>
        <w:rPr>
          <w:szCs w:val="21"/>
        </w:rPr>
        <w:t>存储交换机设备状态、端口状态、传输速度；</w:t>
      </w:r>
    </w:p>
    <w:p>
      <w:pPr>
        <w:pStyle w:val="12"/>
        <w:numPr>
          <w:ilvl w:val="0"/>
          <w:numId w:val="3"/>
        </w:numPr>
        <w:spacing w:line="360" w:lineRule="auto"/>
        <w:ind w:firstLineChars="0"/>
        <w:rPr>
          <w:szCs w:val="21"/>
        </w:rPr>
      </w:pPr>
      <w:r>
        <w:rPr>
          <w:rFonts w:hint="eastAsia"/>
          <w:szCs w:val="21"/>
        </w:rPr>
        <w:t>监控记录</w:t>
      </w:r>
      <w:r>
        <w:rPr>
          <w:szCs w:val="21"/>
        </w:rPr>
        <w:t>磁盘阵列、磁带库等存储硬件故障提示和</w:t>
      </w:r>
      <w:r>
        <w:rPr>
          <w:rFonts w:hint="eastAsia"/>
          <w:szCs w:val="21"/>
        </w:rPr>
        <w:t>警告</w:t>
      </w:r>
    </w:p>
    <w:p>
      <w:pPr>
        <w:numPr>
          <w:ilvl w:val="0"/>
          <w:numId w:val="2"/>
        </w:numPr>
      </w:pPr>
      <w:r>
        <w:rPr>
          <w:rFonts w:hint="eastAsia"/>
        </w:rPr>
        <w:t>服务器性能检查</w:t>
      </w:r>
    </w:p>
    <w:p>
      <w:pPr>
        <w:spacing w:line="360" w:lineRule="auto"/>
        <w:ind w:left="359" w:leftChars="171" w:firstLine="420" w:firstLineChars="200"/>
        <w:rPr>
          <w:szCs w:val="21"/>
        </w:rPr>
      </w:pPr>
      <w:r>
        <w:rPr>
          <w:rFonts w:hint="eastAsia"/>
          <w:szCs w:val="21"/>
        </w:rPr>
        <w:t>每周登陆服务器两次，检查服务器的性能，检查结果登记在册，检查内容如下：</w:t>
      </w:r>
    </w:p>
    <w:p>
      <w:pPr>
        <w:spacing w:line="360" w:lineRule="auto"/>
        <w:ind w:left="359" w:leftChars="171" w:firstLine="420" w:firstLineChars="200"/>
        <w:rPr>
          <w:szCs w:val="21"/>
        </w:rPr>
      </w:pPr>
      <w:r>
        <w:rPr>
          <w:rFonts w:hint="eastAsia"/>
          <w:szCs w:val="21"/>
        </w:rPr>
        <w:t>CPU使用率:不能让CPU使用率一直保持太高；</w:t>
      </w:r>
    </w:p>
    <w:p>
      <w:pPr>
        <w:spacing w:line="360" w:lineRule="auto"/>
        <w:ind w:left="359" w:leftChars="171" w:firstLine="420" w:firstLineChars="200"/>
        <w:rPr>
          <w:szCs w:val="21"/>
        </w:rPr>
      </w:pPr>
      <w:r>
        <w:rPr>
          <w:rFonts w:hint="eastAsia"/>
          <w:szCs w:val="21"/>
        </w:rPr>
        <w:t>内存使用率：内存使用率不能太高；</w:t>
      </w:r>
    </w:p>
    <w:p>
      <w:pPr>
        <w:spacing w:line="360" w:lineRule="auto"/>
        <w:ind w:left="359" w:leftChars="171" w:firstLine="420" w:firstLineChars="200"/>
        <w:rPr>
          <w:szCs w:val="21"/>
        </w:rPr>
      </w:pPr>
      <w:r>
        <w:rPr>
          <w:rFonts w:hint="eastAsia"/>
          <w:szCs w:val="21"/>
        </w:rPr>
        <w:t>可通过Ctrl-Alt-Delete打开Windows任务管理器，查看CUP和内存的使用情况，如下图：</w:t>
      </w:r>
    </w:p>
    <w:p>
      <w:pPr>
        <w:spacing w:line="360" w:lineRule="auto"/>
        <w:ind w:left="360"/>
        <w:rPr>
          <w:szCs w:val="21"/>
        </w:rPr>
      </w:pPr>
      <w:r>
        <w:rPr>
          <w:rFonts w:hint="eastAsia"/>
          <w:szCs w:val="21"/>
        </w:rPr>
        <w:drawing>
          <wp:inline distT="0" distB="0" distL="0" distR="0">
            <wp:extent cx="4276725" cy="347662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76725" cy="3476625"/>
                    </a:xfrm>
                    <a:prstGeom prst="rect">
                      <a:avLst/>
                    </a:prstGeom>
                    <a:noFill/>
                    <a:ln>
                      <a:noFill/>
                    </a:ln>
                  </pic:spPr>
                </pic:pic>
              </a:graphicData>
            </a:graphic>
          </wp:inline>
        </w:drawing>
      </w:r>
    </w:p>
    <w:p>
      <w:pPr>
        <w:spacing w:line="360" w:lineRule="auto"/>
        <w:ind w:left="359" w:leftChars="171" w:firstLine="420" w:firstLineChars="200"/>
        <w:rPr>
          <w:szCs w:val="21"/>
        </w:rPr>
      </w:pPr>
      <w:r>
        <w:rPr>
          <w:rFonts w:hint="eastAsia"/>
          <w:szCs w:val="21"/>
        </w:rPr>
        <w:t>进程运行情况：可以查看系统运行的进程，每个进程的CPU和内存使用情况，哪个进程占用了大量系统资源，在确认它不是系统进程后，还可以选择关闭这个进程来释放系统资源。</w:t>
      </w:r>
    </w:p>
    <w:p>
      <w:pPr>
        <w:spacing w:line="360" w:lineRule="auto"/>
        <w:ind w:left="359" w:leftChars="171" w:firstLine="420" w:firstLineChars="200"/>
        <w:rPr>
          <w:szCs w:val="21"/>
        </w:rPr>
      </w:pPr>
      <w:r>
        <w:rPr>
          <w:rFonts w:hint="eastAsia"/>
          <w:szCs w:val="21"/>
        </w:rPr>
        <w:t>可通过Ctrl-Alt-Delete打开Windows任务管理器，查看系统进程的运行情况，如下图：</w:t>
      </w:r>
    </w:p>
    <w:p>
      <w:pPr>
        <w:tabs>
          <w:tab w:val="left" w:pos="7088"/>
        </w:tabs>
        <w:spacing w:line="360" w:lineRule="auto"/>
        <w:ind w:left="360"/>
        <w:rPr>
          <w:szCs w:val="21"/>
        </w:rPr>
      </w:pPr>
      <w:r>
        <w:rPr>
          <w:rFonts w:hint="eastAsia"/>
          <w:szCs w:val="21"/>
        </w:rPr>
        <w:drawing>
          <wp:inline distT="0" distB="0" distL="0" distR="0">
            <wp:extent cx="4324350" cy="35147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324350" cy="3514725"/>
                    </a:xfrm>
                    <a:prstGeom prst="rect">
                      <a:avLst/>
                    </a:prstGeom>
                    <a:noFill/>
                    <a:ln>
                      <a:noFill/>
                    </a:ln>
                  </pic:spPr>
                </pic:pic>
              </a:graphicData>
            </a:graphic>
          </wp:inline>
        </w:drawing>
      </w:r>
    </w:p>
    <w:p>
      <w:pPr>
        <w:tabs>
          <w:tab w:val="left" w:pos="7088"/>
        </w:tabs>
        <w:spacing w:line="360" w:lineRule="auto"/>
        <w:ind w:left="360"/>
        <w:rPr>
          <w:szCs w:val="21"/>
        </w:rPr>
      </w:pPr>
      <w:r>
        <w:rPr>
          <w:rFonts w:hint="eastAsia"/>
          <w:color w:val="FF0000"/>
          <w:szCs w:val="21"/>
        </w:rPr>
        <w:t>硬盘</w:t>
      </w:r>
      <w:r>
        <w:rPr>
          <w:rFonts w:hint="eastAsia"/>
          <w:szCs w:val="21"/>
        </w:rPr>
        <w:t>：查看每个磁盘的使用率、剩余空间。</w:t>
      </w:r>
    </w:p>
    <w:p>
      <w:pPr>
        <w:tabs>
          <w:tab w:val="left" w:pos="7088"/>
        </w:tabs>
        <w:spacing w:line="360" w:lineRule="auto"/>
        <w:ind w:left="360"/>
        <w:rPr>
          <w:szCs w:val="21"/>
        </w:rPr>
      </w:pPr>
      <w:r>
        <w:rPr>
          <w:rFonts w:hint="eastAsia"/>
          <w:color w:val="000000"/>
          <w:szCs w:val="21"/>
        </w:rPr>
        <w:t>可在每个磁盘上右键-属性，打开</w:t>
      </w:r>
      <w:r>
        <w:rPr>
          <w:rFonts w:hint="eastAsia"/>
          <w:szCs w:val="21"/>
        </w:rPr>
        <w:t>磁盘属性，如下图：</w:t>
      </w:r>
    </w:p>
    <w:p>
      <w:pPr>
        <w:tabs>
          <w:tab w:val="left" w:pos="7088"/>
        </w:tabs>
        <w:spacing w:line="360" w:lineRule="auto"/>
        <w:ind w:left="360"/>
        <w:rPr>
          <w:szCs w:val="21"/>
        </w:rPr>
      </w:pPr>
      <w:r>
        <w:rPr>
          <w:rFonts w:hint="eastAsia"/>
          <w:szCs w:val="21"/>
        </w:rPr>
        <w:drawing>
          <wp:inline distT="0" distB="0" distL="0" distR="0">
            <wp:extent cx="3514725" cy="43053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14725" cy="4305300"/>
                    </a:xfrm>
                    <a:prstGeom prst="rect">
                      <a:avLst/>
                    </a:prstGeom>
                    <a:noFill/>
                    <a:ln>
                      <a:noFill/>
                    </a:ln>
                  </pic:spPr>
                </pic:pic>
              </a:graphicData>
            </a:graphic>
          </wp:inline>
        </w:drawing>
      </w:r>
    </w:p>
    <w:p>
      <w:pPr>
        <w:numPr>
          <w:ilvl w:val="0"/>
          <w:numId w:val="2"/>
        </w:numPr>
      </w:pPr>
      <w:r>
        <w:rPr>
          <w:rFonts w:hint="eastAsia"/>
        </w:rPr>
        <w:t>服务器检查工具管理</w:t>
      </w:r>
    </w:p>
    <w:p>
      <w:pPr>
        <w:tabs>
          <w:tab w:val="left" w:pos="7088"/>
        </w:tabs>
        <w:spacing w:line="360" w:lineRule="auto"/>
        <w:ind w:firstLine="315" w:firstLineChars="150"/>
        <w:rPr>
          <w:szCs w:val="21"/>
        </w:rPr>
      </w:pPr>
      <w:r>
        <w:rPr>
          <w:rFonts w:hint="eastAsia"/>
          <w:szCs w:val="21"/>
        </w:rPr>
        <w:t>如需要使用一些工具对服务器性能进行检查，首先报信息化管理部批准。然后选择如华军、天空等大型网站进行下载。下载后确保当前杀毒软件已经升级到最新版本，升级完毕后对下载的软件进行杀毒，确认正常后才可以使用。</w:t>
      </w:r>
    </w:p>
    <w:p>
      <w:pPr>
        <w:tabs>
          <w:tab w:val="left" w:pos="7088"/>
        </w:tabs>
        <w:spacing w:line="360" w:lineRule="auto"/>
        <w:ind w:firstLine="315" w:firstLineChars="150"/>
        <w:rPr>
          <w:szCs w:val="21"/>
        </w:rPr>
      </w:pPr>
      <w:r>
        <w:rPr>
          <w:rFonts w:hint="eastAsia"/>
          <w:szCs w:val="21"/>
        </w:rPr>
        <w:t>对于下载的新工具，将工具保存到指定的目录下，目录根据现场环境决定。在该目录的readme.txt文件中做好记录，记录该工具的名称、功能和使用方法。并且在该文件夹中的rar文件夹中保留一份winrar压缩文件备份，设置解压密码。</w:t>
      </w:r>
    </w:p>
    <w:p>
      <w:pPr>
        <w:pStyle w:val="12"/>
        <w:numPr>
          <w:ilvl w:val="0"/>
          <w:numId w:val="2"/>
        </w:numPr>
        <w:spacing w:line="360" w:lineRule="auto"/>
        <w:ind w:left="357" w:hanging="357" w:firstLineChars="0"/>
        <w:rPr>
          <w:szCs w:val="21"/>
        </w:rPr>
      </w:pPr>
      <w:r>
        <w:rPr>
          <w:rFonts w:hint="eastAsia"/>
          <w:szCs w:val="21"/>
        </w:rPr>
        <w:t>服务器的补丁修补、应用程序更新工作</w:t>
      </w:r>
    </w:p>
    <w:p>
      <w:pPr>
        <w:pStyle w:val="12"/>
        <w:spacing w:line="360" w:lineRule="auto"/>
        <w:rPr>
          <w:szCs w:val="21"/>
        </w:rPr>
      </w:pPr>
      <w:r>
        <w:rPr>
          <w:rFonts w:hint="eastAsia"/>
          <w:szCs w:val="21"/>
        </w:rPr>
        <w:t>对于新出的漏洞补丁、应用程序环境方面的安全更新，一定要在第一时间给每个服务器打上应用程序的补丁，并保持更新记录。</w:t>
      </w:r>
    </w:p>
    <w:p>
      <w:pPr>
        <w:pStyle w:val="12"/>
        <w:numPr>
          <w:ilvl w:val="0"/>
          <w:numId w:val="2"/>
        </w:numPr>
        <w:spacing w:line="360" w:lineRule="auto"/>
        <w:ind w:firstLineChars="0"/>
        <w:rPr>
          <w:szCs w:val="21"/>
        </w:rPr>
      </w:pPr>
      <w:r>
        <w:rPr>
          <w:rFonts w:hint="eastAsia"/>
          <w:szCs w:val="21"/>
        </w:rPr>
        <w:t>定期的密码更改管理</w:t>
      </w:r>
    </w:p>
    <w:p>
      <w:pPr>
        <w:pStyle w:val="12"/>
        <w:spacing w:line="360" w:lineRule="auto"/>
        <w:ind w:left="360" w:firstLine="0" w:firstLineChars="0"/>
        <w:rPr>
          <w:szCs w:val="21"/>
        </w:rPr>
      </w:pPr>
      <w:r>
        <w:rPr>
          <w:rFonts w:hint="eastAsia"/>
          <w:szCs w:val="21"/>
        </w:rPr>
        <w:t>每台服务器根据所在安全域的安全要求，定期更新密码，并做好记录。</w:t>
      </w:r>
    </w:p>
    <w:p>
      <w:pPr>
        <w:pStyle w:val="3"/>
      </w:pPr>
      <w:bookmarkStart w:id="1" w:name="_Toc381888127"/>
      <w:r>
        <w:rPr>
          <w:rFonts w:hint="eastAsia"/>
        </w:rPr>
        <w:t>4.2 操作系统运行日志管理</w:t>
      </w:r>
      <w:bookmarkEnd w:id="1"/>
    </w:p>
    <w:p>
      <w:pPr>
        <w:numPr>
          <w:ilvl w:val="0"/>
          <w:numId w:val="4"/>
        </w:numPr>
      </w:pPr>
      <w:r>
        <w:rPr>
          <w:rFonts w:hint="eastAsia"/>
        </w:rPr>
        <w:t>查看系统运行日志</w:t>
      </w:r>
    </w:p>
    <w:p>
      <w:pPr>
        <w:spacing w:line="360" w:lineRule="auto"/>
        <w:ind w:firstLine="367" w:firstLineChars="175"/>
        <w:rPr>
          <w:szCs w:val="21"/>
        </w:rPr>
      </w:pPr>
      <w:r>
        <w:rPr>
          <w:rFonts w:hint="eastAsia"/>
          <w:szCs w:val="21"/>
        </w:rPr>
        <w:t>可通过控制面板-管理工具-事件查看器，查看系统日志，如下图：</w:t>
      </w:r>
    </w:p>
    <w:p>
      <w:pPr>
        <w:spacing w:line="360" w:lineRule="auto"/>
        <w:ind w:firstLine="367" w:firstLineChars="175"/>
        <w:rPr>
          <w:szCs w:val="21"/>
        </w:rPr>
      </w:pPr>
      <w:r>
        <w:rPr>
          <w:rFonts w:hint="eastAsia"/>
          <w:szCs w:val="21"/>
        </w:rPr>
        <w:drawing>
          <wp:inline distT="0" distB="0" distL="0" distR="0">
            <wp:extent cx="3267075" cy="23622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67075" cy="2362200"/>
                    </a:xfrm>
                    <a:prstGeom prst="rect">
                      <a:avLst/>
                    </a:prstGeom>
                    <a:noFill/>
                    <a:ln>
                      <a:noFill/>
                    </a:ln>
                  </pic:spPr>
                </pic:pic>
              </a:graphicData>
            </a:graphic>
          </wp:inline>
        </w:drawing>
      </w:r>
    </w:p>
    <w:p>
      <w:pPr>
        <w:spacing w:line="360" w:lineRule="auto"/>
        <w:ind w:firstLine="367" w:firstLineChars="175"/>
        <w:rPr>
          <w:szCs w:val="21"/>
        </w:rPr>
      </w:pPr>
      <w:r>
        <w:rPr>
          <w:rFonts w:hint="eastAsia"/>
          <w:szCs w:val="21"/>
        </w:rPr>
        <w:t>其中，系统日志主要为：</w:t>
      </w:r>
    </w:p>
    <w:p>
      <w:pPr>
        <w:pStyle w:val="12"/>
        <w:spacing w:line="360" w:lineRule="auto"/>
        <w:ind w:left="420" w:firstLine="0" w:firstLineChars="0"/>
        <w:rPr>
          <w:szCs w:val="21"/>
        </w:rPr>
      </w:pPr>
      <w:r>
        <w:rPr>
          <w:rFonts w:hint="eastAsia"/>
          <w:szCs w:val="21"/>
        </w:rPr>
        <w:t>应用程序日志：由应用程序或者系统程序记录的事件；</w:t>
      </w:r>
    </w:p>
    <w:p>
      <w:pPr>
        <w:pStyle w:val="12"/>
        <w:spacing w:line="360" w:lineRule="auto"/>
        <w:ind w:left="420" w:firstLine="0" w:firstLineChars="0"/>
        <w:rPr>
          <w:szCs w:val="21"/>
        </w:rPr>
      </w:pPr>
      <w:r>
        <w:rPr>
          <w:rFonts w:hint="eastAsia"/>
          <w:szCs w:val="21"/>
        </w:rPr>
        <w:t>安全性日志：查看有效和无效的登录尝试事件，以及资源使用相关的事件；</w:t>
      </w:r>
    </w:p>
    <w:p>
      <w:pPr>
        <w:pStyle w:val="12"/>
        <w:spacing w:line="360" w:lineRule="auto"/>
        <w:ind w:left="420" w:firstLine="0" w:firstLineChars="0"/>
        <w:rPr>
          <w:szCs w:val="21"/>
        </w:rPr>
      </w:pPr>
      <w:r>
        <w:rPr>
          <w:rFonts w:hint="eastAsia"/>
          <w:szCs w:val="21"/>
        </w:rPr>
        <w:t>系统日志：Windows系统组件记录的事件。</w:t>
      </w:r>
    </w:p>
    <w:p>
      <w:pPr>
        <w:pStyle w:val="12"/>
        <w:spacing w:line="360" w:lineRule="auto"/>
        <w:ind w:left="420" w:firstLine="0" w:firstLineChars="0"/>
        <w:rPr>
          <w:szCs w:val="21"/>
        </w:rPr>
      </w:pPr>
      <w:r>
        <w:rPr>
          <w:rFonts w:hint="eastAsia"/>
          <w:szCs w:val="21"/>
        </w:rPr>
        <w:t>双击日志类型（如双击“应用程序”），可查看每一个事件的日志列表，如下图：</w:t>
      </w:r>
    </w:p>
    <w:p>
      <w:pPr>
        <w:pStyle w:val="12"/>
        <w:spacing w:line="360" w:lineRule="auto"/>
        <w:ind w:left="420" w:firstLine="0" w:firstLineChars="0"/>
        <w:rPr>
          <w:szCs w:val="21"/>
        </w:rPr>
      </w:pPr>
      <w:r>
        <w:rPr>
          <w:szCs w:val="21"/>
        </w:rPr>
        <w:drawing>
          <wp:inline distT="0" distB="0" distL="0" distR="0">
            <wp:extent cx="4829175" cy="15906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29175" cy="1590675"/>
                    </a:xfrm>
                    <a:prstGeom prst="rect">
                      <a:avLst/>
                    </a:prstGeom>
                    <a:noFill/>
                    <a:ln>
                      <a:noFill/>
                    </a:ln>
                  </pic:spPr>
                </pic:pic>
              </a:graphicData>
            </a:graphic>
          </wp:inline>
        </w:drawing>
      </w:r>
    </w:p>
    <w:p>
      <w:pPr>
        <w:pStyle w:val="12"/>
        <w:spacing w:line="360" w:lineRule="auto"/>
        <w:ind w:left="420" w:firstLine="0" w:firstLineChars="0"/>
        <w:rPr>
          <w:szCs w:val="21"/>
        </w:rPr>
      </w:pPr>
      <w:r>
        <w:rPr>
          <w:rFonts w:hint="eastAsia"/>
          <w:szCs w:val="21"/>
        </w:rPr>
        <w:t>事件类型分为以下三种：</w:t>
      </w:r>
    </w:p>
    <w:p>
      <w:pPr>
        <w:pStyle w:val="12"/>
        <w:numPr>
          <w:ilvl w:val="0"/>
          <w:numId w:val="5"/>
        </w:numPr>
        <w:spacing w:line="360" w:lineRule="auto"/>
        <w:ind w:firstLineChars="0"/>
        <w:rPr>
          <w:szCs w:val="21"/>
        </w:rPr>
      </w:pPr>
      <w:r>
        <w:rPr>
          <w:rFonts w:hint="eastAsia"/>
          <w:szCs w:val="21"/>
        </w:rPr>
        <w:t>错误：记录重要的问题，如数据丢失或功能丧失；</w:t>
      </w:r>
    </w:p>
    <w:p>
      <w:pPr>
        <w:pStyle w:val="12"/>
        <w:numPr>
          <w:ilvl w:val="0"/>
          <w:numId w:val="5"/>
        </w:numPr>
        <w:spacing w:line="360" w:lineRule="auto"/>
        <w:ind w:firstLineChars="0"/>
        <w:rPr>
          <w:szCs w:val="21"/>
        </w:rPr>
      </w:pPr>
      <w:r>
        <w:rPr>
          <w:rFonts w:hint="eastAsia"/>
          <w:szCs w:val="21"/>
        </w:rPr>
        <w:t>警告：记录那些不一定很重要，但是将来有可能导致问题的事件；</w:t>
      </w:r>
    </w:p>
    <w:p>
      <w:pPr>
        <w:pStyle w:val="12"/>
        <w:numPr>
          <w:ilvl w:val="0"/>
          <w:numId w:val="5"/>
        </w:numPr>
        <w:spacing w:line="360" w:lineRule="auto"/>
        <w:ind w:firstLineChars="0"/>
        <w:rPr>
          <w:szCs w:val="21"/>
        </w:rPr>
      </w:pPr>
      <w:r>
        <w:rPr>
          <w:rFonts w:hint="eastAsia"/>
          <w:szCs w:val="21"/>
        </w:rPr>
        <w:t>信息：记录应用程序、驱动程序或服务成功或失败的事件。</w:t>
      </w:r>
    </w:p>
    <w:p>
      <w:pPr>
        <w:pStyle w:val="12"/>
        <w:spacing w:line="360" w:lineRule="auto"/>
        <w:ind w:left="420" w:firstLine="0" w:firstLineChars="0"/>
        <w:rPr>
          <w:szCs w:val="21"/>
        </w:rPr>
      </w:pPr>
      <w:r>
        <w:rPr>
          <w:rFonts w:hint="eastAsia"/>
          <w:szCs w:val="21"/>
        </w:rPr>
        <w:t>可双击具体事件（如双击下图的错误事件）查看事件记录的详细信息，如下图：</w:t>
      </w:r>
    </w:p>
    <w:p>
      <w:pPr>
        <w:pStyle w:val="12"/>
        <w:spacing w:line="360" w:lineRule="auto"/>
        <w:ind w:left="420" w:firstLine="0" w:firstLineChars="0"/>
        <w:rPr>
          <w:szCs w:val="21"/>
        </w:rPr>
      </w:pPr>
      <w:r>
        <w:rPr>
          <w:szCs w:val="21"/>
        </w:rPr>
        <w:drawing>
          <wp:inline distT="0" distB="0" distL="0" distR="0">
            <wp:extent cx="4467225" cy="28194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467225" cy="2819400"/>
                    </a:xfrm>
                    <a:prstGeom prst="rect">
                      <a:avLst/>
                    </a:prstGeom>
                    <a:noFill/>
                    <a:ln>
                      <a:noFill/>
                    </a:ln>
                  </pic:spPr>
                </pic:pic>
              </a:graphicData>
            </a:graphic>
          </wp:inline>
        </w:drawing>
      </w:r>
    </w:p>
    <w:p>
      <w:pPr>
        <w:pStyle w:val="12"/>
        <w:numPr>
          <w:ilvl w:val="0"/>
          <w:numId w:val="4"/>
        </w:numPr>
        <w:spacing w:line="360" w:lineRule="auto"/>
        <w:ind w:firstLineChars="0"/>
        <w:rPr>
          <w:szCs w:val="21"/>
        </w:rPr>
      </w:pPr>
      <w:r>
        <w:rPr>
          <w:rFonts w:hint="eastAsia"/>
          <w:szCs w:val="21"/>
        </w:rPr>
        <w:t>每周检查系统运行日志并分析</w:t>
      </w:r>
    </w:p>
    <w:p>
      <w:pPr>
        <w:spacing w:line="360" w:lineRule="auto"/>
        <w:ind w:firstLine="367" w:firstLineChars="175"/>
        <w:rPr>
          <w:szCs w:val="21"/>
        </w:rPr>
      </w:pPr>
      <w:r>
        <w:rPr>
          <w:rFonts w:hint="eastAsia"/>
          <w:szCs w:val="21"/>
        </w:rPr>
        <w:t>每周检查、分析系统运行日志，查看</w:t>
      </w:r>
      <w:r>
        <w:rPr>
          <w:rFonts w:hint="eastAsia"/>
          <w:color w:val="000000"/>
          <w:szCs w:val="21"/>
        </w:rPr>
        <w:t>警告信息和错误</w:t>
      </w:r>
      <w:r>
        <w:rPr>
          <w:rFonts w:hint="eastAsia"/>
          <w:szCs w:val="21"/>
        </w:rPr>
        <w:t>信息，对异常事件及时跟进解决并做记录，做好防范工作。</w:t>
      </w:r>
    </w:p>
    <w:p>
      <w:pPr>
        <w:pStyle w:val="12"/>
        <w:numPr>
          <w:ilvl w:val="0"/>
          <w:numId w:val="4"/>
        </w:numPr>
        <w:spacing w:line="360" w:lineRule="auto"/>
        <w:ind w:firstLineChars="0"/>
        <w:rPr>
          <w:szCs w:val="21"/>
        </w:rPr>
      </w:pPr>
      <w:r>
        <w:rPr>
          <w:rFonts w:hint="eastAsia"/>
          <w:szCs w:val="21"/>
        </w:rPr>
        <w:t>日志备份和清理</w:t>
      </w:r>
    </w:p>
    <w:p>
      <w:pPr>
        <w:spacing w:line="360" w:lineRule="auto"/>
        <w:ind w:firstLine="420" w:firstLineChars="200"/>
        <w:rPr>
          <w:rFonts w:ascii="Calibri" w:hAnsi="Calibri"/>
          <w:kern w:val="0"/>
          <w:szCs w:val="21"/>
        </w:rPr>
      </w:pPr>
      <w:r>
        <w:rPr>
          <w:rFonts w:hint="eastAsia"/>
          <w:szCs w:val="21"/>
        </w:rPr>
        <w:t>每周备份一次系统运行日志，备份日志保存时间为2个月。当服务器出现故障的时候，可通过查看系统运行日志排查故障原因。</w:t>
      </w:r>
    </w:p>
    <w:p>
      <w:pPr>
        <w:pStyle w:val="12"/>
        <w:spacing w:line="360" w:lineRule="auto"/>
        <w:rPr>
          <w:szCs w:val="21"/>
        </w:rPr>
      </w:pPr>
      <w:r>
        <w:rPr>
          <w:rFonts w:hint="eastAsia"/>
          <w:szCs w:val="21"/>
        </w:rPr>
        <w:t>备份日志保存路径：</w:t>
      </w:r>
    </w:p>
    <w:p>
      <w:pPr>
        <w:pStyle w:val="12"/>
        <w:spacing w:line="360" w:lineRule="auto"/>
        <w:rPr>
          <w:szCs w:val="21"/>
        </w:rPr>
      </w:pPr>
      <w:r>
        <w:rPr>
          <w:rFonts w:hint="eastAsia"/>
          <w:szCs w:val="21"/>
        </w:rPr>
        <w:t>所有的日志文件统一保存在</w:t>
      </w:r>
      <w:r>
        <w:rPr>
          <w:rFonts w:hint="eastAsia"/>
          <w:color w:val="000000"/>
          <w:szCs w:val="21"/>
        </w:rPr>
        <w:t>“服务器日常运维记录”</w:t>
      </w:r>
      <w:r>
        <w:rPr>
          <w:rFonts w:hint="eastAsia"/>
          <w:szCs w:val="21"/>
        </w:rPr>
        <w:t>的“logs”下，如：应用程序日志保存在logsapp中，系统程序日志保存在logssys中，安全日志保存在logssec中。对于其他的应用程序日志，也按照这个方式进行处理，如ftp的日志保存在logsftp中。</w:t>
      </w:r>
    </w:p>
    <w:p>
      <w:pPr>
        <w:spacing w:line="360" w:lineRule="auto"/>
        <w:ind w:firstLine="367" w:firstLineChars="175"/>
        <w:rPr>
          <w:szCs w:val="21"/>
        </w:rPr>
      </w:pPr>
      <w:r>
        <w:rPr>
          <w:rFonts w:hint="eastAsia"/>
          <w:szCs w:val="21"/>
        </w:rPr>
        <w:t>备份日志命名规范：</w:t>
      </w:r>
    </w:p>
    <w:p>
      <w:pPr>
        <w:pStyle w:val="12"/>
        <w:spacing w:line="360" w:lineRule="auto"/>
        <w:rPr>
          <w:szCs w:val="21"/>
        </w:rPr>
      </w:pPr>
      <w:r>
        <w:rPr>
          <w:rFonts w:hint="eastAsia"/>
          <w:szCs w:val="21"/>
        </w:rPr>
        <w:t>所有的备份日志文件都以备份的日期命名，如20</w:t>
      </w:r>
      <w:r>
        <w:rPr>
          <w:szCs w:val="21"/>
        </w:rPr>
        <w:t>1</w:t>
      </w:r>
      <w:r>
        <w:rPr>
          <w:rFonts w:hint="eastAsia"/>
          <w:szCs w:val="21"/>
        </w:rPr>
        <w:t>50824.evt。对于不是</w:t>
      </w:r>
      <w:r>
        <w:rPr>
          <w:rFonts w:hint="eastAsia"/>
          <w:color w:val="000000"/>
          <w:szCs w:val="21"/>
        </w:rPr>
        <w:t>单文件</w:t>
      </w:r>
      <w:r>
        <w:rPr>
          <w:rFonts w:hint="eastAsia"/>
          <w:szCs w:val="21"/>
        </w:rPr>
        <w:t>形式的日志，在对应的记录位置下建立一个以日期命名的文件夹，将这些日志文件放在该文件夹中。</w:t>
      </w:r>
    </w:p>
    <w:p>
      <w:pPr>
        <w:spacing w:line="360" w:lineRule="auto"/>
        <w:ind w:firstLine="420" w:firstLineChars="200"/>
        <w:rPr>
          <w:rFonts w:ascii="Calibri" w:hAnsi="Calibri"/>
          <w:kern w:val="0"/>
          <w:szCs w:val="21"/>
        </w:rPr>
      </w:pPr>
      <w:r>
        <w:rPr>
          <w:rFonts w:hint="eastAsia" w:ascii="Calibri" w:hAnsi="Calibri"/>
          <w:kern w:val="0"/>
          <w:szCs w:val="21"/>
        </w:rPr>
        <w:t>为了减少对系统空间的使用，每台服务器保证每月对相关日志进行一次清理，在清理前要保证已经备份了相应的日志（如应用程序日志、安全日志、系统日志等）。</w:t>
      </w:r>
    </w:p>
    <w:p>
      <w:pPr>
        <w:rPr>
          <w:szCs w:val="21"/>
        </w:rPr>
      </w:pPr>
      <w:r>
        <w:rPr>
          <w:rFonts w:hint="eastAsia"/>
          <w:b/>
          <w:szCs w:val="21"/>
        </w:rPr>
        <w:t xml:space="preserve">  </w:t>
      </w:r>
      <w:r>
        <w:rPr>
          <w:rFonts w:hint="eastAsia"/>
          <w:szCs w:val="21"/>
        </w:rPr>
        <w:t xml:space="preserve">  日志备份步骤：</w:t>
      </w:r>
    </w:p>
    <w:p>
      <w:pPr>
        <w:pStyle w:val="12"/>
        <w:spacing w:line="360" w:lineRule="auto"/>
        <w:rPr>
          <w:szCs w:val="21"/>
        </w:rPr>
      </w:pPr>
      <w:r>
        <w:rPr>
          <w:rFonts w:hint="eastAsia"/>
          <w:szCs w:val="21"/>
        </w:rPr>
        <w:t>可在日志上右键-另存日志文件，弹出如下另存对话框：</w:t>
      </w:r>
    </w:p>
    <w:p>
      <w:pPr>
        <w:pStyle w:val="12"/>
        <w:spacing w:line="360" w:lineRule="auto"/>
        <w:ind w:left="420" w:firstLine="0" w:firstLineChars="0"/>
        <w:rPr>
          <w:b/>
          <w:szCs w:val="21"/>
        </w:rPr>
      </w:pPr>
      <w:r>
        <w:rPr>
          <w:rFonts w:hint="eastAsia"/>
          <w:b/>
          <w:szCs w:val="21"/>
        </w:rPr>
        <w:drawing>
          <wp:inline distT="0" distB="0" distL="0" distR="0">
            <wp:extent cx="4295775" cy="26574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295775" cy="2657475"/>
                    </a:xfrm>
                    <a:prstGeom prst="rect">
                      <a:avLst/>
                    </a:prstGeom>
                    <a:noFill/>
                    <a:ln>
                      <a:noFill/>
                    </a:ln>
                  </pic:spPr>
                </pic:pic>
              </a:graphicData>
            </a:graphic>
          </wp:inline>
        </w:drawing>
      </w:r>
    </w:p>
    <w:p>
      <w:pPr>
        <w:pStyle w:val="12"/>
        <w:spacing w:line="360" w:lineRule="auto"/>
        <w:rPr>
          <w:szCs w:val="21"/>
        </w:rPr>
      </w:pPr>
      <w:r>
        <w:rPr>
          <w:rFonts w:hint="eastAsia"/>
          <w:szCs w:val="21"/>
        </w:rPr>
        <w:t xml:space="preserve">输入文件名（如20151101），点击“保存”按钮即保存到指定路径： </w:t>
      </w:r>
    </w:p>
    <w:p>
      <w:pPr>
        <w:pStyle w:val="12"/>
        <w:spacing w:line="360" w:lineRule="auto"/>
        <w:ind w:firstLine="422"/>
        <w:rPr>
          <w:b/>
          <w:szCs w:val="21"/>
        </w:rPr>
      </w:pPr>
    </w:p>
    <w:p>
      <w:pPr>
        <w:spacing w:line="360" w:lineRule="auto"/>
        <w:rPr>
          <w:rFonts w:ascii="宋体" w:hAnsi="宋体"/>
        </w:rPr>
      </w:pPr>
    </w:p>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5"/>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default" w:eastAsiaTheme="minorEastAsia"/>
        <w:lang w:val="en-US" w:eastAsia="zh-CN"/>
      </w:rPr>
    </w:pPr>
    <w:r>
      <w:rPr>
        <w:rFonts w:hint="eastAsia"/>
        <w:lang w:val="en-US" w:eastAsia="zh-CN"/>
      </w:rPr>
      <w:t>青岛九邮信息技术有限公司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D676F"/>
    <w:multiLevelType w:val="multilevel"/>
    <w:tmpl w:val="029D676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ABA31B9"/>
    <w:multiLevelType w:val="multilevel"/>
    <w:tmpl w:val="0ABA31B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80B0C76"/>
    <w:multiLevelType w:val="multilevel"/>
    <w:tmpl w:val="480B0C7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630A41A5"/>
    <w:multiLevelType w:val="multilevel"/>
    <w:tmpl w:val="630A41A5"/>
    <w:lvl w:ilvl="0" w:tentative="0">
      <w:start w:val="1"/>
      <w:numFmt w:val="lowerLetter"/>
      <w:lvlText w:val="%1)"/>
      <w:lvlJc w:val="left"/>
      <w:pPr>
        <w:ind w:left="840" w:hanging="420"/>
      </w:pPr>
      <w:rPr>
        <w:rFonts w:hint="default"/>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79BC6C9A"/>
    <w:multiLevelType w:val="multilevel"/>
    <w:tmpl w:val="79BC6C9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6AD"/>
    <w:rsid w:val="000034B0"/>
    <w:rsid w:val="002B680E"/>
    <w:rsid w:val="0036041C"/>
    <w:rsid w:val="003B6601"/>
    <w:rsid w:val="004330A8"/>
    <w:rsid w:val="004D2AC8"/>
    <w:rsid w:val="004D74F6"/>
    <w:rsid w:val="00580911"/>
    <w:rsid w:val="006006AD"/>
    <w:rsid w:val="006A0151"/>
    <w:rsid w:val="006A51B3"/>
    <w:rsid w:val="0076498B"/>
    <w:rsid w:val="00A3512C"/>
    <w:rsid w:val="00AD7A90"/>
    <w:rsid w:val="00B42620"/>
    <w:rsid w:val="00C90FEF"/>
    <w:rsid w:val="00E85A60"/>
    <w:rsid w:val="55207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sz w:val="18"/>
      <w:szCs w:val="18"/>
    </w:rPr>
  </w:style>
  <w:style w:type="paragraph" w:styleId="5">
    <w:name w:val="footer"/>
    <w:basedOn w:val="1"/>
    <w:link w:val="14"/>
    <w:unhideWhenUsed/>
    <w:uiPriority w:val="99"/>
    <w:pPr>
      <w:tabs>
        <w:tab w:val="center" w:pos="4153"/>
        <w:tab w:val="right" w:pos="8306"/>
      </w:tabs>
      <w:snapToGrid w:val="0"/>
      <w:jc w:val="left"/>
    </w:pPr>
    <w:rPr>
      <w:sz w:val="18"/>
      <w:szCs w:val="18"/>
    </w:rPr>
  </w:style>
  <w:style w:type="paragraph" w:styleId="6">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10">
    <w:name w:val="标题 1 Char"/>
    <w:basedOn w:val="9"/>
    <w:link w:val="2"/>
    <w:uiPriority w:val="9"/>
    <w:rPr>
      <w:rFonts w:ascii="宋体" w:hAnsi="宋体" w:eastAsia="宋体" w:cs="宋体"/>
      <w:b/>
      <w:bCs/>
      <w:kern w:val="36"/>
      <w:sz w:val="48"/>
      <w:szCs w:val="48"/>
    </w:rPr>
  </w:style>
  <w:style w:type="character" w:customStyle="1" w:styleId="11">
    <w:name w:val="keyword"/>
    <w:basedOn w:val="9"/>
    <w:uiPriority w:val="0"/>
  </w:style>
  <w:style w:type="paragraph" w:styleId="12">
    <w:name w:val="List Paragraph"/>
    <w:basedOn w:val="1"/>
    <w:link w:val="16"/>
    <w:qFormat/>
    <w:uiPriority w:val="0"/>
    <w:pPr>
      <w:ind w:firstLine="420" w:firstLineChars="200"/>
    </w:pPr>
  </w:style>
  <w:style w:type="character" w:customStyle="1" w:styleId="13">
    <w:name w:val="页眉 Char"/>
    <w:basedOn w:val="9"/>
    <w:link w:val="6"/>
    <w:qFormat/>
    <w:uiPriority w:val="99"/>
    <w:rPr>
      <w:sz w:val="18"/>
      <w:szCs w:val="18"/>
    </w:rPr>
  </w:style>
  <w:style w:type="character" w:customStyle="1" w:styleId="14">
    <w:name w:val="页脚 Char"/>
    <w:basedOn w:val="9"/>
    <w:link w:val="5"/>
    <w:qFormat/>
    <w:uiPriority w:val="99"/>
    <w:rPr>
      <w:sz w:val="18"/>
      <w:szCs w:val="18"/>
    </w:rPr>
  </w:style>
  <w:style w:type="character" w:customStyle="1" w:styleId="15">
    <w:name w:val="标题 2 Char"/>
    <w:basedOn w:val="9"/>
    <w:link w:val="3"/>
    <w:uiPriority w:val="9"/>
    <w:rPr>
      <w:rFonts w:asciiTheme="majorHAnsi" w:hAnsiTheme="majorHAnsi" w:eastAsiaTheme="majorEastAsia" w:cstheme="majorBidi"/>
      <w:b/>
      <w:bCs/>
      <w:sz w:val="32"/>
      <w:szCs w:val="32"/>
    </w:rPr>
  </w:style>
  <w:style w:type="character" w:customStyle="1" w:styleId="16">
    <w:name w:val="列出段落 Char"/>
    <w:link w:val="12"/>
    <w:qFormat/>
    <w:uiPriority w:val="0"/>
  </w:style>
  <w:style w:type="character" w:customStyle="1" w:styleId="17">
    <w:name w:val="批注框文本 Char"/>
    <w:basedOn w:val="9"/>
    <w:link w:val="4"/>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1142</Words>
  <Characters>6512</Characters>
  <Lines>54</Lines>
  <Paragraphs>15</Paragraphs>
  <TotalTime>1</TotalTime>
  <ScaleCrop>false</ScaleCrop>
  <LinksUpToDate>false</LinksUpToDate>
  <CharactersWithSpaces>7639</CharactersWithSpaces>
  <Application>WPS Office_11.1.0.8986_F1E327BC-269C-435d-A152-05C5408002CA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2014-07-21T15:51:00Z</dcterms:created>
  <dc:creator>fuxiang</dc:creator>
  <cp:lastModifiedBy>MEI大東</cp:lastModifiedBy>
  <dcterms:modified xsi:type="dcterms:W3CDTF">2019-09-24T00:55:07Z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