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50E6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53E1E70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2025年度应急演练报告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10C75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7E50F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C298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HFSJ-ITSS-1006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9475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AA968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3460D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C1FB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bookmarkStart w:id="31" w:name="_GoBack" w:colFirst="3" w:colLast="3"/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D668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ABCF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F2919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6524F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74001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91F6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A1DB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67E3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55739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B992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BF38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1179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40A5C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3B085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314BB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F98E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999FD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0A3E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bookmarkEnd w:id="31"/>
    </w:tbl>
    <w:p w14:paraId="3C0C674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8379A3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6CA1A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53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585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450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31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A0B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1EDF2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868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1BA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67A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228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7AF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AA44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3A7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382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124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2BB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4F7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7977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F6A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639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4A0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581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173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2C4D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504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CB6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115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06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915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9D3DE0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D281E0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469D60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_Toc27415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工作综述</w:t>
          </w:r>
          <w:r>
            <w:tab/>
          </w:r>
          <w:r>
            <w:fldChar w:fldCharType="begin"/>
          </w:r>
          <w:r>
            <w:instrText xml:space="preserve"> PAGEREF _Toc27415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57A64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_Toc15285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应急体系建设情况</w:t>
          </w:r>
          <w:r>
            <w:tab/>
          </w:r>
          <w:r>
            <w:fldChar w:fldCharType="begin"/>
          </w:r>
          <w:r>
            <w:instrText xml:space="preserve"> PAGEREF _Toc15285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0C93F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_Toc31738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制度文件建设</w:t>
          </w:r>
          <w:r>
            <w:tab/>
          </w:r>
          <w:r>
            <w:fldChar w:fldCharType="begin"/>
          </w:r>
          <w:r>
            <w:instrText xml:space="preserve"> PAGEREF _Toc31738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A81A42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_Toc29440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组织架构建设</w:t>
          </w:r>
          <w:r>
            <w:tab/>
          </w:r>
          <w:r>
            <w:fldChar w:fldCharType="begin"/>
          </w:r>
          <w:r>
            <w:instrText xml:space="preserve"> PAGEREF _Toc29440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69D1C0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_Toc15322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2.3 应急预案覆盖范围</w:t>
          </w:r>
          <w:r>
            <w:tab/>
          </w:r>
          <w:r>
            <w:fldChar w:fldCharType="begin"/>
          </w:r>
          <w:r>
            <w:instrText xml:space="preserve"> PAGEREF _Toc15322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8864BC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_Toc5946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年度应急演练执行情况</w:t>
          </w:r>
          <w:r>
            <w:tab/>
          </w:r>
          <w:r>
            <w:fldChar w:fldCharType="begin"/>
          </w:r>
          <w:r>
            <w:instrText xml:space="preserve"> PAGEREF _Toc5946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95DEF4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_Toc25671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_Toc25671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34E993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_Toc7366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演练场景执行情况</w:t>
          </w:r>
          <w:r>
            <w:tab/>
          </w:r>
          <w:r>
            <w:fldChar w:fldCharType="begin"/>
          </w:r>
          <w:r>
            <w:instrText xml:space="preserve"> PAGEREF _Toc7366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0F6159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_Toc7364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演练评估结果</w:t>
          </w:r>
          <w:r>
            <w:tab/>
          </w:r>
          <w:r>
            <w:fldChar w:fldCharType="begin"/>
          </w:r>
          <w:r>
            <w:instrText xml:space="preserve"> PAGEREF _Toc7364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83EA92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_Toc18186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应急响应能力评估</w:t>
          </w:r>
          <w:r>
            <w:tab/>
          </w:r>
          <w:r>
            <w:fldChar w:fldCharType="begin"/>
          </w:r>
          <w:r>
            <w:instrText xml:space="preserve"> PAGEREF _Toc18186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A2DB1D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_Toc5474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_Toc5474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4BC2E4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_Toc7950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发现问题汇总</w:t>
          </w:r>
          <w:r>
            <w:tab/>
          </w:r>
          <w:r>
            <w:fldChar w:fldCharType="begin"/>
          </w:r>
          <w:r>
            <w:instrText xml:space="preserve"> PAGEREF _Toc7950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C99F8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_Toc20318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改进措施及落实情况</w:t>
          </w:r>
          <w:r>
            <w:tab/>
          </w:r>
          <w:r>
            <w:fldChar w:fldCharType="begin"/>
          </w:r>
          <w:r>
            <w:instrText xml:space="preserve"> PAGEREF _Toc20318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F56DE6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_Toc5156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应急预案修订情况</w:t>
          </w:r>
          <w:r>
            <w:tab/>
          </w:r>
          <w:r>
            <w:fldChar w:fldCharType="begin"/>
          </w:r>
          <w:r>
            <w:instrText xml:space="preserve"> PAGEREF _Toc5156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F7CB17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_Toc19362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下年度工作计划</w:t>
          </w:r>
          <w:r>
            <w:tab/>
          </w:r>
          <w:r>
            <w:fldChar w:fldCharType="begin"/>
          </w:r>
          <w:r>
            <w:instrText xml:space="preserve"> PAGEREF _Toc19362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11D60D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6643BE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409585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27415"/>
      <w:r>
        <w:t>工作综述</w:t>
      </w:r>
      <w:bookmarkEnd w:id="1"/>
      <w:bookmarkEnd w:id="2"/>
    </w:p>
    <w:p w14:paraId="3FDBAB9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度，华风数据（深圳）有限公司围绕“预防为主、平战结合”的应急管理方针，持续完善公司全域应急管理体系，夯实运维应急保障底座，全面提升公司整体突发事件处置、业务灾备恢复、多方协同联动综合能力。本年度重点落地完成四大核心工作：</w:t>
      </w:r>
    </w:p>
    <w:p w14:paraId="22EB1D16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完善应急管理制度体系：编制发布应急演练大纲、应急预案、年度演练计划、专项演练报告全套标准化文件，搭建闭环式、可落地、可审计的公司级应急管理文件体系。</w:t>
      </w:r>
    </w:p>
    <w:p w14:paraId="5560D230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常态化落地应急演练：结合公司主营运维业务场景，选取典型业务场景组织年度专项应急演练，全覆盖服务器硬件故障、数据库损坏、网络中断、现场设备故障四大高频风险场景。</w:t>
      </w:r>
    </w:p>
    <w:p w14:paraId="597FD905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全域核验应急处置能力：结合实战实操演练+桌面推演双模式，全方位核验应急专班响应时效、标准化处置能力、跨岗位协同配合、对外客户对接全流程能力。</w:t>
      </w:r>
    </w:p>
    <w:p w14:paraId="4C5A242C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闭环推进管理优化升级：复盘本年度演练、应急值守、突发事件处置全流程问题，分类制定整改举措，跟踪整改落地，迭代优化公司全套应急预案，实现应急管理持续改进。</w:t>
      </w:r>
    </w:p>
    <w:p w14:paraId="37DC304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5285"/>
      <w:bookmarkStart w:id="4" w:name="heading_3"/>
      <w:r>
        <w:t>应急体系建设情况</w:t>
      </w:r>
      <w:bookmarkEnd w:id="3"/>
      <w:bookmarkEnd w:id="4"/>
    </w:p>
    <w:p w14:paraId="75FEC06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31738"/>
      <w:bookmarkStart w:id="6" w:name="heading_4"/>
      <w:r>
        <w:t>制度文件建设</w:t>
      </w:r>
      <w:bookmarkEnd w:id="5"/>
      <w:bookmarkEnd w:id="6"/>
    </w:p>
    <w:p w14:paraId="1500BBE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本年度公司补齐应急管理标准化文件短板，发布全套应急管理管控文件，构建“策划-执行-评估-整改”闭环管控机制，文件明细及核心内容如下：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3"/>
        <w:gridCol w:w="6829"/>
      </w:tblGrid>
      <w:tr w14:paraId="4A1C99A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9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123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文件名称</w:t>
            </w:r>
          </w:p>
        </w:tc>
        <w:tc>
          <w:tcPr>
            <w:tcW w:w="682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AD5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核心内容</w:t>
            </w:r>
          </w:p>
        </w:tc>
      </w:tr>
      <w:tr w14:paraId="3D98B33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75BF3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应急演练大纲</w:t>
            </w:r>
          </w:p>
        </w:tc>
        <w:tc>
          <w:tcPr>
            <w:tcW w:w="68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1CC2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明确演练目的、适用范围、组织架构、演练场景、评分及验收评估标准</w:t>
            </w:r>
          </w:p>
        </w:tc>
      </w:tr>
      <w:tr w14:paraId="70E68C6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368B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应急预案</w:t>
            </w:r>
          </w:p>
        </w:tc>
        <w:tc>
          <w:tcPr>
            <w:tcW w:w="68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2ED15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细化各类故障处置流程、全员岗位职责、业务恢复RTO管控目标、上报审批流程</w:t>
            </w:r>
          </w:p>
        </w:tc>
      </w:tr>
      <w:tr w14:paraId="3332287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02A1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应急演练计划</w:t>
            </w:r>
          </w:p>
        </w:tc>
        <w:tc>
          <w:tcPr>
            <w:tcW w:w="68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E6FD5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敲定演练时间、参训人员、物资筹备、前置风险预判、演练分工细则</w:t>
            </w:r>
          </w:p>
        </w:tc>
      </w:tr>
      <w:tr w14:paraId="334E55C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9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48AB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应急演练报告</w:t>
            </w:r>
          </w:p>
        </w:tc>
        <w:tc>
          <w:tcPr>
            <w:tcW w:w="68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0266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留存演练全过程记录、能力评分结果、现存短板、专项整改改进措施</w:t>
            </w:r>
          </w:p>
        </w:tc>
      </w:tr>
    </w:tbl>
    <w:p w14:paraId="78437C1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9440"/>
      <w:bookmarkStart w:id="8" w:name="heading_5"/>
      <w:r>
        <w:t>组织架构建设</w:t>
      </w:r>
      <w:bookmarkEnd w:id="7"/>
      <w:bookmarkEnd w:id="8"/>
    </w:p>
    <w:p w14:paraId="3FC40C6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搭建标准化五级应急响应组织架构，权责划分清晰、联动流程标准化，架构层级为：总指挥—执行组长—专业处置组—后勤保障组—第三方评估组，各组定岗定责，常态化开展应急联动培训，跨组协作机制顺畅高效。</w:t>
      </w:r>
    </w:p>
    <w:p w14:paraId="3D5ECE04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5322"/>
      <w:bookmarkStart w:id="10" w:name="heading_6"/>
      <w:r>
        <w:t>2.3 应急预案覆盖范围</w:t>
      </w:r>
      <w:bookmarkEnd w:id="9"/>
      <w:bookmarkEnd w:id="10"/>
    </w:p>
    <w:p w14:paraId="58779F4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公司现行应急预案全覆盖运维业务高频突发故障，包含服务器硬件故障、数据库损坏、网络中断、现场设备故障四大核心场景，所有场景统一明确标准化响应流程、业务恢复时间目标（RTO ≤ 45-60分钟）、现场验收评估标准，适配全在管项目应急处置使用。</w:t>
      </w:r>
    </w:p>
    <w:p w14:paraId="05997F3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7"/>
      <w:bookmarkStart w:id="12" w:name="_Toc5946"/>
      <w:r>
        <w:t>年度应急演练执行情况</w:t>
      </w:r>
      <w:bookmarkEnd w:id="11"/>
      <w:bookmarkEnd w:id="12"/>
    </w:p>
    <w:p w14:paraId="067D881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25671"/>
      <w:bookmarkStart w:id="14" w:name="heading_8"/>
      <w:r>
        <w:t>演练基本信息</w:t>
      </w:r>
      <w:bookmarkEnd w:id="13"/>
      <w:bookmarkEnd w:id="14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2"/>
        <w:gridCol w:w="6330"/>
      </w:tblGrid>
      <w:tr w14:paraId="75BCD6B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9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3662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633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258A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内容</w:t>
            </w:r>
          </w:p>
        </w:tc>
      </w:tr>
      <w:tr w14:paraId="7F92E57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A7CA0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演练日期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84F83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2025年6月</w:t>
            </w:r>
          </w:p>
        </w:tc>
      </w:tr>
      <w:tr w14:paraId="2FAF5D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D25C9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演练时长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23C60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约5小时</w:t>
            </w:r>
          </w:p>
        </w:tc>
      </w:tr>
      <w:tr w14:paraId="46C21B6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45FC0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演练类型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3A1BA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桌面推演 + 现场实战演练</w:t>
            </w:r>
          </w:p>
        </w:tc>
      </w:tr>
      <w:tr w14:paraId="142DE88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A08B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参演人数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2C236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公司参训7人 + 客户现场监督代表1人</w:t>
            </w:r>
          </w:p>
        </w:tc>
      </w:tr>
    </w:tbl>
    <w:p w14:paraId="35177FC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7366"/>
      <w:bookmarkStart w:id="16" w:name="heading_9"/>
      <w:r>
        <w:t>演练场景执行情况</w:t>
      </w:r>
      <w:bookmarkEnd w:id="15"/>
      <w:bookmarkEnd w:id="16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5"/>
        <w:gridCol w:w="1577"/>
        <w:gridCol w:w="1473"/>
        <w:gridCol w:w="1473"/>
        <w:gridCol w:w="1474"/>
      </w:tblGrid>
      <w:tr w14:paraId="047F459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2E1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场景</w:t>
            </w:r>
          </w:p>
        </w:tc>
        <w:tc>
          <w:tcPr>
            <w:tcW w:w="15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144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演练类型</w:t>
            </w:r>
          </w:p>
        </w:tc>
        <w:tc>
          <w:tcPr>
            <w:tcW w:w="14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3FF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计划时长</w:t>
            </w:r>
          </w:p>
        </w:tc>
        <w:tc>
          <w:tcPr>
            <w:tcW w:w="14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39E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实际时长</w:t>
            </w:r>
          </w:p>
        </w:tc>
        <w:tc>
          <w:tcPr>
            <w:tcW w:w="14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2CD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执行结果</w:t>
            </w:r>
          </w:p>
        </w:tc>
      </w:tr>
      <w:tr w14:paraId="34BE4D5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BA73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服务器硬件故障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B550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实战演练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1AC6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60分钟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4EC0D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55分钟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F697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成功</w:t>
            </w:r>
          </w:p>
        </w:tc>
      </w:tr>
      <w:tr w14:paraId="4FC2BCC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7194F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数据库损坏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A597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桌面推演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1843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60分钟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F2D4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50分钟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05F9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成功</w:t>
            </w:r>
          </w:p>
        </w:tc>
      </w:tr>
      <w:tr w14:paraId="17C269C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92A3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网络中断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19F5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桌面推演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20A6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45分钟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CF94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40分钟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A07D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成功</w:t>
            </w:r>
          </w:p>
        </w:tc>
      </w:tr>
      <w:tr w14:paraId="061E7EC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4C3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现场设备故障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C053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实战演练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091C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50分钟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0EC9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45分钟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1DA4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成功</w:t>
            </w:r>
          </w:p>
        </w:tc>
      </w:tr>
    </w:tbl>
    <w:p w14:paraId="57948129">
      <w:pPr>
        <w:pStyle w:val="32"/>
        <w:bidi w:val="0"/>
      </w:pPr>
      <w:r>
        <w:t>关键成果：本年度全部演练场景，均达标既定RTO业务恢复时限，年度应急演练整体成功率100%。</w:t>
      </w:r>
    </w:p>
    <w:p w14:paraId="26B33EA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10"/>
      <w:bookmarkStart w:id="18" w:name="_Toc7364"/>
      <w:r>
        <w:t>演练评估结果</w:t>
      </w:r>
      <w:bookmarkEnd w:id="17"/>
      <w:bookmarkEnd w:id="18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31"/>
        <w:gridCol w:w="1824"/>
        <w:gridCol w:w="2467"/>
      </w:tblGrid>
      <w:tr w14:paraId="6FAE8DD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2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C0D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评估项</w:t>
            </w:r>
          </w:p>
        </w:tc>
        <w:tc>
          <w:tcPr>
            <w:tcW w:w="18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04D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满分</w:t>
            </w:r>
          </w:p>
        </w:tc>
        <w:tc>
          <w:tcPr>
            <w:tcW w:w="24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75B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平均得分</w:t>
            </w:r>
          </w:p>
        </w:tc>
      </w:tr>
      <w:tr w14:paraId="43EAD30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2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6733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响应及时性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422A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20分</w:t>
            </w:r>
          </w:p>
        </w:tc>
        <w:tc>
          <w:tcPr>
            <w:tcW w:w="2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FAC2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20.00</w:t>
            </w:r>
          </w:p>
        </w:tc>
      </w:tr>
      <w:tr w14:paraId="0ED313C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2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9206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处置规范性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B610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20分</w:t>
            </w:r>
          </w:p>
        </w:tc>
        <w:tc>
          <w:tcPr>
            <w:tcW w:w="2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E349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19.00</w:t>
            </w:r>
          </w:p>
        </w:tc>
      </w:tr>
      <w:tr w14:paraId="6783281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2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B112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技术操作准确性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E394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20分</w:t>
            </w:r>
          </w:p>
        </w:tc>
        <w:tc>
          <w:tcPr>
            <w:tcW w:w="2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837F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19.00</w:t>
            </w:r>
          </w:p>
        </w:tc>
      </w:tr>
      <w:tr w14:paraId="2669FDA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2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4FD8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团队协作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586B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15分</w:t>
            </w:r>
          </w:p>
        </w:tc>
        <w:tc>
          <w:tcPr>
            <w:tcW w:w="2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735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14.50</w:t>
            </w:r>
          </w:p>
        </w:tc>
      </w:tr>
      <w:tr w14:paraId="271FE4E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2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CCA7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信息通报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0E45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15分</w:t>
            </w:r>
          </w:p>
        </w:tc>
        <w:tc>
          <w:tcPr>
            <w:tcW w:w="2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48E5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14.25</w:t>
            </w:r>
          </w:p>
        </w:tc>
      </w:tr>
      <w:tr w14:paraId="691C670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2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D90F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恢复时效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D02A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10分</w:t>
            </w:r>
          </w:p>
        </w:tc>
        <w:tc>
          <w:tcPr>
            <w:tcW w:w="2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10B4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10.00</w:t>
            </w:r>
          </w:p>
        </w:tc>
      </w:tr>
      <w:tr w14:paraId="18DC733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2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BB2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总分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F071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100分</w:t>
            </w:r>
          </w:p>
        </w:tc>
        <w:tc>
          <w:tcPr>
            <w:tcW w:w="2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582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96.75</w:t>
            </w:r>
          </w:p>
        </w:tc>
      </w:tr>
    </w:tbl>
    <w:p w14:paraId="4CFAE408">
      <w:pPr>
        <w:pStyle w:val="32"/>
        <w:bidi w:val="0"/>
      </w:pPr>
      <w:r>
        <w:t>评估等级：优秀</w:t>
      </w:r>
    </w:p>
    <w:p w14:paraId="61E10C4C">
      <w:pPr>
        <w:pStyle w:val="32"/>
        <w:bidi w:val="0"/>
      </w:pPr>
      <w:r>
        <w:t>总体评价：公司现行应急预案适配业务场景、实操性较强；应急专班人员处置流程合规、技术操作规范，跨小组联动配合顺畅，本年度演练预设目标全部达成，可支撑日常突发故障应急处置。</w:t>
      </w:r>
    </w:p>
    <w:p w14:paraId="1423CAB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11"/>
      <w:bookmarkStart w:id="20" w:name="_Toc18186"/>
      <w:r>
        <w:t>应急响应能力评估</w:t>
      </w:r>
      <w:bookmarkEnd w:id="19"/>
      <w:bookmarkEnd w:id="20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6"/>
        <w:gridCol w:w="850"/>
        <w:gridCol w:w="5436"/>
      </w:tblGrid>
      <w:tr w14:paraId="3B8394E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244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能力维度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441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评估结果</w:t>
            </w:r>
          </w:p>
        </w:tc>
        <w:tc>
          <w:tcPr>
            <w:tcW w:w="54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8FC9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23EDCB3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A574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应急预案有效性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9541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有效</w:t>
            </w:r>
          </w:p>
        </w:tc>
        <w:tc>
          <w:tcPr>
            <w:tcW w:w="54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1159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预案流程标准化可落地，全场景处置流程适配业务现状</w:t>
            </w:r>
          </w:p>
        </w:tc>
      </w:tr>
      <w:tr w14:paraId="73918F4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B414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响应速度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65A5F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达标</w:t>
            </w:r>
          </w:p>
        </w:tc>
        <w:tc>
          <w:tcPr>
            <w:tcW w:w="54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8D23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所有演练场景均满足首响时限要求，人员到场及时</w:t>
            </w:r>
          </w:p>
        </w:tc>
      </w:tr>
      <w:tr w14:paraId="231A42A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4664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恢复时效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F417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达标</w:t>
            </w:r>
          </w:p>
        </w:tc>
        <w:tc>
          <w:tcPr>
            <w:tcW w:w="54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9AE7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全部故障场景均可在既定RTO时限内完成业务复原</w:t>
            </w:r>
          </w:p>
        </w:tc>
      </w:tr>
      <w:tr w14:paraId="64F083B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BF45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技术处置能力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DD7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良好</w:t>
            </w:r>
          </w:p>
        </w:tc>
        <w:tc>
          <w:tcPr>
            <w:tcW w:w="54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057B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运维人员实操能力达标，部分配套操作文档需细化优化</w:t>
            </w:r>
          </w:p>
        </w:tc>
      </w:tr>
      <w:tr w14:paraId="6F9641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03F9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团队协作能力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4076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良好</w:t>
            </w:r>
          </w:p>
        </w:tc>
        <w:tc>
          <w:tcPr>
            <w:tcW w:w="54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C84BD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各组分工清晰，内外信息报送、对接流程通畅无误</w:t>
            </w:r>
          </w:p>
        </w:tc>
      </w:tr>
      <w:tr w14:paraId="523916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1F8E7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备件保障能力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00F1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⚠️ 待提升</w:t>
            </w:r>
          </w:p>
        </w:tc>
        <w:tc>
          <w:tcPr>
            <w:tcW w:w="54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B216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现有备件库存充足，领用审批流转流程效率有待优化</w:t>
            </w:r>
          </w:p>
        </w:tc>
      </w:tr>
    </w:tbl>
    <w:p w14:paraId="6094BC9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12"/>
      <w:bookmarkStart w:id="22" w:name="_Toc5474"/>
      <w:r>
        <w:t>存在问题与改进措施</w:t>
      </w:r>
      <w:bookmarkEnd w:id="21"/>
      <w:bookmarkEnd w:id="22"/>
    </w:p>
    <w:p w14:paraId="32BC651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13"/>
      <w:bookmarkStart w:id="24" w:name="_Toc7950"/>
      <w:r>
        <w:t>发现问题汇总</w:t>
      </w:r>
      <w:bookmarkEnd w:id="23"/>
      <w:bookmarkEnd w:id="24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3"/>
        <w:gridCol w:w="6696"/>
        <w:gridCol w:w="1133"/>
      </w:tblGrid>
      <w:tr w14:paraId="046CB14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C8DB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66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136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11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9B39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问题等级</w:t>
            </w:r>
          </w:p>
        </w:tc>
      </w:tr>
      <w:tr w14:paraId="06CB499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9B6F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66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4361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备用服务器配置参数与主服务器不一致，业务切换后服务启动存在延迟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F50D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中</w:t>
            </w:r>
          </w:p>
        </w:tc>
      </w:tr>
      <w:tr w14:paraId="5E2C608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BB40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66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A389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数据库专项恢复操作文档条目简略，实操时需跨多文档查阅资料，降低处置效率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1CD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低</w:t>
            </w:r>
          </w:p>
        </w:tc>
      </w:tr>
      <w:tr w14:paraId="177FEC3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D597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66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735D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备用线路切换完成后，网络传输延迟高于主业务线路标准值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EE76E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低</w:t>
            </w:r>
          </w:p>
        </w:tc>
      </w:tr>
      <w:tr w14:paraId="11169E3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F5E2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66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6533F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备件领用审批流程节点较多，整体流转耗时较长，拖累故障整体恢复时效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B1C9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中</w:t>
            </w:r>
          </w:p>
        </w:tc>
      </w:tr>
    </w:tbl>
    <w:p w14:paraId="4C81B79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4"/>
      <w:bookmarkStart w:id="26" w:name="_Toc20318"/>
      <w:r>
        <w:t>改进措施及落实情况</w:t>
      </w:r>
      <w:bookmarkEnd w:id="25"/>
      <w:bookmarkEnd w:id="26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7"/>
        <w:gridCol w:w="2246"/>
        <w:gridCol w:w="4172"/>
        <w:gridCol w:w="1417"/>
      </w:tblGrid>
      <w:tr w14:paraId="74A7F4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FA2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22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C94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现存问题</w:t>
            </w:r>
          </w:p>
        </w:tc>
        <w:tc>
          <w:tcPr>
            <w:tcW w:w="41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ADB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改进措施</w:t>
            </w:r>
          </w:p>
        </w:tc>
        <w:tc>
          <w:tcPr>
            <w:tcW w:w="14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C25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落实状态</w:t>
            </w:r>
          </w:p>
        </w:tc>
      </w:tr>
      <w:tr w14:paraId="247D5AE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028B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2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B79A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备用服务器配置参数不一致</w:t>
            </w:r>
          </w:p>
        </w:tc>
        <w:tc>
          <w:tcPr>
            <w:tcW w:w="41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62D81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建立月度主备服务器配置一致性巡检核查机制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D5E9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0FDBFA7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B13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2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D4B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数据库恢复操作文档简略</w:t>
            </w:r>
          </w:p>
        </w:tc>
        <w:tc>
          <w:tcPr>
            <w:tcW w:w="41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CC27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重构专项操作手册，补齐分步操作截图、异常处置备注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BF6D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4A48135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7467F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2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0A9D6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备用线路网络延迟偏高</w:t>
            </w:r>
          </w:p>
        </w:tc>
        <w:tc>
          <w:tcPr>
            <w:tcW w:w="41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9626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联合运营商优化带宽、路由转发配置，压降传输延迟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2AC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🔄 进行中</w:t>
            </w:r>
          </w:p>
        </w:tc>
      </w:tr>
      <w:tr w14:paraId="6AFDBAC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F234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2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55F1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备件领用流程耗时过长</w:t>
            </w:r>
          </w:p>
        </w:tc>
        <w:tc>
          <w:tcPr>
            <w:tcW w:w="41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5757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精简审批节点，核心常用备件开通应急领用预授权权限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2CD8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</w:tbl>
    <w:p w14:paraId="7909D6B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5156"/>
      <w:bookmarkStart w:id="28" w:name="heading_15"/>
      <w:r>
        <w:t>应急预案修订情况</w:t>
      </w:r>
      <w:bookmarkEnd w:id="27"/>
      <w:bookmarkEnd w:id="28"/>
    </w:p>
    <w:p w14:paraId="4095755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本年度演练复盘、现场故障处置短板，公司已完成全域《应急预案》版本迭代修订，重点优化四大板块内容：服务器故障标准化切换流程、数据库一键恢复操作指南、备用线路应急切换规范、备件应急领用管理流程。新版预案已完成部门审核、管理层批准，正式下发全员执行使用。</w:t>
      </w:r>
    </w:p>
    <w:p w14:paraId="3721AC2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6"/>
      <w:bookmarkStart w:id="30" w:name="_Toc19362"/>
      <w:r>
        <w:t>下年度工作计划</w:t>
      </w:r>
      <w:bookmarkEnd w:id="29"/>
      <w:bookmarkEnd w:id="30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3"/>
        <w:gridCol w:w="4694"/>
        <w:gridCol w:w="1471"/>
        <w:gridCol w:w="1664"/>
      </w:tblGrid>
      <w:tr w14:paraId="42692DC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0269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469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C74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任务内容</w:t>
            </w:r>
          </w:p>
        </w:tc>
        <w:tc>
          <w:tcPr>
            <w:tcW w:w="14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D09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计划时间</w:t>
            </w:r>
          </w:p>
        </w:tc>
        <w:tc>
          <w:tcPr>
            <w:tcW w:w="166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120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</w:tr>
      <w:tr w14:paraId="4A79239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67320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6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B91A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组织2026年度综合应急演练，新增集群故障、勒索病毒等复杂演练场景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B280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0083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</w:tr>
      <w:tr w14:paraId="23EE5D9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53CE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46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B385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开展全员应急专项技能培训，全年不少于2场持证实操培训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A2B0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2026年3月、9月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7B1E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运维部、产品质量部</w:t>
            </w:r>
          </w:p>
        </w:tc>
      </w:tr>
      <w:tr w14:paraId="3ACEA9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531BA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46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5408D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结合业务体量优化各故障场景RTO管控指标，压缩业务恢复时长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8177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2026年全年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FBE8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</w:tr>
      <w:tr w14:paraId="0C71E0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BCC4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46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88B09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固化应急演练常态化机制，落实每半年至少组织1次专项演练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9CED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2026年全年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F445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</w:tr>
      <w:tr w14:paraId="3357395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F4C0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4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D4B2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落地智能化告警、自动灾备工具搭建，赋能自动化应急处置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11D8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2026年下半年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DEABD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</w:tr>
    </w:tbl>
    <w:p w14:paraId="2F02876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26C038A"/>
    <w:multiLevelType w:val="singleLevel"/>
    <w:tmpl w:val="126C03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3B4B55"/>
    <w:rsid w:val="16CA0B1E"/>
    <w:rsid w:val="1A9D5C8C"/>
    <w:rsid w:val="2182267A"/>
    <w:rsid w:val="456A4DC4"/>
    <w:rsid w:val="4E072501"/>
    <w:rsid w:val="5A01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2206</Words>
  <Characters>2378</Characters>
  <Lines>0</Lines>
  <Paragraphs>0</Paragraphs>
  <TotalTime>0</TotalTime>
  <ScaleCrop>false</ScaleCrop>
  <LinksUpToDate>false</LinksUpToDate>
  <CharactersWithSpaces>2448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2026-06-12T21:41:38Z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