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A4C5AD">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00B46935">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2025年度运维服务能力管理计划</w:t>
      </w:r>
    </w:p>
    <w:tbl>
      <w:tblPr>
        <w:tblStyle w:val="2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30BB03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65199B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0D17DD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HFSJ-ITSS-0305</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80E51F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C1D63C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65555F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7AD44A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4F908E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70C9B0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91BFF1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49FDA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04E9CC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F599F6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E0CE99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22248B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345CE9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4C7ED1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D46DF4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34283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357652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40001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7DE87E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1DB37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447BAAF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3CC2AA4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2FC5543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F1CB434">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4"/>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071DF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1A8D5E9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527642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62814B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11FA75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23A53F3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5D1AD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D80F4B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2286AA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D8E5CD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59EE30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FD56DF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06D5F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8A17CE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5847FC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7FAA89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553841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1A0362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171A2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0A2CBC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D3B74A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BD9566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656065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FA69C3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653B50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14F7D59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D4A68C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06CAF6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FAEC57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61E5CF9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0A0E154F">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6"/>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7520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A4D3099">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D6EE02A">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_Toc31767 </w:instrText>
          </w:r>
          <w:r>
            <w:fldChar w:fldCharType="separate"/>
          </w:r>
          <w:r>
            <w:rPr>
              <w:rFonts w:hint="default"/>
              <w:lang w:val="en-US" w:eastAsia="zh-CN"/>
            </w:rPr>
            <w:t>1. 公司现状分析</w:t>
          </w:r>
          <w:r>
            <w:tab/>
          </w:r>
          <w:r>
            <w:fldChar w:fldCharType="begin"/>
          </w:r>
          <w:r>
            <w:instrText xml:space="preserve"> PAGEREF _Toc31767 \h </w:instrText>
          </w:r>
          <w:r>
            <w:fldChar w:fldCharType="separate"/>
          </w:r>
          <w:r>
            <w:t>4</w:t>
          </w:r>
          <w:r>
            <w:fldChar w:fldCharType="end"/>
          </w:r>
          <w:r>
            <w:fldChar w:fldCharType="end"/>
          </w:r>
        </w:p>
        <w:p w14:paraId="4C037F77">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_Toc18316 </w:instrText>
          </w:r>
          <w:r>
            <w:fldChar w:fldCharType="separate"/>
          </w:r>
          <w:r>
            <w:rPr>
              <w:rFonts w:hint="default"/>
              <w:lang w:val="en-US" w:eastAsia="zh-CN"/>
            </w:rPr>
            <w:t>1.1. 优势分析</w:t>
          </w:r>
          <w:r>
            <w:tab/>
          </w:r>
          <w:r>
            <w:fldChar w:fldCharType="begin"/>
          </w:r>
          <w:r>
            <w:instrText xml:space="preserve"> PAGEREF _Toc18316 \h </w:instrText>
          </w:r>
          <w:r>
            <w:fldChar w:fldCharType="separate"/>
          </w:r>
          <w:r>
            <w:t>5</w:t>
          </w:r>
          <w:r>
            <w:fldChar w:fldCharType="end"/>
          </w:r>
          <w:r>
            <w:fldChar w:fldCharType="end"/>
          </w:r>
        </w:p>
        <w:p w14:paraId="3393C71A">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_Toc13633 </w:instrText>
          </w:r>
          <w:r>
            <w:fldChar w:fldCharType="separate"/>
          </w:r>
          <w:r>
            <w:rPr>
              <w:rFonts w:hint="default"/>
              <w:lang w:val="en-US" w:eastAsia="zh-CN"/>
            </w:rPr>
            <w:t>2. 运维业务分析</w:t>
          </w:r>
          <w:r>
            <w:tab/>
          </w:r>
          <w:r>
            <w:fldChar w:fldCharType="begin"/>
          </w:r>
          <w:r>
            <w:instrText xml:space="preserve"> PAGEREF _Toc13633 \h </w:instrText>
          </w:r>
          <w:r>
            <w:fldChar w:fldCharType="separate"/>
          </w:r>
          <w:r>
            <w:t>5</w:t>
          </w:r>
          <w:r>
            <w:fldChar w:fldCharType="end"/>
          </w:r>
          <w:r>
            <w:fldChar w:fldCharType="end"/>
          </w:r>
        </w:p>
        <w:p w14:paraId="31D99820">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_Toc9427 </w:instrText>
          </w:r>
          <w:r>
            <w:fldChar w:fldCharType="separate"/>
          </w:r>
          <w:r>
            <w:rPr>
              <w:rFonts w:hint="default"/>
              <w:lang w:val="en-US" w:eastAsia="zh-CN"/>
            </w:rPr>
            <w:t>3. 年度运维服务能力计划</w:t>
          </w:r>
          <w:r>
            <w:tab/>
          </w:r>
          <w:r>
            <w:fldChar w:fldCharType="begin"/>
          </w:r>
          <w:r>
            <w:instrText xml:space="preserve"> PAGEREF _Toc9427 \h </w:instrText>
          </w:r>
          <w:r>
            <w:fldChar w:fldCharType="separate"/>
          </w:r>
          <w:r>
            <w:t>5</w:t>
          </w:r>
          <w:r>
            <w:fldChar w:fldCharType="end"/>
          </w:r>
          <w:r>
            <w:fldChar w:fldCharType="end"/>
          </w:r>
        </w:p>
        <w:p w14:paraId="0548528E">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_Toc28990 </w:instrText>
          </w:r>
          <w:r>
            <w:fldChar w:fldCharType="separate"/>
          </w:r>
          <w:r>
            <w:rPr>
              <w:rFonts w:hint="default"/>
              <w:lang w:val="en-US" w:eastAsia="zh-CN"/>
            </w:rPr>
            <w:t>3.1. 人员管理规划</w:t>
          </w:r>
          <w:r>
            <w:tab/>
          </w:r>
          <w:r>
            <w:fldChar w:fldCharType="begin"/>
          </w:r>
          <w:r>
            <w:instrText xml:space="preserve"> PAGEREF _Toc28990 \h </w:instrText>
          </w:r>
          <w:r>
            <w:fldChar w:fldCharType="separate"/>
          </w:r>
          <w:r>
            <w:t>6</w:t>
          </w:r>
          <w:r>
            <w:fldChar w:fldCharType="end"/>
          </w:r>
          <w:r>
            <w:fldChar w:fldCharType="end"/>
          </w:r>
        </w:p>
        <w:p w14:paraId="20D3C940">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_Toc11018 </w:instrText>
          </w:r>
          <w:r>
            <w:fldChar w:fldCharType="separate"/>
          </w:r>
          <w:r>
            <w:rPr>
              <w:rFonts w:hint="default"/>
              <w:lang w:val="en-US" w:eastAsia="zh-CN"/>
            </w:rPr>
            <w:t xml:space="preserve">3.1.1. </w:t>
          </w:r>
          <w:r>
            <w:rPr>
              <w:rFonts w:hint="eastAsia"/>
              <w:lang w:val="en-US" w:eastAsia="zh-CN"/>
            </w:rPr>
            <w:t>人员招聘计划</w:t>
          </w:r>
          <w:r>
            <w:tab/>
          </w:r>
          <w:r>
            <w:fldChar w:fldCharType="begin"/>
          </w:r>
          <w:r>
            <w:instrText xml:space="preserve"> PAGEREF _Toc11018 \h </w:instrText>
          </w:r>
          <w:r>
            <w:fldChar w:fldCharType="separate"/>
          </w:r>
          <w:r>
            <w:t>6</w:t>
          </w:r>
          <w:r>
            <w:fldChar w:fldCharType="end"/>
          </w:r>
          <w:r>
            <w:fldChar w:fldCharType="end"/>
          </w:r>
        </w:p>
        <w:p w14:paraId="654C4BBB">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_Toc3890 </w:instrText>
          </w:r>
          <w:r>
            <w:fldChar w:fldCharType="separate"/>
          </w:r>
          <w:r>
            <w:rPr>
              <w:rFonts w:hint="default"/>
              <w:lang w:val="en-US" w:eastAsia="zh-CN"/>
            </w:rPr>
            <w:t xml:space="preserve">3.1.2. </w:t>
          </w:r>
          <w:r>
            <w:rPr>
              <w:rFonts w:hint="eastAsia"/>
              <w:lang w:val="en-US" w:eastAsia="zh-CN"/>
            </w:rPr>
            <w:t>人员储备计划</w:t>
          </w:r>
          <w:r>
            <w:tab/>
          </w:r>
          <w:r>
            <w:fldChar w:fldCharType="begin"/>
          </w:r>
          <w:r>
            <w:instrText xml:space="preserve"> PAGEREF _Toc3890 \h </w:instrText>
          </w:r>
          <w:r>
            <w:fldChar w:fldCharType="separate"/>
          </w:r>
          <w:r>
            <w:t>6</w:t>
          </w:r>
          <w:r>
            <w:fldChar w:fldCharType="end"/>
          </w:r>
          <w:r>
            <w:fldChar w:fldCharType="end"/>
          </w:r>
        </w:p>
        <w:p w14:paraId="6B7700EE">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_Toc8709 </w:instrText>
          </w:r>
          <w:r>
            <w:fldChar w:fldCharType="separate"/>
          </w:r>
          <w:r>
            <w:rPr>
              <w:rFonts w:hint="default"/>
              <w:lang w:val="en-US" w:eastAsia="zh-CN"/>
            </w:rPr>
            <w:t xml:space="preserve">3.1.3. </w:t>
          </w:r>
          <w:r>
            <w:rPr>
              <w:rFonts w:hint="eastAsia"/>
              <w:lang w:val="en-US" w:eastAsia="zh-CN"/>
            </w:rPr>
            <w:t>人员培训计划</w:t>
          </w:r>
          <w:r>
            <w:tab/>
          </w:r>
          <w:r>
            <w:fldChar w:fldCharType="begin"/>
          </w:r>
          <w:r>
            <w:instrText xml:space="preserve"> PAGEREF _Toc8709 \h </w:instrText>
          </w:r>
          <w:r>
            <w:fldChar w:fldCharType="separate"/>
          </w:r>
          <w:r>
            <w:t>7</w:t>
          </w:r>
          <w:r>
            <w:fldChar w:fldCharType="end"/>
          </w:r>
          <w:r>
            <w:fldChar w:fldCharType="end"/>
          </w:r>
        </w:p>
        <w:p w14:paraId="20E7B876">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_Toc4056 </w:instrText>
          </w:r>
          <w:r>
            <w:fldChar w:fldCharType="separate"/>
          </w:r>
          <w:r>
            <w:rPr>
              <w:rFonts w:hint="default"/>
              <w:lang w:val="en-US" w:eastAsia="zh-CN"/>
            </w:rPr>
            <w:t xml:space="preserve">3.1.4. </w:t>
          </w:r>
          <w:r>
            <w:rPr>
              <w:rFonts w:hint="eastAsia"/>
              <w:lang w:val="en-US" w:eastAsia="zh-CN"/>
            </w:rPr>
            <w:t>人员备份计划</w:t>
          </w:r>
          <w:r>
            <w:tab/>
          </w:r>
          <w:r>
            <w:fldChar w:fldCharType="begin"/>
          </w:r>
          <w:r>
            <w:instrText xml:space="preserve"> PAGEREF _Toc4056 \h </w:instrText>
          </w:r>
          <w:r>
            <w:fldChar w:fldCharType="separate"/>
          </w:r>
          <w:r>
            <w:t>10</w:t>
          </w:r>
          <w:r>
            <w:fldChar w:fldCharType="end"/>
          </w:r>
          <w:r>
            <w:fldChar w:fldCharType="end"/>
          </w:r>
        </w:p>
        <w:p w14:paraId="15425A9A">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_Toc26341 </w:instrText>
          </w:r>
          <w:r>
            <w:fldChar w:fldCharType="separate"/>
          </w:r>
          <w:r>
            <w:rPr>
              <w:rFonts w:hint="default"/>
              <w:lang w:val="en-US" w:eastAsia="zh-CN"/>
            </w:rPr>
            <w:t xml:space="preserve">3.1.5. </w:t>
          </w:r>
          <w:r>
            <w:rPr>
              <w:rFonts w:hint="eastAsia"/>
              <w:lang w:val="en-US" w:eastAsia="zh-CN"/>
            </w:rPr>
            <w:t>人员绩效考核计划</w:t>
          </w:r>
          <w:r>
            <w:tab/>
          </w:r>
          <w:r>
            <w:fldChar w:fldCharType="begin"/>
          </w:r>
          <w:r>
            <w:instrText xml:space="preserve"> PAGEREF _Toc26341 \h </w:instrText>
          </w:r>
          <w:r>
            <w:fldChar w:fldCharType="separate"/>
          </w:r>
          <w:r>
            <w:t>11</w:t>
          </w:r>
          <w:r>
            <w:fldChar w:fldCharType="end"/>
          </w:r>
          <w:r>
            <w:fldChar w:fldCharType="end"/>
          </w:r>
        </w:p>
        <w:p w14:paraId="639E82AB">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_Toc1503 </w:instrText>
          </w:r>
          <w:r>
            <w:fldChar w:fldCharType="separate"/>
          </w:r>
          <w:r>
            <w:rPr>
              <w:rFonts w:hint="default"/>
              <w:lang w:val="en-US" w:eastAsia="zh-CN"/>
            </w:rPr>
            <w:t xml:space="preserve">3.1.6. </w:t>
          </w:r>
          <w:r>
            <w:rPr>
              <w:rFonts w:hint="eastAsia"/>
              <w:lang w:val="en-US" w:eastAsia="zh-CN"/>
            </w:rPr>
            <w:t>人员能力评价计划</w:t>
          </w:r>
          <w:r>
            <w:tab/>
          </w:r>
          <w:r>
            <w:fldChar w:fldCharType="begin"/>
          </w:r>
          <w:r>
            <w:instrText xml:space="preserve"> PAGEREF _Toc1503 \h </w:instrText>
          </w:r>
          <w:r>
            <w:fldChar w:fldCharType="separate"/>
          </w:r>
          <w:r>
            <w:t>11</w:t>
          </w:r>
          <w:r>
            <w:fldChar w:fldCharType="end"/>
          </w:r>
          <w:r>
            <w:fldChar w:fldCharType="end"/>
          </w:r>
        </w:p>
        <w:p w14:paraId="34BFC1B0">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_Toc27523 </w:instrText>
          </w:r>
          <w:r>
            <w:fldChar w:fldCharType="separate"/>
          </w:r>
          <w:r>
            <w:rPr>
              <w:rFonts w:hint="default"/>
              <w:lang w:val="en-US" w:eastAsia="zh-CN"/>
            </w:rPr>
            <w:t xml:space="preserve">3.2. </w:t>
          </w:r>
          <w:r>
            <w:rPr>
              <w:rFonts w:hint="eastAsia"/>
              <w:lang w:val="en-US" w:eastAsia="zh-CN"/>
            </w:rPr>
            <w:t>资源管理规划</w:t>
          </w:r>
          <w:r>
            <w:tab/>
          </w:r>
          <w:r>
            <w:fldChar w:fldCharType="begin"/>
          </w:r>
          <w:r>
            <w:instrText xml:space="preserve"> PAGEREF _Toc27523 \h </w:instrText>
          </w:r>
          <w:r>
            <w:fldChar w:fldCharType="separate"/>
          </w:r>
          <w:r>
            <w:t>13</w:t>
          </w:r>
          <w:r>
            <w:fldChar w:fldCharType="end"/>
          </w:r>
          <w:r>
            <w:fldChar w:fldCharType="end"/>
          </w:r>
        </w:p>
        <w:p w14:paraId="1BD2ABC4">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_Toc9743 </w:instrText>
          </w:r>
          <w:r>
            <w:fldChar w:fldCharType="separate"/>
          </w:r>
          <w:r>
            <w:rPr>
              <w:rFonts w:hint="default"/>
              <w:lang w:val="en-US" w:eastAsia="zh-CN"/>
            </w:rPr>
            <w:t>3.2.1. 运维工具管理</w:t>
          </w:r>
          <w:r>
            <w:tab/>
          </w:r>
          <w:r>
            <w:fldChar w:fldCharType="begin"/>
          </w:r>
          <w:r>
            <w:instrText xml:space="preserve"> PAGEREF _Toc9743 \h </w:instrText>
          </w:r>
          <w:r>
            <w:fldChar w:fldCharType="separate"/>
          </w:r>
          <w:r>
            <w:t>13</w:t>
          </w:r>
          <w:r>
            <w:fldChar w:fldCharType="end"/>
          </w:r>
          <w:r>
            <w:fldChar w:fldCharType="end"/>
          </w:r>
        </w:p>
        <w:p w14:paraId="74FC0197">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_Toc23156 </w:instrText>
          </w:r>
          <w:r>
            <w:fldChar w:fldCharType="separate"/>
          </w:r>
          <w:r>
            <w:rPr>
              <w:rFonts w:hint="default"/>
              <w:lang w:val="en-US" w:eastAsia="zh-CN"/>
            </w:rPr>
            <w:t>3.2.2. 服务知识管理</w:t>
          </w:r>
          <w:r>
            <w:tab/>
          </w:r>
          <w:r>
            <w:fldChar w:fldCharType="begin"/>
          </w:r>
          <w:r>
            <w:instrText xml:space="preserve"> PAGEREF _Toc23156 \h </w:instrText>
          </w:r>
          <w:r>
            <w:fldChar w:fldCharType="separate"/>
          </w:r>
          <w:r>
            <w:t>14</w:t>
          </w:r>
          <w:r>
            <w:fldChar w:fldCharType="end"/>
          </w:r>
          <w:r>
            <w:fldChar w:fldCharType="end"/>
          </w:r>
        </w:p>
        <w:p w14:paraId="31F0C1E0">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_Toc24019 </w:instrText>
          </w:r>
          <w:r>
            <w:fldChar w:fldCharType="separate"/>
          </w:r>
          <w:r>
            <w:rPr>
              <w:rFonts w:hint="default"/>
              <w:lang w:val="en-US" w:eastAsia="zh-CN"/>
            </w:rPr>
            <w:t>3.2.3. 服务台管理</w:t>
          </w:r>
          <w:r>
            <w:tab/>
          </w:r>
          <w:r>
            <w:fldChar w:fldCharType="begin"/>
          </w:r>
          <w:r>
            <w:instrText xml:space="preserve"> PAGEREF _Toc24019 \h </w:instrText>
          </w:r>
          <w:r>
            <w:fldChar w:fldCharType="separate"/>
          </w:r>
          <w:r>
            <w:t>14</w:t>
          </w:r>
          <w:r>
            <w:fldChar w:fldCharType="end"/>
          </w:r>
          <w:r>
            <w:fldChar w:fldCharType="end"/>
          </w:r>
        </w:p>
        <w:p w14:paraId="733E29A3">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_Toc19453 </w:instrText>
          </w:r>
          <w:r>
            <w:fldChar w:fldCharType="separate"/>
          </w:r>
          <w:r>
            <w:rPr>
              <w:rFonts w:hint="default"/>
              <w:lang w:val="en-US" w:eastAsia="zh-CN"/>
            </w:rPr>
            <w:t>3.2.4. 备件库管理</w:t>
          </w:r>
          <w:r>
            <w:tab/>
          </w:r>
          <w:r>
            <w:fldChar w:fldCharType="begin"/>
          </w:r>
          <w:r>
            <w:instrText xml:space="preserve"> PAGEREF _Toc19453 \h </w:instrText>
          </w:r>
          <w:r>
            <w:fldChar w:fldCharType="separate"/>
          </w:r>
          <w:r>
            <w:t>15</w:t>
          </w:r>
          <w:r>
            <w:fldChar w:fldCharType="end"/>
          </w:r>
          <w:r>
            <w:fldChar w:fldCharType="end"/>
          </w:r>
        </w:p>
        <w:p w14:paraId="0C65C3BE">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_Toc19163 </w:instrText>
          </w:r>
          <w:r>
            <w:fldChar w:fldCharType="separate"/>
          </w:r>
          <w:r>
            <w:rPr>
              <w:rFonts w:hint="default"/>
              <w:lang w:val="en-US" w:eastAsia="zh-CN"/>
            </w:rPr>
            <w:t>3.2.5. 最终软件库管理</w:t>
          </w:r>
          <w:r>
            <w:tab/>
          </w:r>
          <w:r>
            <w:fldChar w:fldCharType="begin"/>
          </w:r>
          <w:r>
            <w:instrText xml:space="preserve"> PAGEREF _Toc19163 \h </w:instrText>
          </w:r>
          <w:r>
            <w:fldChar w:fldCharType="separate"/>
          </w:r>
          <w:r>
            <w:t>16</w:t>
          </w:r>
          <w:r>
            <w:fldChar w:fldCharType="end"/>
          </w:r>
          <w:r>
            <w:fldChar w:fldCharType="end"/>
          </w:r>
        </w:p>
        <w:p w14:paraId="7743E755">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_Toc7071 </w:instrText>
          </w:r>
          <w:r>
            <w:fldChar w:fldCharType="separate"/>
          </w:r>
          <w:r>
            <w:rPr>
              <w:rFonts w:hint="default"/>
              <w:lang w:val="en-US" w:eastAsia="zh-CN"/>
            </w:rPr>
            <w:t>3.2.6. 服务数据管理</w:t>
          </w:r>
          <w:r>
            <w:tab/>
          </w:r>
          <w:r>
            <w:fldChar w:fldCharType="begin"/>
          </w:r>
          <w:r>
            <w:instrText xml:space="preserve"> PAGEREF _Toc7071 \h </w:instrText>
          </w:r>
          <w:r>
            <w:fldChar w:fldCharType="separate"/>
          </w:r>
          <w:r>
            <w:t>16</w:t>
          </w:r>
          <w:r>
            <w:fldChar w:fldCharType="end"/>
          </w:r>
          <w:r>
            <w:fldChar w:fldCharType="end"/>
          </w:r>
        </w:p>
        <w:p w14:paraId="747D6D32">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_Toc1258 </w:instrText>
          </w:r>
          <w:r>
            <w:fldChar w:fldCharType="separate"/>
          </w:r>
          <w:r>
            <w:rPr>
              <w:rFonts w:hint="default"/>
              <w:lang w:val="en-US" w:eastAsia="zh-CN"/>
            </w:rPr>
            <w:t xml:space="preserve">3.3. </w:t>
          </w:r>
          <w:r>
            <w:rPr>
              <w:rFonts w:hint="eastAsia"/>
              <w:lang w:val="en-US" w:eastAsia="zh-CN"/>
            </w:rPr>
            <w:t>技术研发规划</w:t>
          </w:r>
          <w:r>
            <w:tab/>
          </w:r>
          <w:r>
            <w:fldChar w:fldCharType="begin"/>
          </w:r>
          <w:r>
            <w:instrText xml:space="preserve"> PAGEREF _Toc1258 \h </w:instrText>
          </w:r>
          <w:r>
            <w:fldChar w:fldCharType="separate"/>
          </w:r>
          <w:r>
            <w:t>17</w:t>
          </w:r>
          <w:r>
            <w:fldChar w:fldCharType="end"/>
          </w:r>
          <w:r>
            <w:fldChar w:fldCharType="end"/>
          </w:r>
        </w:p>
        <w:p w14:paraId="57D719A7">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_Toc11057 </w:instrText>
          </w:r>
          <w:r>
            <w:fldChar w:fldCharType="separate"/>
          </w:r>
          <w:r>
            <w:rPr>
              <w:rFonts w:hint="default"/>
              <w:lang w:val="en-US" w:eastAsia="zh-CN"/>
            </w:rPr>
            <w:t>3.3.1. 研发现状</w:t>
          </w:r>
          <w:r>
            <w:tab/>
          </w:r>
          <w:r>
            <w:fldChar w:fldCharType="begin"/>
          </w:r>
          <w:r>
            <w:instrText xml:space="preserve"> PAGEREF _Toc11057 \h </w:instrText>
          </w:r>
          <w:r>
            <w:fldChar w:fldCharType="separate"/>
          </w:r>
          <w:r>
            <w:t>17</w:t>
          </w:r>
          <w:r>
            <w:fldChar w:fldCharType="end"/>
          </w:r>
          <w:r>
            <w:fldChar w:fldCharType="end"/>
          </w:r>
        </w:p>
        <w:p w14:paraId="58CF7610">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_Toc29463 </w:instrText>
          </w:r>
          <w:r>
            <w:fldChar w:fldCharType="separate"/>
          </w:r>
          <w:r>
            <w:rPr>
              <w:rFonts w:hint="default"/>
              <w:lang w:val="en-US" w:eastAsia="zh-CN"/>
            </w:rPr>
            <w:t>3.3.2. 研发目标</w:t>
          </w:r>
          <w:r>
            <w:tab/>
          </w:r>
          <w:r>
            <w:fldChar w:fldCharType="begin"/>
          </w:r>
          <w:r>
            <w:instrText xml:space="preserve"> PAGEREF _Toc29463 \h </w:instrText>
          </w:r>
          <w:r>
            <w:fldChar w:fldCharType="separate"/>
          </w:r>
          <w:r>
            <w:t>18</w:t>
          </w:r>
          <w:r>
            <w:fldChar w:fldCharType="end"/>
          </w:r>
          <w:r>
            <w:fldChar w:fldCharType="end"/>
          </w:r>
        </w:p>
        <w:p w14:paraId="399F66CC">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_Toc1952 </w:instrText>
          </w:r>
          <w:r>
            <w:fldChar w:fldCharType="separate"/>
          </w:r>
          <w:r>
            <w:rPr>
              <w:rFonts w:hint="default"/>
              <w:lang w:val="en-US" w:eastAsia="zh-CN"/>
            </w:rPr>
            <w:t xml:space="preserve">3.3.3. </w:t>
          </w:r>
          <w:r>
            <w:rPr>
              <w:rFonts w:hint="eastAsia"/>
              <w:lang w:val="en-US" w:eastAsia="zh-CN"/>
            </w:rPr>
            <w:t>研发计划</w:t>
          </w:r>
          <w:r>
            <w:tab/>
          </w:r>
          <w:r>
            <w:fldChar w:fldCharType="begin"/>
          </w:r>
          <w:r>
            <w:instrText xml:space="preserve"> PAGEREF _Toc1952 \h </w:instrText>
          </w:r>
          <w:r>
            <w:fldChar w:fldCharType="separate"/>
          </w:r>
          <w:r>
            <w:t>18</w:t>
          </w:r>
          <w:r>
            <w:fldChar w:fldCharType="end"/>
          </w:r>
          <w:r>
            <w:fldChar w:fldCharType="end"/>
          </w:r>
        </w:p>
        <w:p w14:paraId="7E1B9AFB">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_Toc28677 </w:instrText>
          </w:r>
          <w:r>
            <w:fldChar w:fldCharType="separate"/>
          </w:r>
          <w:r>
            <w:rPr>
              <w:rFonts w:hint="default"/>
              <w:lang w:val="en-US" w:eastAsia="zh-CN"/>
            </w:rPr>
            <w:t xml:space="preserve">3.4. </w:t>
          </w:r>
          <w:r>
            <w:rPr>
              <w:rFonts w:hint="eastAsia"/>
              <w:lang w:val="en-US" w:eastAsia="zh-CN"/>
            </w:rPr>
            <w:t>过程管理规划</w:t>
          </w:r>
          <w:r>
            <w:tab/>
          </w:r>
          <w:r>
            <w:fldChar w:fldCharType="begin"/>
          </w:r>
          <w:r>
            <w:instrText xml:space="preserve"> PAGEREF _Toc28677 \h </w:instrText>
          </w:r>
          <w:r>
            <w:fldChar w:fldCharType="separate"/>
          </w:r>
          <w:r>
            <w:t>18</w:t>
          </w:r>
          <w:r>
            <w:fldChar w:fldCharType="end"/>
          </w:r>
          <w:r>
            <w:fldChar w:fldCharType="end"/>
          </w:r>
        </w:p>
        <w:p w14:paraId="2DC52B67">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_Toc17608 </w:instrText>
          </w:r>
          <w:r>
            <w:fldChar w:fldCharType="separate"/>
          </w:r>
          <w:r>
            <w:rPr>
              <w:rFonts w:hint="default"/>
              <w:lang w:val="en-US" w:eastAsia="zh-CN"/>
            </w:rPr>
            <w:t xml:space="preserve">3.4.1. </w:t>
          </w:r>
          <w:r>
            <w:rPr>
              <w:rFonts w:hint="eastAsia"/>
              <w:lang w:val="en-US" w:eastAsia="zh-CN"/>
            </w:rPr>
            <w:t>过程框架管理</w:t>
          </w:r>
          <w:r>
            <w:tab/>
          </w:r>
          <w:r>
            <w:fldChar w:fldCharType="begin"/>
          </w:r>
          <w:r>
            <w:instrText xml:space="preserve"> PAGEREF _Toc17608 \h </w:instrText>
          </w:r>
          <w:r>
            <w:fldChar w:fldCharType="separate"/>
          </w:r>
          <w:r>
            <w:t>18</w:t>
          </w:r>
          <w:r>
            <w:fldChar w:fldCharType="end"/>
          </w:r>
          <w:r>
            <w:fldChar w:fldCharType="end"/>
          </w:r>
        </w:p>
        <w:p w14:paraId="3D909FE3">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_Toc23770 </w:instrText>
          </w:r>
          <w:r>
            <w:fldChar w:fldCharType="separate"/>
          </w:r>
          <w:r>
            <w:rPr>
              <w:rFonts w:hint="default"/>
              <w:lang w:val="en-US" w:eastAsia="zh-CN"/>
            </w:rPr>
            <w:t xml:space="preserve">3.4.2. </w:t>
          </w:r>
          <w:r>
            <w:rPr>
              <w:rFonts w:hint="eastAsia"/>
              <w:lang w:val="en-US" w:eastAsia="zh-CN"/>
            </w:rPr>
            <w:t>服务级别管理</w:t>
          </w:r>
          <w:r>
            <w:tab/>
          </w:r>
          <w:r>
            <w:fldChar w:fldCharType="begin"/>
          </w:r>
          <w:r>
            <w:instrText xml:space="preserve"> PAGEREF _Toc23770 \h </w:instrText>
          </w:r>
          <w:r>
            <w:fldChar w:fldCharType="separate"/>
          </w:r>
          <w:r>
            <w:t>19</w:t>
          </w:r>
          <w:r>
            <w:fldChar w:fldCharType="end"/>
          </w:r>
          <w:r>
            <w:fldChar w:fldCharType="end"/>
          </w:r>
        </w:p>
        <w:p w14:paraId="49A57583">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_Toc20743 </w:instrText>
          </w:r>
          <w:r>
            <w:fldChar w:fldCharType="separate"/>
          </w:r>
          <w:r>
            <w:rPr>
              <w:rFonts w:hint="default"/>
              <w:lang w:val="en-US" w:eastAsia="zh-CN"/>
            </w:rPr>
            <w:t xml:space="preserve">3.4.3. </w:t>
          </w:r>
          <w:r>
            <w:rPr>
              <w:rFonts w:hint="eastAsia"/>
              <w:lang w:val="en-US" w:eastAsia="zh-CN"/>
            </w:rPr>
            <w:t>服务报告管理</w:t>
          </w:r>
          <w:r>
            <w:tab/>
          </w:r>
          <w:r>
            <w:fldChar w:fldCharType="begin"/>
          </w:r>
          <w:r>
            <w:instrText xml:space="preserve"> PAGEREF _Toc20743 \h </w:instrText>
          </w:r>
          <w:r>
            <w:fldChar w:fldCharType="separate"/>
          </w:r>
          <w:r>
            <w:t>19</w:t>
          </w:r>
          <w:r>
            <w:fldChar w:fldCharType="end"/>
          </w:r>
          <w:r>
            <w:fldChar w:fldCharType="end"/>
          </w:r>
        </w:p>
        <w:p w14:paraId="1EF2A022">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_Toc258 </w:instrText>
          </w:r>
          <w:r>
            <w:fldChar w:fldCharType="separate"/>
          </w:r>
          <w:r>
            <w:rPr>
              <w:rFonts w:hint="default"/>
              <w:lang w:val="en-US" w:eastAsia="zh-CN"/>
            </w:rPr>
            <w:t xml:space="preserve">3.4.4. </w:t>
          </w:r>
          <w:r>
            <w:rPr>
              <w:rFonts w:hint="eastAsia"/>
              <w:lang w:val="en-US" w:eastAsia="zh-CN"/>
            </w:rPr>
            <w:t>事件管理</w:t>
          </w:r>
          <w:r>
            <w:tab/>
          </w:r>
          <w:r>
            <w:fldChar w:fldCharType="begin"/>
          </w:r>
          <w:r>
            <w:instrText xml:space="preserve"> PAGEREF _Toc258 \h </w:instrText>
          </w:r>
          <w:r>
            <w:fldChar w:fldCharType="separate"/>
          </w:r>
          <w:r>
            <w:t>20</w:t>
          </w:r>
          <w:r>
            <w:fldChar w:fldCharType="end"/>
          </w:r>
          <w:r>
            <w:fldChar w:fldCharType="end"/>
          </w:r>
        </w:p>
        <w:p w14:paraId="6CEA9CD0">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_Toc18042 </w:instrText>
          </w:r>
          <w:r>
            <w:fldChar w:fldCharType="separate"/>
          </w:r>
          <w:r>
            <w:rPr>
              <w:rFonts w:hint="default"/>
              <w:lang w:val="en-US" w:eastAsia="zh-CN"/>
            </w:rPr>
            <w:t xml:space="preserve">3.4.5. </w:t>
          </w:r>
          <w:r>
            <w:rPr>
              <w:rFonts w:hint="eastAsia"/>
              <w:lang w:val="en-US" w:eastAsia="zh-CN"/>
            </w:rPr>
            <w:t>问题管理</w:t>
          </w:r>
          <w:r>
            <w:tab/>
          </w:r>
          <w:r>
            <w:fldChar w:fldCharType="begin"/>
          </w:r>
          <w:r>
            <w:instrText xml:space="preserve"> PAGEREF _Toc18042 \h </w:instrText>
          </w:r>
          <w:r>
            <w:fldChar w:fldCharType="separate"/>
          </w:r>
          <w:r>
            <w:t>20</w:t>
          </w:r>
          <w:r>
            <w:fldChar w:fldCharType="end"/>
          </w:r>
          <w:r>
            <w:fldChar w:fldCharType="end"/>
          </w:r>
        </w:p>
        <w:p w14:paraId="4C38AC79">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_Toc17668 </w:instrText>
          </w:r>
          <w:r>
            <w:fldChar w:fldCharType="separate"/>
          </w:r>
          <w:r>
            <w:rPr>
              <w:rFonts w:hint="default"/>
              <w:lang w:val="en-US" w:eastAsia="zh-CN"/>
            </w:rPr>
            <w:t xml:space="preserve">3.4.6. </w:t>
          </w:r>
          <w:r>
            <w:rPr>
              <w:rFonts w:hint="eastAsia"/>
              <w:lang w:val="en-US" w:eastAsia="zh-CN"/>
            </w:rPr>
            <w:t>变更管理</w:t>
          </w:r>
          <w:r>
            <w:tab/>
          </w:r>
          <w:r>
            <w:fldChar w:fldCharType="begin"/>
          </w:r>
          <w:r>
            <w:instrText xml:space="preserve"> PAGEREF _Toc17668 \h </w:instrText>
          </w:r>
          <w:r>
            <w:fldChar w:fldCharType="separate"/>
          </w:r>
          <w:r>
            <w:t>21</w:t>
          </w:r>
          <w:r>
            <w:fldChar w:fldCharType="end"/>
          </w:r>
          <w:r>
            <w:fldChar w:fldCharType="end"/>
          </w:r>
        </w:p>
        <w:p w14:paraId="55A747C3">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_Toc12033 </w:instrText>
          </w:r>
          <w:r>
            <w:fldChar w:fldCharType="separate"/>
          </w:r>
          <w:r>
            <w:rPr>
              <w:rFonts w:hint="default"/>
              <w:lang w:val="en-US" w:eastAsia="zh-CN"/>
            </w:rPr>
            <w:t xml:space="preserve">3.4.7. </w:t>
          </w:r>
          <w:r>
            <w:rPr>
              <w:rFonts w:hint="eastAsia"/>
              <w:lang w:val="en-US" w:eastAsia="zh-CN"/>
            </w:rPr>
            <w:t>发布管理</w:t>
          </w:r>
          <w:r>
            <w:tab/>
          </w:r>
          <w:r>
            <w:fldChar w:fldCharType="begin"/>
          </w:r>
          <w:r>
            <w:instrText xml:space="preserve"> PAGEREF _Toc12033 \h </w:instrText>
          </w:r>
          <w:r>
            <w:fldChar w:fldCharType="separate"/>
          </w:r>
          <w:r>
            <w:t>21</w:t>
          </w:r>
          <w:r>
            <w:fldChar w:fldCharType="end"/>
          </w:r>
          <w:r>
            <w:fldChar w:fldCharType="end"/>
          </w:r>
        </w:p>
        <w:p w14:paraId="2DE19271">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_Toc2284 </w:instrText>
          </w:r>
          <w:r>
            <w:fldChar w:fldCharType="separate"/>
          </w:r>
          <w:r>
            <w:rPr>
              <w:rFonts w:hint="default"/>
              <w:lang w:val="en-US" w:eastAsia="zh-CN"/>
            </w:rPr>
            <w:t xml:space="preserve">3.4.8. </w:t>
          </w:r>
          <w:r>
            <w:rPr>
              <w:rFonts w:hint="eastAsia"/>
              <w:lang w:val="en-US" w:eastAsia="zh-CN"/>
            </w:rPr>
            <w:t>配置管理</w:t>
          </w:r>
          <w:r>
            <w:tab/>
          </w:r>
          <w:r>
            <w:fldChar w:fldCharType="begin"/>
          </w:r>
          <w:r>
            <w:instrText xml:space="preserve"> PAGEREF _Toc2284 \h </w:instrText>
          </w:r>
          <w:r>
            <w:fldChar w:fldCharType="separate"/>
          </w:r>
          <w:r>
            <w:t>22</w:t>
          </w:r>
          <w:r>
            <w:fldChar w:fldCharType="end"/>
          </w:r>
          <w:r>
            <w:fldChar w:fldCharType="end"/>
          </w:r>
        </w:p>
        <w:p w14:paraId="1D626CB7">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_Toc6521 </w:instrText>
          </w:r>
          <w:r>
            <w:fldChar w:fldCharType="separate"/>
          </w:r>
          <w:r>
            <w:rPr>
              <w:rFonts w:hint="default"/>
              <w:lang w:val="en-US" w:eastAsia="zh-CN"/>
            </w:rPr>
            <w:t xml:space="preserve">3.4.9. </w:t>
          </w:r>
          <w:r>
            <w:rPr>
              <w:rFonts w:hint="eastAsia"/>
              <w:lang w:val="en-US" w:eastAsia="zh-CN"/>
            </w:rPr>
            <w:t>可用性和连续性管理</w:t>
          </w:r>
          <w:r>
            <w:tab/>
          </w:r>
          <w:r>
            <w:fldChar w:fldCharType="begin"/>
          </w:r>
          <w:r>
            <w:instrText xml:space="preserve"> PAGEREF _Toc6521 \h </w:instrText>
          </w:r>
          <w:r>
            <w:fldChar w:fldCharType="separate"/>
          </w:r>
          <w:r>
            <w:t>23</w:t>
          </w:r>
          <w:r>
            <w:fldChar w:fldCharType="end"/>
          </w:r>
          <w:r>
            <w:fldChar w:fldCharType="end"/>
          </w:r>
        </w:p>
        <w:p w14:paraId="3A67BF01">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_Toc6935 </w:instrText>
          </w:r>
          <w:r>
            <w:fldChar w:fldCharType="separate"/>
          </w:r>
          <w:r>
            <w:rPr>
              <w:rFonts w:hint="default"/>
              <w:lang w:val="en-US" w:eastAsia="zh-CN"/>
            </w:rPr>
            <w:t xml:space="preserve">3.4.10. </w:t>
          </w:r>
          <w:r>
            <w:rPr>
              <w:rFonts w:hint="eastAsia"/>
              <w:lang w:val="en-US" w:eastAsia="zh-CN"/>
            </w:rPr>
            <w:t>容量管理</w:t>
          </w:r>
          <w:r>
            <w:tab/>
          </w:r>
          <w:r>
            <w:fldChar w:fldCharType="begin"/>
          </w:r>
          <w:r>
            <w:instrText xml:space="preserve"> PAGEREF _Toc6935 \h </w:instrText>
          </w:r>
          <w:r>
            <w:fldChar w:fldCharType="separate"/>
          </w:r>
          <w:r>
            <w:t>23</w:t>
          </w:r>
          <w:r>
            <w:fldChar w:fldCharType="end"/>
          </w:r>
          <w:r>
            <w:fldChar w:fldCharType="end"/>
          </w:r>
        </w:p>
        <w:p w14:paraId="37424E7C">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_Toc4569 </w:instrText>
          </w:r>
          <w:r>
            <w:fldChar w:fldCharType="separate"/>
          </w:r>
          <w:r>
            <w:rPr>
              <w:rFonts w:hint="default"/>
              <w:lang w:val="en-US" w:eastAsia="zh-CN"/>
            </w:rPr>
            <w:t xml:space="preserve">3.4.11. </w:t>
          </w:r>
          <w:r>
            <w:rPr>
              <w:rFonts w:hint="eastAsia"/>
              <w:lang w:val="en-US" w:eastAsia="zh-CN"/>
            </w:rPr>
            <w:t>信息安全管理</w:t>
          </w:r>
          <w:r>
            <w:tab/>
          </w:r>
          <w:r>
            <w:fldChar w:fldCharType="begin"/>
          </w:r>
          <w:r>
            <w:instrText xml:space="preserve"> PAGEREF _Toc4569 \h </w:instrText>
          </w:r>
          <w:r>
            <w:fldChar w:fldCharType="separate"/>
          </w:r>
          <w:r>
            <w:t>24</w:t>
          </w:r>
          <w:r>
            <w:fldChar w:fldCharType="end"/>
          </w:r>
          <w:r>
            <w:fldChar w:fldCharType="end"/>
          </w:r>
        </w:p>
        <w:p w14:paraId="2EFA9035">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_Toc14958 </w:instrText>
          </w:r>
          <w:r>
            <w:fldChar w:fldCharType="separate"/>
          </w:r>
          <w:r>
            <w:rPr>
              <w:rFonts w:hint="default"/>
              <w:lang w:val="en-US" w:eastAsia="zh-CN"/>
            </w:rPr>
            <w:t xml:space="preserve">3.5. </w:t>
          </w:r>
          <w:r>
            <w:rPr>
              <w:rFonts w:hint="eastAsia"/>
              <w:lang w:val="en-US" w:eastAsia="zh-CN"/>
            </w:rPr>
            <w:t>交付管理规划</w:t>
          </w:r>
          <w:r>
            <w:tab/>
          </w:r>
          <w:r>
            <w:fldChar w:fldCharType="begin"/>
          </w:r>
          <w:r>
            <w:instrText xml:space="preserve"> PAGEREF _Toc14958 \h </w:instrText>
          </w:r>
          <w:r>
            <w:fldChar w:fldCharType="separate"/>
          </w:r>
          <w:r>
            <w:t>24</w:t>
          </w:r>
          <w:r>
            <w:fldChar w:fldCharType="end"/>
          </w:r>
          <w:r>
            <w:fldChar w:fldCharType="end"/>
          </w:r>
        </w:p>
        <w:p w14:paraId="505BE260">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_Toc23309 </w:instrText>
          </w:r>
          <w:r>
            <w:fldChar w:fldCharType="separate"/>
          </w:r>
          <w:r>
            <w:rPr>
              <w:rFonts w:hint="default"/>
              <w:lang w:val="en-US" w:eastAsia="zh-CN"/>
            </w:rPr>
            <w:t xml:space="preserve">3.5.1. </w:t>
          </w:r>
          <w:r>
            <w:rPr>
              <w:rFonts w:hint="eastAsia"/>
              <w:lang w:val="en-US" w:eastAsia="zh-CN"/>
            </w:rPr>
            <w:t>交付策划</w:t>
          </w:r>
          <w:r>
            <w:tab/>
          </w:r>
          <w:r>
            <w:fldChar w:fldCharType="begin"/>
          </w:r>
          <w:r>
            <w:instrText xml:space="preserve"> PAGEREF _Toc23309 \h </w:instrText>
          </w:r>
          <w:r>
            <w:fldChar w:fldCharType="separate"/>
          </w:r>
          <w:r>
            <w:t>25</w:t>
          </w:r>
          <w:r>
            <w:fldChar w:fldCharType="end"/>
          </w:r>
          <w:r>
            <w:fldChar w:fldCharType="end"/>
          </w:r>
        </w:p>
        <w:p w14:paraId="7A4E3C04">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_Toc10057 </w:instrText>
          </w:r>
          <w:r>
            <w:fldChar w:fldCharType="separate"/>
          </w:r>
          <w:r>
            <w:rPr>
              <w:rFonts w:hint="default"/>
              <w:lang w:val="en-US" w:eastAsia="zh-CN"/>
            </w:rPr>
            <w:t xml:space="preserve">3.5.2. </w:t>
          </w:r>
          <w:r>
            <w:rPr>
              <w:rFonts w:hint="eastAsia"/>
              <w:lang w:val="en-US" w:eastAsia="zh-CN"/>
            </w:rPr>
            <w:t>交付实施</w:t>
          </w:r>
          <w:r>
            <w:tab/>
          </w:r>
          <w:r>
            <w:fldChar w:fldCharType="begin"/>
          </w:r>
          <w:r>
            <w:instrText xml:space="preserve"> PAGEREF _Toc10057 \h </w:instrText>
          </w:r>
          <w:r>
            <w:fldChar w:fldCharType="separate"/>
          </w:r>
          <w:r>
            <w:t>25</w:t>
          </w:r>
          <w:r>
            <w:fldChar w:fldCharType="end"/>
          </w:r>
          <w:r>
            <w:fldChar w:fldCharType="end"/>
          </w:r>
        </w:p>
        <w:p w14:paraId="77F38E63">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_Toc191 </w:instrText>
          </w:r>
          <w:r>
            <w:fldChar w:fldCharType="separate"/>
          </w:r>
          <w:r>
            <w:rPr>
              <w:rFonts w:hint="default"/>
              <w:lang w:val="en-US" w:eastAsia="zh-CN"/>
            </w:rPr>
            <w:t xml:space="preserve">3.5.3. </w:t>
          </w:r>
          <w:r>
            <w:rPr>
              <w:rFonts w:hint="eastAsia"/>
              <w:lang w:val="en-US" w:eastAsia="zh-CN"/>
            </w:rPr>
            <w:t>交付检查</w:t>
          </w:r>
          <w:r>
            <w:tab/>
          </w:r>
          <w:r>
            <w:fldChar w:fldCharType="begin"/>
          </w:r>
          <w:r>
            <w:instrText xml:space="preserve"> PAGEREF _Toc191 \h </w:instrText>
          </w:r>
          <w:r>
            <w:fldChar w:fldCharType="separate"/>
          </w:r>
          <w:r>
            <w:t>25</w:t>
          </w:r>
          <w:r>
            <w:fldChar w:fldCharType="end"/>
          </w:r>
          <w:r>
            <w:fldChar w:fldCharType="end"/>
          </w:r>
        </w:p>
        <w:p w14:paraId="75ACF815">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_Toc8334 </w:instrText>
          </w:r>
          <w:r>
            <w:fldChar w:fldCharType="separate"/>
          </w:r>
          <w:r>
            <w:rPr>
              <w:rFonts w:hint="default"/>
              <w:lang w:val="en-US" w:eastAsia="zh-CN"/>
            </w:rPr>
            <w:t xml:space="preserve">3.5.4. </w:t>
          </w:r>
          <w:r>
            <w:rPr>
              <w:rFonts w:hint="eastAsia"/>
              <w:lang w:val="en-US" w:eastAsia="zh-CN"/>
            </w:rPr>
            <w:t>交付改进</w:t>
          </w:r>
          <w:r>
            <w:tab/>
          </w:r>
          <w:r>
            <w:fldChar w:fldCharType="begin"/>
          </w:r>
          <w:r>
            <w:instrText xml:space="preserve"> PAGEREF _Toc8334 \h </w:instrText>
          </w:r>
          <w:r>
            <w:fldChar w:fldCharType="separate"/>
          </w:r>
          <w:r>
            <w:t>25</w:t>
          </w:r>
          <w:r>
            <w:fldChar w:fldCharType="end"/>
          </w:r>
          <w:r>
            <w:fldChar w:fldCharType="end"/>
          </w:r>
        </w:p>
        <w:p w14:paraId="041C932C">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_Toc18555 </w:instrText>
          </w:r>
          <w:r>
            <w:fldChar w:fldCharType="separate"/>
          </w:r>
          <w:r>
            <w:rPr>
              <w:rFonts w:hint="default"/>
              <w:lang w:val="en-US" w:eastAsia="zh-CN"/>
            </w:rPr>
            <w:t xml:space="preserve">3.6. </w:t>
          </w:r>
          <w:r>
            <w:rPr>
              <w:rFonts w:hint="eastAsia"/>
              <w:lang w:val="en-US" w:eastAsia="zh-CN"/>
            </w:rPr>
            <w:t>应急管理规划</w:t>
          </w:r>
          <w:r>
            <w:tab/>
          </w:r>
          <w:r>
            <w:fldChar w:fldCharType="begin"/>
          </w:r>
          <w:r>
            <w:instrText xml:space="preserve"> PAGEREF _Toc18555 \h </w:instrText>
          </w:r>
          <w:r>
            <w:fldChar w:fldCharType="separate"/>
          </w:r>
          <w:r>
            <w:t>26</w:t>
          </w:r>
          <w:r>
            <w:fldChar w:fldCharType="end"/>
          </w:r>
          <w:r>
            <w:fldChar w:fldCharType="end"/>
          </w:r>
        </w:p>
        <w:p w14:paraId="4CD7F4AA">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_Toc22231 </w:instrText>
          </w:r>
          <w:r>
            <w:fldChar w:fldCharType="separate"/>
          </w:r>
          <w:r>
            <w:rPr>
              <w:rFonts w:hint="default"/>
              <w:lang w:val="en-US" w:eastAsia="zh-CN"/>
            </w:rPr>
            <w:t xml:space="preserve">3.7. </w:t>
          </w:r>
          <w:r>
            <w:rPr>
              <w:rFonts w:hint="eastAsia"/>
              <w:lang w:val="en-US" w:eastAsia="zh-CN"/>
            </w:rPr>
            <w:t>质量管理规划</w:t>
          </w:r>
          <w:r>
            <w:tab/>
          </w:r>
          <w:r>
            <w:fldChar w:fldCharType="begin"/>
          </w:r>
          <w:r>
            <w:instrText xml:space="preserve"> PAGEREF _Toc22231 \h </w:instrText>
          </w:r>
          <w:r>
            <w:fldChar w:fldCharType="separate"/>
          </w:r>
          <w:r>
            <w:t>26</w:t>
          </w:r>
          <w:r>
            <w:fldChar w:fldCharType="end"/>
          </w:r>
          <w:r>
            <w:fldChar w:fldCharType="end"/>
          </w:r>
        </w:p>
        <w:p w14:paraId="51D5D9FE">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_Toc1225 </w:instrText>
          </w:r>
          <w:r>
            <w:fldChar w:fldCharType="separate"/>
          </w:r>
          <w:r>
            <w:rPr>
              <w:rFonts w:hint="default"/>
              <w:lang w:val="en-US" w:eastAsia="zh-CN"/>
            </w:rPr>
            <w:t xml:space="preserve">3.7.1. </w:t>
          </w:r>
          <w:r>
            <w:rPr>
              <w:rFonts w:hint="eastAsia"/>
              <w:lang w:val="en-US" w:eastAsia="zh-CN"/>
            </w:rPr>
            <w:t>质量管理计划</w:t>
          </w:r>
          <w:r>
            <w:tab/>
          </w:r>
          <w:r>
            <w:fldChar w:fldCharType="begin"/>
          </w:r>
          <w:r>
            <w:instrText xml:space="preserve"> PAGEREF _Toc1225 \h </w:instrText>
          </w:r>
          <w:r>
            <w:fldChar w:fldCharType="separate"/>
          </w:r>
          <w:r>
            <w:t>27</w:t>
          </w:r>
          <w:r>
            <w:fldChar w:fldCharType="end"/>
          </w:r>
          <w:r>
            <w:fldChar w:fldCharType="end"/>
          </w:r>
        </w:p>
        <w:p w14:paraId="50F9D2E1">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_Toc28056 </w:instrText>
          </w:r>
          <w:r>
            <w:fldChar w:fldCharType="separate"/>
          </w:r>
          <w:r>
            <w:rPr>
              <w:rFonts w:hint="default"/>
              <w:lang w:val="en-US" w:eastAsia="zh-CN"/>
            </w:rPr>
            <w:t xml:space="preserve">3.7.2. </w:t>
          </w:r>
          <w:r>
            <w:rPr>
              <w:rFonts w:hint="eastAsia"/>
              <w:lang w:val="en-US" w:eastAsia="zh-CN"/>
            </w:rPr>
            <w:t>质量检查</w:t>
          </w:r>
          <w:r>
            <w:tab/>
          </w:r>
          <w:r>
            <w:fldChar w:fldCharType="begin"/>
          </w:r>
          <w:r>
            <w:instrText xml:space="preserve"> PAGEREF _Toc28056 \h </w:instrText>
          </w:r>
          <w:r>
            <w:fldChar w:fldCharType="separate"/>
          </w:r>
          <w:r>
            <w:t>27</w:t>
          </w:r>
          <w:r>
            <w:fldChar w:fldCharType="end"/>
          </w:r>
          <w:r>
            <w:fldChar w:fldCharType="end"/>
          </w:r>
        </w:p>
        <w:p w14:paraId="00D7A074">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_Toc8748 </w:instrText>
          </w:r>
          <w:r>
            <w:fldChar w:fldCharType="separate"/>
          </w:r>
          <w:r>
            <w:rPr>
              <w:rFonts w:hint="default"/>
              <w:lang w:val="en-US" w:eastAsia="zh-CN"/>
            </w:rPr>
            <w:t xml:space="preserve">3.7.3. </w:t>
          </w:r>
          <w:r>
            <w:rPr>
              <w:rFonts w:hint="eastAsia"/>
              <w:lang w:val="en-US" w:eastAsia="zh-CN"/>
            </w:rPr>
            <w:t>内部审核</w:t>
          </w:r>
          <w:r>
            <w:tab/>
          </w:r>
          <w:r>
            <w:fldChar w:fldCharType="begin"/>
          </w:r>
          <w:r>
            <w:instrText xml:space="preserve"> PAGEREF _Toc8748 \h </w:instrText>
          </w:r>
          <w:r>
            <w:fldChar w:fldCharType="separate"/>
          </w:r>
          <w:r>
            <w:t>27</w:t>
          </w:r>
          <w:r>
            <w:fldChar w:fldCharType="end"/>
          </w:r>
          <w:r>
            <w:fldChar w:fldCharType="end"/>
          </w:r>
        </w:p>
        <w:p w14:paraId="4BC07761">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_Toc8859 </w:instrText>
          </w:r>
          <w:r>
            <w:fldChar w:fldCharType="separate"/>
          </w:r>
          <w:r>
            <w:rPr>
              <w:rFonts w:hint="default"/>
              <w:lang w:val="en-US" w:eastAsia="zh-CN"/>
            </w:rPr>
            <w:t xml:space="preserve">3.7.4. </w:t>
          </w:r>
          <w:r>
            <w:rPr>
              <w:rFonts w:hint="eastAsia"/>
              <w:lang w:val="en-US" w:eastAsia="zh-CN"/>
            </w:rPr>
            <w:t>管理评审</w:t>
          </w:r>
          <w:r>
            <w:tab/>
          </w:r>
          <w:r>
            <w:fldChar w:fldCharType="begin"/>
          </w:r>
          <w:r>
            <w:instrText xml:space="preserve"> PAGEREF _Toc8859 \h </w:instrText>
          </w:r>
          <w:r>
            <w:fldChar w:fldCharType="separate"/>
          </w:r>
          <w:r>
            <w:t>27</w:t>
          </w:r>
          <w:r>
            <w:fldChar w:fldCharType="end"/>
          </w:r>
          <w:r>
            <w:fldChar w:fldCharType="end"/>
          </w:r>
        </w:p>
        <w:p w14:paraId="71FBE609">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_Toc17719 </w:instrText>
          </w:r>
          <w:r>
            <w:fldChar w:fldCharType="separate"/>
          </w:r>
          <w:r>
            <w:rPr>
              <w:rFonts w:hint="default"/>
              <w:lang w:val="en-US" w:eastAsia="zh-CN"/>
            </w:rPr>
            <w:t xml:space="preserve">3.7.5. </w:t>
          </w:r>
          <w:r>
            <w:rPr>
              <w:rFonts w:hint="eastAsia"/>
              <w:lang w:val="en-US" w:eastAsia="zh-CN"/>
            </w:rPr>
            <w:t>客户满意度管理</w:t>
          </w:r>
          <w:r>
            <w:tab/>
          </w:r>
          <w:r>
            <w:fldChar w:fldCharType="begin"/>
          </w:r>
          <w:r>
            <w:instrText xml:space="preserve"> PAGEREF _Toc17719 \h </w:instrText>
          </w:r>
          <w:r>
            <w:fldChar w:fldCharType="separate"/>
          </w:r>
          <w:r>
            <w:t>28</w:t>
          </w:r>
          <w:r>
            <w:fldChar w:fldCharType="end"/>
          </w:r>
          <w:r>
            <w:fldChar w:fldCharType="end"/>
          </w:r>
        </w:p>
        <w:p w14:paraId="4A2D12A4">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2AF39A91">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0ADCE383">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"表"</w:instrText>
      </w:r>
      <w:r>
        <w:fldChar w:fldCharType="separate"/>
      </w:r>
      <w:r>
        <w:fldChar w:fldCharType="begin"/>
      </w:r>
      <w:r>
        <w:instrText xml:space="preserve"> HYPERLINK \l _Toc20059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2025年度人员招聘计划表</w:t>
      </w:r>
      <w:r>
        <w:tab/>
      </w:r>
      <w:r>
        <w:fldChar w:fldCharType="begin"/>
      </w:r>
      <w:r>
        <w:instrText xml:space="preserve"> PAGEREF _Toc20059 \h </w:instrText>
      </w:r>
      <w:r>
        <w:fldChar w:fldCharType="separate"/>
      </w:r>
      <w:r>
        <w:t>6</w:t>
      </w:r>
      <w:r>
        <w:fldChar w:fldCharType="end"/>
      </w:r>
      <w:r>
        <w:fldChar w:fldCharType="end"/>
      </w:r>
    </w:p>
    <w:p w14:paraId="01E702BC">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_Toc16473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2 </w:t>
      </w:r>
      <w:r>
        <w:rPr>
          <w:rFonts w:hint="eastAsia"/>
          <w:lang w:val="en-US" w:eastAsia="zh-CN"/>
        </w:rPr>
        <w:t xml:space="preserve"> 2025年度人员内部储备计划表</w:t>
      </w:r>
      <w:r>
        <w:tab/>
      </w:r>
      <w:r>
        <w:fldChar w:fldCharType="begin"/>
      </w:r>
      <w:r>
        <w:instrText xml:space="preserve"> PAGEREF _Toc16473 \h </w:instrText>
      </w:r>
      <w:r>
        <w:fldChar w:fldCharType="separate"/>
      </w:r>
      <w:r>
        <w:t>7</w:t>
      </w:r>
      <w:r>
        <w:fldChar w:fldCharType="end"/>
      </w:r>
      <w:r>
        <w:fldChar w:fldCharType="end"/>
      </w:r>
    </w:p>
    <w:p w14:paraId="6B87419B">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_Toc30846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3 </w:t>
      </w:r>
      <w:r>
        <w:rPr>
          <w:rFonts w:hint="eastAsia"/>
          <w:lang w:val="en-US" w:eastAsia="zh-CN"/>
        </w:rPr>
        <w:t xml:space="preserve"> 2025年度人员培训计划表</w:t>
      </w:r>
      <w:r>
        <w:tab/>
      </w:r>
      <w:r>
        <w:fldChar w:fldCharType="begin"/>
      </w:r>
      <w:r>
        <w:instrText xml:space="preserve"> PAGEREF _Toc30846 \h </w:instrText>
      </w:r>
      <w:r>
        <w:fldChar w:fldCharType="separate"/>
      </w:r>
      <w:r>
        <w:t>8</w:t>
      </w:r>
      <w:r>
        <w:fldChar w:fldCharType="end"/>
      </w:r>
      <w:r>
        <w:fldChar w:fldCharType="end"/>
      </w:r>
    </w:p>
    <w:p w14:paraId="75DDBC17">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_Toc4139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4 </w:t>
      </w:r>
      <w:r>
        <w:rPr>
          <w:rFonts w:hint="eastAsia"/>
          <w:lang w:val="en-US" w:eastAsia="zh-CN"/>
        </w:rPr>
        <w:t xml:space="preserve"> 2025年度人员培训预算汇总表</w:t>
      </w:r>
      <w:r>
        <w:tab/>
      </w:r>
      <w:r>
        <w:fldChar w:fldCharType="begin"/>
      </w:r>
      <w:r>
        <w:instrText xml:space="preserve"> PAGEREF _Toc4139 \h </w:instrText>
      </w:r>
      <w:r>
        <w:fldChar w:fldCharType="separate"/>
      </w:r>
      <w:r>
        <w:t>10</w:t>
      </w:r>
      <w:r>
        <w:fldChar w:fldCharType="end"/>
      </w:r>
      <w:r>
        <w:fldChar w:fldCharType="end"/>
      </w:r>
    </w:p>
    <w:p w14:paraId="49C53AE9">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_Toc24930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5 </w:t>
      </w:r>
      <w:r>
        <w:rPr>
          <w:rFonts w:hint="eastAsia"/>
          <w:lang w:val="en-US" w:eastAsia="zh-CN"/>
        </w:rPr>
        <w:t xml:space="preserve"> 2025年度人员关键岗位备份计划表</w:t>
      </w:r>
      <w:r>
        <w:tab/>
      </w:r>
      <w:r>
        <w:fldChar w:fldCharType="begin"/>
      </w:r>
      <w:r>
        <w:instrText xml:space="preserve"> PAGEREF _Toc24930 \h </w:instrText>
      </w:r>
      <w:r>
        <w:fldChar w:fldCharType="separate"/>
      </w:r>
      <w:r>
        <w:t>10</w:t>
      </w:r>
      <w:r>
        <w:fldChar w:fldCharType="end"/>
      </w:r>
      <w:r>
        <w:fldChar w:fldCharType="end"/>
      </w:r>
    </w:p>
    <w:p w14:paraId="77DA2C0C">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_Toc22467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6 </w:t>
      </w:r>
      <w:r>
        <w:rPr>
          <w:rFonts w:hint="eastAsia"/>
          <w:lang w:val="en-US" w:eastAsia="zh-CN"/>
        </w:rPr>
        <w:t xml:space="preserve"> 2025年度人员绩效考核计划表</w:t>
      </w:r>
      <w:r>
        <w:tab/>
      </w:r>
      <w:r>
        <w:fldChar w:fldCharType="begin"/>
      </w:r>
      <w:r>
        <w:instrText xml:space="preserve"> PAGEREF _Toc22467 \h </w:instrText>
      </w:r>
      <w:r>
        <w:fldChar w:fldCharType="separate"/>
      </w:r>
      <w:r>
        <w:t>11</w:t>
      </w:r>
      <w:r>
        <w:fldChar w:fldCharType="end"/>
      </w:r>
      <w:r>
        <w:fldChar w:fldCharType="end"/>
      </w:r>
    </w:p>
    <w:p w14:paraId="6FD845E8">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_Toc10937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7 </w:t>
      </w:r>
      <w:r>
        <w:rPr>
          <w:rFonts w:hint="eastAsia"/>
          <w:lang w:val="en-US" w:eastAsia="zh-CN"/>
        </w:rPr>
        <w:t xml:space="preserve"> 2025年度人员能力评价周期表</w:t>
      </w:r>
      <w:r>
        <w:tab/>
      </w:r>
      <w:r>
        <w:fldChar w:fldCharType="begin"/>
      </w:r>
      <w:r>
        <w:instrText xml:space="preserve"> PAGEREF _Toc10937 \h </w:instrText>
      </w:r>
      <w:r>
        <w:fldChar w:fldCharType="separate"/>
      </w:r>
      <w:r>
        <w:t>11</w:t>
      </w:r>
      <w:r>
        <w:fldChar w:fldCharType="end"/>
      </w:r>
      <w:r>
        <w:fldChar w:fldCharType="end"/>
      </w:r>
    </w:p>
    <w:p w14:paraId="07910EFC">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_Toc20978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8 </w:t>
      </w:r>
      <w:r>
        <w:rPr>
          <w:rFonts w:hint="eastAsia"/>
          <w:lang w:val="en-US" w:eastAsia="zh-CN"/>
        </w:rPr>
        <w:t xml:space="preserve"> 2025年度人员能力等级划分表</w:t>
      </w:r>
      <w:r>
        <w:tab/>
      </w:r>
      <w:r>
        <w:fldChar w:fldCharType="begin"/>
      </w:r>
      <w:r>
        <w:instrText xml:space="preserve"> PAGEREF _Toc20978 \h </w:instrText>
      </w:r>
      <w:r>
        <w:fldChar w:fldCharType="separate"/>
      </w:r>
      <w:r>
        <w:t>12</w:t>
      </w:r>
      <w:r>
        <w:fldChar w:fldCharType="end"/>
      </w:r>
      <w:r>
        <w:fldChar w:fldCharType="end"/>
      </w:r>
    </w:p>
    <w:p w14:paraId="7D2A588F">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_Toc20104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9 </w:t>
      </w:r>
      <w:r>
        <w:rPr>
          <w:rFonts w:hint="eastAsia"/>
          <w:lang w:val="en-US" w:eastAsia="zh-CN"/>
        </w:rPr>
        <w:t xml:space="preserve"> 2025年度人员能力评价内容表</w:t>
      </w:r>
      <w:r>
        <w:tab/>
      </w:r>
      <w:r>
        <w:fldChar w:fldCharType="begin"/>
      </w:r>
      <w:r>
        <w:instrText xml:space="preserve"> PAGEREF _Toc20104 \h </w:instrText>
      </w:r>
      <w:r>
        <w:fldChar w:fldCharType="separate"/>
      </w:r>
      <w:r>
        <w:t>12</w:t>
      </w:r>
      <w:r>
        <w:fldChar w:fldCharType="end"/>
      </w:r>
      <w:r>
        <w:fldChar w:fldCharType="end"/>
      </w:r>
    </w:p>
    <w:p w14:paraId="562CB802">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_Toc30347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10 </w:t>
      </w:r>
      <w:r>
        <w:rPr>
          <w:rFonts w:hint="eastAsia"/>
          <w:lang w:val="en-US" w:eastAsia="zh-CN"/>
        </w:rPr>
        <w:t xml:space="preserve"> 2025年度人员能力评价结果应用表</w:t>
      </w:r>
      <w:r>
        <w:tab/>
      </w:r>
      <w:r>
        <w:fldChar w:fldCharType="begin"/>
      </w:r>
      <w:r>
        <w:instrText xml:space="preserve"> PAGEREF _Toc30347 \h </w:instrText>
      </w:r>
      <w:r>
        <w:fldChar w:fldCharType="separate"/>
      </w:r>
      <w:r>
        <w:t>12</w:t>
      </w:r>
      <w:r>
        <w:fldChar w:fldCharType="end"/>
      </w:r>
      <w:r>
        <w:fldChar w:fldCharType="end"/>
      </w:r>
    </w:p>
    <w:p w14:paraId="218FE5D5">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fldChar w:fldCharType="end"/>
      </w:r>
    </w:p>
    <w:p w14:paraId="5EBF0CD6">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65BAC8F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31767"/>
      <w:r>
        <w:rPr>
          <w:rFonts w:hint="default"/>
          <w:lang w:val="en-US" w:eastAsia="zh-CN"/>
        </w:rPr>
        <w:t>公司现状分析</w:t>
      </w:r>
      <w:bookmarkEnd w:id="1"/>
    </w:p>
    <w:p w14:paraId="1A3E101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lang w:val="en-US" w:eastAsia="zh-CN"/>
        </w:rPr>
        <w:t>我司</w:t>
      </w:r>
      <w:r>
        <w:rPr>
          <w:rFonts w:hint="eastAsia"/>
        </w:rPr>
        <w:t>是一家提供新能源行业智慧企业解决方案和SaaS服务的创新型互联网企业。已通过了国家高新技术企业和双软认证，我们在工业数据采集传输、集中监控、数据可视化展示、大数据分析和设备状态监测方面积累了非常丰富的经验，智能监控和智能运维产品获得了多项专利和软著，客户分布于北京、河北、山东、内蒙古、新疆、湖北、湖南、浙江、江西、广东、云南等省市区。</w:t>
      </w:r>
    </w:p>
    <w:p w14:paraId="28AB51E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我们的核心团队由国内风电机组领先厂商业务专家和信息技术专家组成，专注、专业、尽职、尽责，为能源行业提供领先的智能集中监控、大数据分析和智能化电站解决方案。我们始终把客户的利益和关切放在第一位，竭诚提供完善高效的产品和服务。</w:t>
      </w:r>
    </w:p>
    <w:p w14:paraId="70D1B40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我们的核心产品有:远程集中值班系统、工业数据采集系统、风电场大数据分析系统、能量管理平台、光伏大数据分析系统、数据采集系统、光伏智能运维系统、诊断分析系统、用电侧大数据分析系统、移动监视系统、风场SCADA系统、风机叶片远程听诊系统等。</w:t>
      </w:r>
    </w:p>
    <w:p w14:paraId="09B9470E">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18316"/>
      <w:r>
        <w:rPr>
          <w:rFonts w:hint="default"/>
          <w:lang w:val="en-US" w:eastAsia="zh-CN"/>
        </w:rPr>
        <w:t>优势分析</w:t>
      </w:r>
      <w:bookmarkEnd w:id="2"/>
    </w:p>
    <w:p w14:paraId="5281593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公司已建立较为完善的组织架构，明确了运维部、研发部、产品质量部、综合部等部门的职责分工</w:t>
      </w:r>
    </w:p>
    <w:p w14:paraId="39B1013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已完成《运维服务能力管理制度》《运维服务能力改进管理制度》等核心制度的制定</w:t>
      </w:r>
    </w:p>
    <w:p w14:paraId="5C76552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已配备iTop运维管理平台和</w:t>
      </w:r>
      <w:r>
        <w:rPr>
          <w:rFonts w:hint="eastAsia"/>
          <w:lang w:val="en-US" w:eastAsia="zh-CN"/>
        </w:rPr>
        <w:t>华风数据</w:t>
      </w:r>
      <w:r>
        <w:rPr>
          <w:rFonts w:hint="default"/>
          <w:lang w:val="en-US" w:eastAsia="zh-CN"/>
        </w:rPr>
        <w:t>运维监控平台等工具</w:t>
      </w:r>
    </w:p>
    <w:p w14:paraId="0F6CEB1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已建立服务台、备件库、服务知识等资源管理机制</w:t>
      </w:r>
    </w:p>
    <w:p w14:paraId="774143A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3633"/>
      <w:r>
        <w:rPr>
          <w:rFonts w:hint="default"/>
          <w:lang w:val="en-US" w:eastAsia="zh-CN"/>
        </w:rPr>
        <w:t>运维业务分析</w:t>
      </w:r>
      <w:bookmarkEnd w:id="3"/>
    </w:p>
    <w:p w14:paraId="0FF35A2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组织架构完善：公司已建立与ITSS标准匹配的组织架构，设立运维部、研发部、产品质量部、综合部、采购部、应急管理部等职能部门</w:t>
      </w:r>
    </w:p>
    <w:p w14:paraId="1C24FD6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制度体系健全：已完成人员管理、资源管理、过程管理、质量管理等核心制度共40余份文件的编制</w:t>
      </w:r>
    </w:p>
    <w:p w14:paraId="137B2EF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工具支撑有力：已部署iTop运维管理平台和</w:t>
      </w:r>
      <w:r>
        <w:rPr>
          <w:rFonts w:hint="eastAsia"/>
          <w:lang w:val="en-US" w:eastAsia="zh-CN"/>
        </w:rPr>
        <w:t>华风数据</w:t>
      </w:r>
      <w:r>
        <w:rPr>
          <w:rFonts w:hint="default"/>
          <w:lang w:val="en-US" w:eastAsia="zh-CN"/>
        </w:rPr>
        <w:t>运维监控平台，实现运维流程的数字化管理</w:t>
      </w:r>
    </w:p>
    <w:p w14:paraId="3CDC867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项目经验积累：已承接多个运维项目，积累了丰富的硬件巡检、故障处理、应急响应等实战经验</w:t>
      </w:r>
    </w:p>
    <w:p w14:paraId="5EEC026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9427"/>
      <w:r>
        <w:rPr>
          <w:rFonts w:hint="default"/>
          <w:lang w:val="en-US" w:eastAsia="zh-CN"/>
        </w:rPr>
        <w:t>年度运维服务能力计划</w:t>
      </w:r>
      <w:bookmarkEnd w:id="4"/>
    </w:p>
    <w:p w14:paraId="5FFDC85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为实现公司运维服务的标准化、规范化，2025年公司将按照ITSS能力成熟度模型三级的要求，从人员、资源、技术、过程、</w:t>
      </w:r>
      <w:r>
        <w:rPr>
          <w:rFonts w:hint="eastAsia"/>
          <w:lang w:val="en-US" w:eastAsia="zh-CN"/>
        </w:rPr>
        <w:t>交付、应急和</w:t>
      </w:r>
      <w:r>
        <w:rPr>
          <w:rFonts w:hint="default"/>
          <w:lang w:val="en-US" w:eastAsia="zh-CN"/>
        </w:rPr>
        <w:t>质量等方面进行全面规划，持续提升运维服务能力。</w:t>
      </w:r>
    </w:p>
    <w:p w14:paraId="412C1057">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8990"/>
      <w:r>
        <w:rPr>
          <w:rFonts w:hint="default"/>
          <w:lang w:val="en-US" w:eastAsia="zh-CN"/>
        </w:rPr>
        <w:t>人员管理规划</w:t>
      </w:r>
      <w:bookmarkEnd w:id="5"/>
    </w:p>
    <w:p w14:paraId="1801ABC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11018"/>
      <w:r>
        <w:rPr>
          <w:rFonts w:hint="eastAsia"/>
          <w:lang w:val="en-US" w:eastAsia="zh-CN"/>
        </w:rPr>
        <w:t>人员招聘计划</w:t>
      </w:r>
      <w:bookmarkEnd w:id="6"/>
    </w:p>
    <w:p w14:paraId="04D31ED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保障公司2025年度运维服务业务的正常开展，满足各部门人员配置需求，确保关键岗位及时补充，根据公司战略发展目标和年度人员编制计划，制定本招聘计划。招聘工作遵循“按需招聘、择优录用、人岗匹配”的原则。</w:t>
      </w:r>
    </w:p>
    <w:p w14:paraId="073F71CC">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20059"/>
      <w:r>
        <w:rPr>
          <w:rFonts w:hint="eastAsia"/>
          <w:lang w:val="en-US" w:eastAsia="zh-CN"/>
        </w:rPr>
        <w:t xml:space="preserve"> 2025年度人员招聘计划表</w:t>
      </w:r>
      <w:bookmarkEnd w:id="7"/>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15"/>
        <w:gridCol w:w="1049"/>
        <w:gridCol w:w="1484"/>
        <w:gridCol w:w="1707"/>
        <w:gridCol w:w="1181"/>
        <w:gridCol w:w="561"/>
        <w:gridCol w:w="561"/>
        <w:gridCol w:w="561"/>
        <w:gridCol w:w="561"/>
      </w:tblGrid>
      <w:tr w14:paraId="2C6982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2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36B505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10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123A13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部门</w:t>
            </w:r>
          </w:p>
        </w:tc>
        <w:tc>
          <w:tcPr>
            <w:tcW w:w="158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217BD5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岗位名称</w:t>
            </w:r>
          </w:p>
        </w:tc>
        <w:tc>
          <w:tcPr>
            <w:tcW w:w="183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49A993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计划招聘总人数</w:t>
            </w:r>
          </w:p>
        </w:tc>
        <w:tc>
          <w:tcPr>
            <w:tcW w:w="125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C15A34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招聘方式</w:t>
            </w:r>
          </w:p>
        </w:tc>
        <w:tc>
          <w:tcPr>
            <w:tcW w:w="46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D1ADEF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Q1</w:t>
            </w:r>
          </w:p>
        </w:tc>
        <w:tc>
          <w:tcPr>
            <w:tcW w:w="46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44AE0A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Q2</w:t>
            </w:r>
          </w:p>
        </w:tc>
        <w:tc>
          <w:tcPr>
            <w:tcW w:w="46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1DDC1D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Q3</w:t>
            </w:r>
          </w:p>
        </w:tc>
        <w:tc>
          <w:tcPr>
            <w:tcW w:w="46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D3367C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Q4</w:t>
            </w:r>
          </w:p>
        </w:tc>
      </w:tr>
      <w:tr w14:paraId="4F4FA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DD6DCC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119F4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E0264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运维项目经理</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7361C8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9FE665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招聘网站/内部储备</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582A1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57E0ED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49613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F544C7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r>
      <w:tr w14:paraId="7B3A37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52B296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0AD76E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D9EB89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硬件运维工程师</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49C0C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C2F22E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F6023A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9711C9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1798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4DC68A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r>
      <w:tr w14:paraId="33D88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610DB3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8329C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FAD08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服务台专员</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2500B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ABBEB8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55F4F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E454E4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0C30B4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BE02B4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r>
      <w:tr w14:paraId="423814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C6A7E8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5A0C29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CD7CF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EACBDB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E0D6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337B5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536751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42D843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3F1AAF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r>
      <w:tr w14:paraId="33E2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781E42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78890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产品质量部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884653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产品质量部专员</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3E5AB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A3688F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17CCE0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E9A5F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0A9C00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C4C96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r>
      <w:tr w14:paraId="00ABD5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F8F2C2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合计</w:t>
            </w:r>
          </w:p>
        </w:tc>
        <w:tc>
          <w:tcPr>
            <w:tcW w:w="110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5C2910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58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7A70E2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83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0E7436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6</w:t>
            </w:r>
          </w:p>
        </w:tc>
        <w:tc>
          <w:tcPr>
            <w:tcW w:w="125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8E934C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46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57B01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b/>
              </w:rPr>
            </w:pPr>
            <w:r>
              <w:rPr>
                <w:b/>
              </w:rPr>
              <w:t>2</w:t>
            </w:r>
          </w:p>
        </w:tc>
        <w:tc>
          <w:tcPr>
            <w:tcW w:w="46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2190E1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1</w:t>
            </w:r>
          </w:p>
        </w:tc>
        <w:tc>
          <w:tcPr>
            <w:tcW w:w="46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E2D8B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2</w:t>
            </w:r>
          </w:p>
        </w:tc>
        <w:tc>
          <w:tcPr>
            <w:tcW w:w="46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D84824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1</w:t>
            </w:r>
          </w:p>
        </w:tc>
      </w:tr>
    </w:tbl>
    <w:p w14:paraId="6170D15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KPI指标：人员招聘计划达成率</w:t>
      </w:r>
    </w:p>
    <w:p w14:paraId="206B5BB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人员招聘计划达成率是反映年度招聘计划完成情况的量化指标，其计算公式为：人员招聘计划达成率 = (实际</w:t>
      </w:r>
      <w:r>
        <w:rPr>
          <w:rFonts w:hint="eastAsia"/>
          <w:lang w:val="en-US" w:eastAsia="zh-CN"/>
        </w:rPr>
        <w:t>招聘</w:t>
      </w:r>
      <w:r>
        <w:rPr>
          <w:rFonts w:hint="default"/>
          <w:lang w:val="en-US" w:eastAsia="zh-CN"/>
        </w:rPr>
        <w:t>人数</w:t>
      </w:r>
      <w:r>
        <w:rPr>
          <w:rFonts w:hint="eastAsia"/>
          <w:lang w:val="en-US" w:eastAsia="zh-CN"/>
        </w:rPr>
        <w:t>/</w:t>
      </w:r>
      <w:r>
        <w:rPr>
          <w:rFonts w:hint="default"/>
          <w:lang w:val="en-US" w:eastAsia="zh-CN"/>
        </w:rPr>
        <w:t>计划招聘人数) × 100%。目标值为 ≥ 80%，按季度进行考核，责任部门为综合部。</w:t>
      </w:r>
    </w:p>
    <w:p w14:paraId="5B9ACA23">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3890"/>
      <w:r>
        <w:rPr>
          <w:rFonts w:hint="eastAsia"/>
          <w:lang w:val="en-US" w:eastAsia="zh-CN"/>
        </w:rPr>
        <w:t>人员储备计划</w:t>
      </w:r>
      <w:bookmarkEnd w:id="8"/>
    </w:p>
    <w:p w14:paraId="7D37C41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为保障公司关键岗位人员变动的连续性，降低因人员流失、岗位调整带来的业务风险，建立可持续的人才供给机制，特制定本储备计划。储备工作遵循“提前规划、定向培养、动态管理”的原则，通过内部培养与外部引进相结合的方式，为公司运维服务能力建设提供稳定的人才梯队支持，确保关键岗位空缺时能够快速补位。</w:t>
      </w:r>
    </w:p>
    <w:p w14:paraId="0754835D">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hAnsi="Segoe UI" w:eastAsia="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9" w:name="_Toc16473"/>
      <w:r>
        <w:rPr>
          <w:rFonts w:hint="eastAsia"/>
          <w:lang w:val="en-US" w:eastAsia="zh-CN"/>
        </w:rPr>
        <w:t xml:space="preserve"> 2025年度人员内部储备计划表</w:t>
      </w:r>
      <w:bookmarkEnd w:id="9"/>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07"/>
        <w:gridCol w:w="1743"/>
        <w:gridCol w:w="1728"/>
        <w:gridCol w:w="1310"/>
        <w:gridCol w:w="1716"/>
        <w:gridCol w:w="1318"/>
      </w:tblGrid>
      <w:tr w14:paraId="52EB1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tblHeader/>
          <w:jc w:val="center"/>
        </w:trPr>
        <w:tc>
          <w:tcPr>
            <w:tcW w:w="707"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1F00B9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序号</w:t>
            </w:r>
          </w:p>
        </w:tc>
        <w:tc>
          <w:tcPr>
            <w:tcW w:w="1743"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44EBC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计划完成时间</w:t>
            </w:r>
          </w:p>
        </w:tc>
        <w:tc>
          <w:tcPr>
            <w:tcW w:w="172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17CED0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储备岗位</w:t>
            </w:r>
          </w:p>
        </w:tc>
        <w:tc>
          <w:tcPr>
            <w:tcW w:w="131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719E74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储备方式</w:t>
            </w:r>
          </w:p>
        </w:tc>
        <w:tc>
          <w:tcPr>
            <w:tcW w:w="1716"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25465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储备目标人数</w:t>
            </w:r>
          </w:p>
        </w:tc>
        <w:tc>
          <w:tcPr>
            <w:tcW w:w="1317"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098F883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储备来源</w:t>
            </w:r>
          </w:p>
        </w:tc>
      </w:tr>
      <w:tr w14:paraId="2ECD3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1117D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w:t>
            </w:r>
          </w:p>
        </w:tc>
        <w:tc>
          <w:tcPr>
            <w:tcW w:w="174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126898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2025年6月</w:t>
            </w:r>
          </w:p>
        </w:tc>
        <w:tc>
          <w:tcPr>
            <w:tcW w:w="172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A17152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运维项目经理</w:t>
            </w:r>
          </w:p>
        </w:tc>
        <w:tc>
          <w:tcPr>
            <w:tcW w:w="131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1775D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内部培养</w:t>
            </w:r>
          </w:p>
        </w:tc>
        <w:tc>
          <w:tcPr>
            <w:tcW w:w="171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ABE5A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1人</w:t>
            </w:r>
          </w:p>
        </w:tc>
        <w:tc>
          <w:tcPr>
            <w:tcW w:w="131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5221B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内部选拔</w:t>
            </w:r>
          </w:p>
        </w:tc>
      </w:tr>
      <w:tr w14:paraId="14E6B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C5E11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w:t>
            </w:r>
          </w:p>
        </w:tc>
        <w:tc>
          <w:tcPr>
            <w:tcW w:w="1743"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4ADB52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2025年12月</w:t>
            </w:r>
          </w:p>
        </w:tc>
        <w:tc>
          <w:tcPr>
            <w:tcW w:w="172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651CBF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研发工程师</w:t>
            </w:r>
          </w:p>
        </w:tc>
        <w:tc>
          <w:tcPr>
            <w:tcW w:w="131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984DA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内部培养</w:t>
            </w:r>
          </w:p>
        </w:tc>
        <w:tc>
          <w:tcPr>
            <w:tcW w:w="1716"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94211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1人</w:t>
            </w:r>
          </w:p>
        </w:tc>
        <w:tc>
          <w:tcPr>
            <w:tcW w:w="1317"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CD05B1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内部选拔</w:t>
            </w:r>
          </w:p>
        </w:tc>
      </w:tr>
    </w:tbl>
    <w:p w14:paraId="307C5A0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KPI指标：人员储备计划达成率</w:t>
      </w:r>
    </w:p>
    <w:p w14:paraId="13C2F27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人员储备计划达成率是反映关键岗位内部储备计划完成情况的量化指标，其计算公式为：人员储备计划达成率 = (实际储备人数 / 计划储备人数) × 100%。目标值为 ≥ 80%，按季度进行考核，责任部门为综合部。</w:t>
      </w:r>
    </w:p>
    <w:p w14:paraId="416135E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8709"/>
      <w:r>
        <w:rPr>
          <w:rFonts w:hint="eastAsia"/>
          <w:lang w:val="en-US" w:eastAsia="zh-CN"/>
        </w:rPr>
        <w:t>人员培训计划</w:t>
      </w:r>
      <w:bookmarkEnd w:id="10"/>
    </w:p>
    <w:p w14:paraId="7BDD0ED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为提升员工的专业</w:t>
      </w:r>
      <w:r>
        <w:rPr>
          <w:rFonts w:hint="eastAsia" w:ascii="Segoe UI" w:hAnsi="Segoe UI" w:eastAsia="宋体" w:cs="Segoe UI"/>
          <w:i w:val="0"/>
          <w:iCs w:val="0"/>
          <w:caps w:val="0"/>
          <w:color w:val="0F1115"/>
          <w:spacing w:val="0"/>
          <w:sz w:val="24"/>
          <w:szCs w:val="24"/>
          <w:shd w:val="clear" w:color="auto" w:fill="FFFFFF"/>
          <w:lang w:eastAsia="zh-CN"/>
        </w:rPr>
        <w:t>能力</w:t>
      </w:r>
      <w:r>
        <w:rPr>
          <w:rFonts w:ascii="Segoe UI" w:hAnsi="Segoe UI" w:eastAsia="Segoe UI" w:cs="Segoe UI"/>
          <w:i w:val="0"/>
          <w:iCs w:val="0"/>
          <w:caps w:val="0"/>
          <w:color w:val="0F1115"/>
          <w:spacing w:val="0"/>
          <w:sz w:val="24"/>
          <w:szCs w:val="24"/>
          <w:shd w:val="clear" w:color="auto" w:fill="FFFFFF"/>
        </w:rPr>
        <w:t>和综合素质，确保运维服务人员能力满足岗位要求，根据《人员培训管理制度》制定2025年度培训计划。培训主要分为管理、技术、操作三个方向，综合部对培训情况进行汇总并对相关课件进行统一归档。</w:t>
      </w:r>
    </w:p>
    <w:p w14:paraId="3A13A6F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p>
    <w:p w14:paraId="4E74467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sectPr>
          <w:pgSz w:w="11906" w:h="16838"/>
          <w:pgMar w:top="1440" w:right="1800" w:bottom="1440" w:left="1800" w:header="851" w:footer="992" w:gutter="0"/>
          <w:cols w:space="425" w:num="1"/>
          <w:docGrid w:type="lines" w:linePitch="312" w:charSpace="0"/>
        </w:sectPr>
      </w:pPr>
    </w:p>
    <w:p w14:paraId="4953C31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hAnsi="Segoe UI" w:eastAsia="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1" w:name="_Toc30846"/>
      <w:r>
        <w:rPr>
          <w:rFonts w:hint="eastAsia"/>
          <w:lang w:val="en-US" w:eastAsia="zh-CN"/>
        </w:rPr>
        <w:t xml:space="preserve"> 2025年度人员培训计划表</w:t>
      </w:r>
      <w:bookmarkEnd w:id="11"/>
    </w:p>
    <w:tbl>
      <w:tblPr>
        <w:tblStyle w:val="23"/>
        <w:tblW w:w="1417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07"/>
        <w:gridCol w:w="888"/>
        <w:gridCol w:w="2427"/>
        <w:gridCol w:w="911"/>
        <w:gridCol w:w="1642"/>
        <w:gridCol w:w="1260"/>
        <w:gridCol w:w="885"/>
        <w:gridCol w:w="1532"/>
        <w:gridCol w:w="1258"/>
        <w:gridCol w:w="1453"/>
        <w:gridCol w:w="1211"/>
      </w:tblGrid>
      <w:tr w14:paraId="48DACD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707"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8EF436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类型</w:t>
            </w:r>
          </w:p>
        </w:tc>
        <w:tc>
          <w:tcPr>
            <w:tcW w:w="88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AC429F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序号</w:t>
            </w:r>
          </w:p>
        </w:tc>
        <w:tc>
          <w:tcPr>
            <w:tcW w:w="242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B1FC93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培训内容</w:t>
            </w:r>
          </w:p>
        </w:tc>
        <w:tc>
          <w:tcPr>
            <w:tcW w:w="91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D1B0B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时长</w:t>
            </w:r>
          </w:p>
        </w:tc>
        <w:tc>
          <w:tcPr>
            <w:tcW w:w="164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2732CC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培训对象</w:t>
            </w:r>
          </w:p>
        </w:tc>
        <w:tc>
          <w:tcPr>
            <w:tcW w:w="126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B2923B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培训老师</w:t>
            </w:r>
          </w:p>
        </w:tc>
        <w:tc>
          <w:tcPr>
            <w:tcW w:w="88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B59C06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方式</w:t>
            </w:r>
          </w:p>
        </w:tc>
        <w:tc>
          <w:tcPr>
            <w:tcW w:w="153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51426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计划时间</w:t>
            </w:r>
          </w:p>
        </w:tc>
        <w:tc>
          <w:tcPr>
            <w:tcW w:w="125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FA4134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考核方式</w:t>
            </w:r>
          </w:p>
        </w:tc>
        <w:tc>
          <w:tcPr>
            <w:tcW w:w="1453"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4F8A3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负责部门</w:t>
            </w:r>
          </w:p>
        </w:tc>
        <w:tc>
          <w:tcPr>
            <w:tcW w:w="121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22A820A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snapToGrid w:val="0"/>
                <w:color w:val="000000"/>
                <w:spacing w:val="0"/>
                <w:kern w:val="0"/>
                <w:sz w:val="22"/>
                <w:szCs w:val="22"/>
                <w:lang w:val="en-US" w:eastAsia="zh-CN"/>
              </w:rPr>
            </w:pPr>
            <w:r>
              <w:rPr>
                <w:rFonts w:hint="default" w:ascii="Segoe UI" w:hAnsi="Segoe UI" w:eastAsia="Segoe UI" w:cs="Segoe UI"/>
                <w:b/>
                <w:i w:val="0"/>
                <w:iCs w:val="0"/>
                <w:caps w:val="0"/>
                <w:snapToGrid w:val="0"/>
                <w:color w:val="000000"/>
                <w:spacing w:val="0"/>
                <w:kern w:val="0"/>
                <w:sz w:val="22"/>
                <w:szCs w:val="22"/>
                <w:lang w:val="en-US" w:eastAsia="zh-CN"/>
              </w:rPr>
              <w:t>预算</w:t>
            </w:r>
          </w:p>
          <w:p w14:paraId="68514C8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(元)</w:t>
            </w:r>
          </w:p>
        </w:tc>
      </w:tr>
      <w:tr w14:paraId="61A67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707775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43DAE4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CA9EE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新员工入职培训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EFE95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2.5h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F37FA2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入职新员工</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33657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黄剑锋</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244F1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ADA7E6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入职一周内</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E6DB5E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BF2C8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72FBC0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62992B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C07DA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E618E6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EF0A6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ITSS运维体系培训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ACD975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5E4C0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部门经理</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AF886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外部专家</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83F0A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7EC60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2025年1月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957C69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3AA2E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72AF57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4000</w:t>
            </w:r>
          </w:p>
        </w:tc>
      </w:tr>
      <w:tr w14:paraId="268ED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706331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08B9CB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094F7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质量管理培训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29CC9A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0974B2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部门经理</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296D9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熊振翔</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28BBEC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B19E7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2025年2月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BC040C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615EA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5B5B25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1200</w:t>
            </w:r>
          </w:p>
        </w:tc>
      </w:tr>
      <w:tr w14:paraId="59B2A9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0CCBA4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2607CB9">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BD1F80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现场实施规范</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14754A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57FD8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9674B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姚耿桂</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C8E8EA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FCEF95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2025年3月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F32C3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4EE77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E23422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1200</w:t>
            </w:r>
          </w:p>
        </w:tc>
      </w:tr>
      <w:tr w14:paraId="400323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391BD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EE6289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0A78C7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运维工具培训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88DFD7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913F4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运维相关人员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B6C85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姚耿桂</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56CC4B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DDDD6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2025年4月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017F02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心得总结</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ED3F16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E5A75B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800</w:t>
            </w:r>
          </w:p>
        </w:tc>
      </w:tr>
      <w:tr w14:paraId="65B8FE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7C408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8896751">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8849B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机房常见故障培训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0E5AB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D37981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709835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姚耿桂</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F968FC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37E834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2025年6月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FCE31F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13C3A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ADA7F1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34E15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05E6B2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AB3E7A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5F445C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交付规范培训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F63E52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BEF874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7F140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姚耿桂</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2F75CC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6CD84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2025年6月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E34A60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3C31E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EEAFF3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1200</w:t>
            </w:r>
          </w:p>
        </w:tc>
      </w:tr>
      <w:tr w14:paraId="59BCC4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7B2C43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F3DDCA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7D9A6F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监控系统培训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0AD592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34CC2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DE5CA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厂商</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8AC8DB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4204F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2025年7月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59759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261050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C0BB79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5200</w:t>
            </w:r>
          </w:p>
        </w:tc>
      </w:tr>
      <w:tr w14:paraId="5D94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60108E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操作</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F71E48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855D06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w:t>
            </w:r>
            <w:r>
              <w:rPr>
                <w:rFonts w:hint="eastAsia" w:ascii="Segoe UI" w:hAnsi="Segoe UI" w:eastAsia="Segoe UI" w:cs="Segoe UI"/>
                <w:i w:val="0"/>
                <w:iCs w:val="0"/>
                <w:caps w:val="0"/>
                <w:snapToGrid w:val="0"/>
                <w:color w:val="000000"/>
                <w:spacing w:val="0"/>
                <w:kern w:val="0"/>
                <w:sz w:val="22"/>
                <w:szCs w:val="22"/>
                <w:lang w:val="en-US" w:eastAsia="zh-CN"/>
              </w:rPr>
              <w:t>知识</w:t>
            </w:r>
            <w:r>
              <w:rPr>
                <w:rFonts w:hint="default" w:ascii="Segoe UI" w:hAnsi="Segoe UI" w:eastAsia="Segoe UI" w:cs="Segoe UI"/>
                <w:i w:val="0"/>
                <w:iCs w:val="0"/>
                <w:caps w:val="0"/>
                <w:snapToGrid w:val="0"/>
                <w:color w:val="000000"/>
                <w:spacing w:val="0"/>
                <w:kern w:val="0"/>
                <w:sz w:val="22"/>
                <w:szCs w:val="22"/>
                <w:lang w:val="en-US" w:eastAsia="zh-CN"/>
              </w:rPr>
              <w:t>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F5D0A7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A319EB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服务台专员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8A382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姚耿桂</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FA984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37B7D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2025年8月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5ED542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BC5B94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354BC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79DFFE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08326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EAC5171">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1E3D5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22"/>
                <w:szCs w:val="22"/>
                <w:lang w:val="en-US" w:eastAsia="zh-CN"/>
              </w:rPr>
            </w:pPr>
            <w:r>
              <w:rPr>
                <w:rFonts w:hint="eastAsia" w:ascii="Segoe UI" w:hAnsi="Segoe UI" w:eastAsia="宋体" w:cs="Segoe UI"/>
                <w:i w:val="0"/>
                <w:iCs w:val="0"/>
                <w:caps w:val="0"/>
                <w:color w:val="0F1115"/>
                <w:spacing w:val="0"/>
                <w:sz w:val="22"/>
                <w:szCs w:val="22"/>
                <w:lang w:val="en-US" w:eastAsia="zh-CN"/>
              </w:rPr>
              <w:t>研发管理规范培训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F67B9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D4165F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运维相关人员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8917E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22"/>
                <w:szCs w:val="22"/>
                <w:lang w:val="en-US" w:eastAsia="zh-CN"/>
              </w:rPr>
            </w:pPr>
            <w:r>
              <w:rPr>
                <w:rFonts w:hint="eastAsia" w:ascii="Segoe UI" w:hAnsi="Segoe UI" w:eastAsia="宋体" w:cs="Segoe UI"/>
                <w:i w:val="0"/>
                <w:iCs w:val="0"/>
                <w:caps w:val="0"/>
                <w:color w:val="0F1115"/>
                <w:spacing w:val="0"/>
                <w:sz w:val="22"/>
                <w:szCs w:val="22"/>
                <w:lang w:val="en-US" w:eastAsia="zh-CN"/>
              </w:rPr>
              <w:t>黄正宇</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188D1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4F1CB7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2025年9月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E9691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9CBA3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183AB5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3F154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4E65B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80A270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381882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机房设备基础知识培训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7C2084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D8FBFE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入职新员工</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8B3DB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姚耿桂</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3514D7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73856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2025年</w:t>
            </w:r>
            <w:r>
              <w:rPr>
                <w:rFonts w:hint="eastAsia" w:ascii="Segoe UI" w:hAnsi="Segoe UI" w:eastAsia="Segoe UI" w:cs="Segoe UI"/>
                <w:i w:val="0"/>
                <w:iCs w:val="0"/>
                <w:caps w:val="0"/>
                <w:snapToGrid w:val="0"/>
                <w:color w:val="000000"/>
                <w:spacing w:val="0"/>
                <w:kern w:val="0"/>
                <w:sz w:val="22"/>
                <w:szCs w:val="22"/>
                <w:lang w:val="en-US" w:eastAsia="zh-CN"/>
              </w:rPr>
              <w:t>10</w:t>
            </w:r>
            <w:r>
              <w:rPr>
                <w:rFonts w:hint="default" w:ascii="Segoe UI" w:hAnsi="Segoe UI" w:eastAsia="Segoe UI" w:cs="Segoe UI"/>
                <w:i w:val="0"/>
                <w:iCs w:val="0"/>
                <w:caps w:val="0"/>
                <w:snapToGrid w:val="0"/>
                <w:color w:val="000000"/>
                <w:spacing w:val="0"/>
                <w:kern w:val="0"/>
                <w:sz w:val="22"/>
                <w:szCs w:val="22"/>
                <w:lang w:val="en-US" w:eastAsia="zh-CN"/>
              </w:rPr>
              <w:t>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541108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B4CB0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73CEC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800</w:t>
            </w:r>
          </w:p>
        </w:tc>
      </w:tr>
      <w:tr w14:paraId="792BE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574CD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2F4C226">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9D8DD2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信息安全风险培训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68887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7AB16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运维相关人员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7C068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外部专家</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6ACBD2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804E3A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2025年11月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522705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DD62FB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507E07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4800</w:t>
            </w:r>
          </w:p>
        </w:tc>
      </w:tr>
      <w:tr w14:paraId="0D03BF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825498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操作</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F71D242">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663DB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备件管理制度培训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0FDC7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1.5h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2B7409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备件管理人员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18B665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刘文桂</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19E43F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5A30FC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2025年12月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488E9F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EEFD1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备件库</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DDDC18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36939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209F6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合计</w:t>
            </w:r>
          </w:p>
        </w:tc>
        <w:tc>
          <w:tcPr>
            <w:tcW w:w="88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6268C9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242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EE10E1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91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0229AA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22"/>
                <w:szCs w:val="22"/>
              </w:rPr>
            </w:pPr>
          </w:p>
        </w:tc>
        <w:tc>
          <w:tcPr>
            <w:tcW w:w="164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CD0418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22"/>
                <w:szCs w:val="22"/>
              </w:rPr>
            </w:pPr>
          </w:p>
        </w:tc>
        <w:tc>
          <w:tcPr>
            <w:tcW w:w="126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383116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88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F6931B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22"/>
                <w:szCs w:val="22"/>
              </w:rPr>
            </w:pPr>
          </w:p>
        </w:tc>
        <w:tc>
          <w:tcPr>
            <w:tcW w:w="153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7512FC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25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E9CCAA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453"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68297E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21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395869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21700</w:t>
            </w:r>
          </w:p>
        </w:tc>
      </w:tr>
    </w:tbl>
    <w:p w14:paraId="13A0C11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sectPr>
          <w:pgSz w:w="16838" w:h="11906" w:orient="landscape"/>
          <w:pgMar w:top="1800" w:right="1440" w:bottom="1800" w:left="1440" w:header="851" w:footer="992" w:gutter="0"/>
          <w:cols w:space="425" w:num="1"/>
          <w:docGrid w:type="lines" w:linePitch="312" w:charSpace="0"/>
        </w:sectPr>
      </w:pPr>
      <w:r>
        <w:rPr>
          <w:rFonts w:hint="eastAsia" w:ascii="Segoe UI" w:hAnsi="Segoe UI" w:eastAsia="Segoe UI" w:cs="Segoe UI"/>
          <w:i w:val="0"/>
          <w:iCs w:val="0"/>
          <w:caps w:val="0"/>
          <w:color w:val="0F1115"/>
          <w:spacing w:val="0"/>
          <w:sz w:val="24"/>
          <w:szCs w:val="24"/>
          <w:shd w:val="clear" w:color="auto" w:fill="FFFFFF"/>
          <w:lang w:val="en-US" w:eastAsia="zh-CN"/>
        </w:rPr>
        <w:br w:type="page"/>
      </w:r>
    </w:p>
    <w:p w14:paraId="6C3B34F7">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2" w:name="_Toc4139"/>
      <w:r>
        <w:rPr>
          <w:rFonts w:hint="eastAsia"/>
          <w:lang w:val="en-US" w:eastAsia="zh-CN"/>
        </w:rPr>
        <w:t xml:space="preserve"> 2025年度人员培训预算汇总表</w:t>
      </w:r>
      <w:bookmarkEnd w:id="12"/>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09"/>
        <w:gridCol w:w="2576"/>
        <w:gridCol w:w="4237"/>
      </w:tblGrid>
      <w:tr w14:paraId="2D436B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0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3BE988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部门</w:t>
            </w:r>
          </w:p>
        </w:tc>
        <w:tc>
          <w:tcPr>
            <w:tcW w:w="2576"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DBC65F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预算金额（元）</w:t>
            </w:r>
          </w:p>
        </w:tc>
        <w:tc>
          <w:tcPr>
            <w:tcW w:w="4237"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4986DC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说明</w:t>
            </w:r>
          </w:p>
        </w:tc>
      </w:tr>
      <w:tr w14:paraId="4220C1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CD7DF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FA4FC1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19000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E0866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内训+外训</w:t>
            </w:r>
          </w:p>
        </w:tc>
      </w:tr>
      <w:tr w14:paraId="533D3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F636C3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430291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A8A4E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研发管理规范培训</w:t>
            </w:r>
          </w:p>
        </w:tc>
      </w:tr>
      <w:tr w14:paraId="3481FE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BEF600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31E29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2DFE0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质量管理培训</w:t>
            </w:r>
          </w:p>
        </w:tc>
      </w:tr>
      <w:tr w14:paraId="61CBEA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4BF53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93A0A5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500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1A73E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新员工入职培训</w:t>
            </w:r>
          </w:p>
        </w:tc>
      </w:tr>
      <w:tr w14:paraId="2EB9F5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997695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22"/>
                <w:szCs w:val="22"/>
                <w:lang w:val="en-US" w:eastAsia="zh-CN"/>
              </w:rPr>
            </w:pPr>
            <w:r>
              <w:rPr>
                <w:rFonts w:hint="eastAsia" w:ascii="Segoe UI" w:hAnsi="Segoe UI" w:eastAsia="Segoe UI" w:cs="Segoe UI"/>
                <w:i w:val="0"/>
                <w:iCs w:val="0"/>
                <w:caps w:val="0"/>
                <w:snapToGrid w:val="0"/>
                <w:color w:val="000000"/>
                <w:spacing w:val="0"/>
                <w:kern w:val="0"/>
                <w:sz w:val="22"/>
                <w:szCs w:val="22"/>
                <w:lang w:val="en-US" w:eastAsia="zh-CN"/>
              </w:rPr>
              <w:t>备件库</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E67E63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22"/>
                <w:szCs w:val="22"/>
                <w:lang w:val="en-US" w:eastAsia="zh-CN"/>
              </w:rPr>
            </w:pPr>
            <w:r>
              <w:rPr>
                <w:rFonts w:hint="eastAsia" w:ascii="Segoe UI" w:hAnsi="Segoe UI" w:eastAsia="Segoe UI" w:cs="Segoe UI"/>
                <w:i w:val="0"/>
                <w:iCs w:val="0"/>
                <w:caps w:val="0"/>
                <w:snapToGrid w:val="0"/>
                <w:color w:val="000000"/>
                <w:spacing w:val="0"/>
                <w:kern w:val="0"/>
                <w:sz w:val="22"/>
                <w:szCs w:val="22"/>
                <w:lang w:val="en-US" w:eastAsia="zh-CN"/>
              </w:rPr>
              <w:t>500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ED58E1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22"/>
                <w:szCs w:val="22"/>
                <w:lang w:val="en-US" w:eastAsia="zh-CN"/>
              </w:rPr>
            </w:pPr>
            <w:r>
              <w:rPr>
                <w:rFonts w:hint="eastAsia" w:ascii="Segoe UI" w:hAnsi="Segoe UI" w:eastAsia="Segoe UI" w:cs="Segoe UI"/>
                <w:i w:val="0"/>
                <w:iCs w:val="0"/>
                <w:caps w:val="0"/>
                <w:snapToGrid w:val="0"/>
                <w:color w:val="000000"/>
                <w:spacing w:val="0"/>
                <w:kern w:val="0"/>
                <w:sz w:val="22"/>
                <w:szCs w:val="22"/>
                <w:lang w:val="en-US" w:eastAsia="zh-CN"/>
              </w:rPr>
              <w:t>备件管理培训</w:t>
            </w:r>
          </w:p>
        </w:tc>
      </w:tr>
      <w:tr w14:paraId="18FD0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547EF5C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总计</w:t>
            </w:r>
          </w:p>
        </w:tc>
        <w:tc>
          <w:tcPr>
            <w:tcW w:w="2576"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BC156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21700</w:t>
            </w:r>
          </w:p>
        </w:tc>
        <w:tc>
          <w:tcPr>
            <w:tcW w:w="4237"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7B2EFC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ascii="Segoe UI" w:hAnsi="Segoe UI" w:eastAsia="Segoe UI" w:cs="Segoe UI"/>
                <w:b/>
                <w:i w:val="0"/>
                <w:iCs w:val="0"/>
                <w:caps w:val="0"/>
                <w:color w:val="0F1115"/>
                <w:spacing w:val="0"/>
                <w:sz w:val="22"/>
                <w:szCs w:val="22"/>
              </w:rPr>
            </w:pPr>
          </w:p>
        </w:tc>
      </w:tr>
    </w:tbl>
    <w:p w14:paraId="09B38DE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KPI指标：人员培训计划达成率</w:t>
      </w:r>
    </w:p>
    <w:p w14:paraId="0C79607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xml:space="preserve">人员培训计划达成率是反映年度培训计划执行情况的量化指标，其计算公式为：人员培训计划达成率 = </w:t>
      </w:r>
      <w:r>
        <w:rPr>
          <w:rFonts w:hint="default"/>
          <w:lang w:val="en-US" w:eastAsia="zh-CN"/>
        </w:rPr>
        <w:t>（实际培训完成课程数/计划培训课程数）</w:t>
      </w:r>
      <w:r>
        <w:rPr>
          <w:rFonts w:hint="eastAsia"/>
          <w:lang w:val="en-US" w:eastAsia="zh-CN"/>
        </w:rPr>
        <w:t xml:space="preserve"> × 100%。目标值为 ≥ 90%，按季度进行考核，责任部门为综合部。</w:t>
      </w:r>
    </w:p>
    <w:p w14:paraId="4968E65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4056"/>
      <w:r>
        <w:rPr>
          <w:rFonts w:hint="eastAsia"/>
          <w:lang w:val="en-US" w:eastAsia="zh-CN"/>
        </w:rPr>
        <w:t>人员备份计划</w:t>
      </w:r>
      <w:bookmarkEnd w:id="13"/>
    </w:p>
    <w:p w14:paraId="3D19FA2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按照《人员备份管理制度》要求，对关键岗位进行备份管理，确保关键岗位人员因各种原因无法履职时能够迅速接替，保障业务连续性。</w:t>
      </w:r>
    </w:p>
    <w:p w14:paraId="1E89717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4" w:name="_Toc24930"/>
      <w:r>
        <w:rPr>
          <w:rFonts w:hint="eastAsia"/>
          <w:lang w:val="en-US" w:eastAsia="zh-CN"/>
        </w:rPr>
        <w:t xml:space="preserve"> 2025年度人员关键岗位备份计划表</w:t>
      </w:r>
      <w:bookmarkEnd w:id="14"/>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7"/>
        <w:gridCol w:w="2032"/>
        <w:gridCol w:w="1810"/>
        <w:gridCol w:w="1502"/>
        <w:gridCol w:w="1811"/>
      </w:tblGrid>
      <w:tr w14:paraId="747FDF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367"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1B0A02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部门</w:t>
            </w:r>
          </w:p>
        </w:tc>
        <w:tc>
          <w:tcPr>
            <w:tcW w:w="203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76DF16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A岗位</w:t>
            </w:r>
          </w:p>
        </w:tc>
        <w:tc>
          <w:tcPr>
            <w:tcW w:w="181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E27ABF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B岗</w:t>
            </w:r>
          </w:p>
        </w:tc>
        <w:tc>
          <w:tcPr>
            <w:tcW w:w="150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5611D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备份要求</w:t>
            </w:r>
          </w:p>
        </w:tc>
        <w:tc>
          <w:tcPr>
            <w:tcW w:w="181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6C9FF6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计划完成时间</w:t>
            </w:r>
          </w:p>
        </w:tc>
      </w:tr>
      <w:tr w14:paraId="173338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3EF22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20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01F524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w:t>
            </w:r>
          </w:p>
        </w:tc>
        <w:tc>
          <w:tcPr>
            <w:tcW w:w="181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EF6D61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运维项目经理</w:t>
            </w:r>
          </w:p>
        </w:tc>
        <w:tc>
          <w:tcPr>
            <w:tcW w:w="15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DEAA4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A16A9C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2025年3月</w:t>
            </w:r>
          </w:p>
        </w:tc>
      </w:tr>
      <w:tr w14:paraId="79F61B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18F3AC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20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2BABC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研发部经理</w:t>
            </w:r>
          </w:p>
        </w:tc>
        <w:tc>
          <w:tcPr>
            <w:tcW w:w="181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DF10F6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研发工程师</w:t>
            </w:r>
          </w:p>
        </w:tc>
        <w:tc>
          <w:tcPr>
            <w:tcW w:w="15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CCE924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26BBDC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2025年4月</w:t>
            </w:r>
          </w:p>
        </w:tc>
      </w:tr>
      <w:tr w14:paraId="036E8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53B6CC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w:t>
            </w:r>
          </w:p>
        </w:tc>
        <w:tc>
          <w:tcPr>
            <w:tcW w:w="20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2D822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产品质量部经理</w:t>
            </w:r>
          </w:p>
        </w:tc>
        <w:tc>
          <w:tcPr>
            <w:tcW w:w="181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34844C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产品质量部专员</w:t>
            </w:r>
          </w:p>
        </w:tc>
        <w:tc>
          <w:tcPr>
            <w:tcW w:w="15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9019E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B022FF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2025年9月</w:t>
            </w:r>
          </w:p>
        </w:tc>
      </w:tr>
      <w:tr w14:paraId="707C41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1CEBE9E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c>
          <w:tcPr>
            <w:tcW w:w="203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24BDB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综合部经理</w:t>
            </w:r>
          </w:p>
        </w:tc>
        <w:tc>
          <w:tcPr>
            <w:tcW w:w="181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D6D4D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人事专员</w:t>
            </w:r>
          </w:p>
        </w:tc>
        <w:tc>
          <w:tcPr>
            <w:tcW w:w="150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A2DD1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3E5BD4D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2025年10月</w:t>
            </w:r>
          </w:p>
        </w:tc>
      </w:tr>
    </w:tbl>
    <w:p w14:paraId="13C8435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KPI指标：备份人员能力达标率</w:t>
      </w:r>
    </w:p>
    <w:p w14:paraId="35889A4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备份人员能力达标率是反映关键岗位备份人员实际履职能力的量化指标，其计算公式为：备份人员能力达标率 = (能力验证合格的备份人员数 / 备份人员总数) × 100%。目标值为 ≥ 90%，按季度进行考核，责任部门为综合部。</w:t>
      </w:r>
    </w:p>
    <w:p w14:paraId="0E324CD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26341"/>
      <w:r>
        <w:rPr>
          <w:rFonts w:hint="eastAsia"/>
          <w:lang w:val="en-US" w:eastAsia="zh-CN"/>
        </w:rPr>
        <w:t>人员绩效考核计划</w:t>
      </w:r>
      <w:bookmarkEnd w:id="15"/>
    </w:p>
    <w:p w14:paraId="0117441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按照《人员绩效考核及</w:t>
      </w:r>
      <w:r>
        <w:rPr>
          <w:rFonts w:hint="eastAsia" w:ascii="Segoe UI" w:hAnsi="Segoe UI" w:eastAsia="宋体" w:cs="Segoe UI"/>
          <w:i w:val="0"/>
          <w:iCs w:val="0"/>
          <w:caps w:val="0"/>
          <w:color w:val="0F1115"/>
          <w:spacing w:val="0"/>
          <w:sz w:val="24"/>
          <w:szCs w:val="24"/>
          <w:shd w:val="clear" w:color="auto" w:fill="FFFFFF"/>
          <w:lang w:eastAsia="zh-CN"/>
        </w:rPr>
        <w:t>能力</w:t>
      </w:r>
      <w:r>
        <w:rPr>
          <w:rFonts w:ascii="Segoe UI" w:hAnsi="Segoe UI" w:eastAsia="Segoe UI" w:cs="Segoe UI"/>
          <w:i w:val="0"/>
          <w:iCs w:val="0"/>
          <w:caps w:val="0"/>
          <w:color w:val="0F1115"/>
          <w:spacing w:val="0"/>
          <w:sz w:val="24"/>
          <w:szCs w:val="24"/>
          <w:shd w:val="clear" w:color="auto" w:fill="FFFFFF"/>
        </w:rPr>
        <w:t>评价管理制度》，对全体员工进行绩效考核，确保考核公平、公正、及时完成，考核结果与薪酬调整、岗位晋升、培训需求识别等挂钩。</w:t>
      </w:r>
    </w:p>
    <w:p w14:paraId="62D1DE53">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16" w:name="_Toc22467"/>
      <w:r>
        <w:rPr>
          <w:rFonts w:hint="eastAsia"/>
          <w:lang w:val="en-US" w:eastAsia="zh-CN"/>
        </w:rPr>
        <w:t xml:space="preserve"> 2025年度人员绩效考核计划表</w:t>
      </w:r>
      <w:bookmarkEnd w:id="16"/>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3"/>
        <w:gridCol w:w="1952"/>
        <w:gridCol w:w="1679"/>
        <w:gridCol w:w="1827"/>
        <w:gridCol w:w="1681"/>
      </w:tblGrid>
      <w:tr w14:paraId="39ECE2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383"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310ECA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考核类型</w:t>
            </w:r>
          </w:p>
        </w:tc>
        <w:tc>
          <w:tcPr>
            <w:tcW w:w="195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8A85E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考核周期</w:t>
            </w:r>
          </w:p>
        </w:tc>
        <w:tc>
          <w:tcPr>
            <w:tcW w:w="167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9964D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考核对象</w:t>
            </w:r>
          </w:p>
        </w:tc>
        <w:tc>
          <w:tcPr>
            <w:tcW w:w="182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B4D174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考核时间</w:t>
            </w:r>
          </w:p>
        </w:tc>
        <w:tc>
          <w:tcPr>
            <w:tcW w:w="168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3DCCC2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3187D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7E836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月度考核</w:t>
            </w:r>
          </w:p>
        </w:tc>
        <w:tc>
          <w:tcPr>
            <w:tcW w:w="195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7FADA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每月一次</w:t>
            </w:r>
          </w:p>
        </w:tc>
        <w:tc>
          <w:tcPr>
            <w:tcW w:w="16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DF57A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75738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每月5日前</w:t>
            </w:r>
          </w:p>
        </w:tc>
        <w:tc>
          <w:tcPr>
            <w:tcW w:w="16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27777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r>
      <w:tr w14:paraId="1C8E30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FD7377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季度考核</w:t>
            </w:r>
          </w:p>
        </w:tc>
        <w:tc>
          <w:tcPr>
            <w:tcW w:w="195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E9575C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每季度一次</w:t>
            </w:r>
          </w:p>
        </w:tc>
        <w:tc>
          <w:tcPr>
            <w:tcW w:w="16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391909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81DC8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每季度末</w:t>
            </w:r>
          </w:p>
        </w:tc>
        <w:tc>
          <w:tcPr>
            <w:tcW w:w="16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172B9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r>
      <w:tr w14:paraId="622702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7D38D0C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年度考核</w:t>
            </w:r>
          </w:p>
        </w:tc>
        <w:tc>
          <w:tcPr>
            <w:tcW w:w="195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CE9C06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每年一次</w:t>
            </w:r>
          </w:p>
        </w:tc>
        <w:tc>
          <w:tcPr>
            <w:tcW w:w="167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E8EBAF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6F0922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12月</w:t>
            </w:r>
          </w:p>
        </w:tc>
        <w:tc>
          <w:tcPr>
            <w:tcW w:w="168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63261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r>
    </w:tbl>
    <w:p w14:paraId="7296271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KPI指标：绩效考核及时完成率</w:t>
      </w:r>
    </w:p>
    <w:p w14:paraId="4778D9F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绩效考核及时完成率是反映绩效考核工作按时完成情况的量化指标，其计算公式为：绩效考核及时完成率 = (按时完成绩效考核的员工数 / 应参加绩效考核总人数) × 100%。目标值为 100%，按月度进行考核，责任部门为综合部。</w:t>
      </w:r>
    </w:p>
    <w:p w14:paraId="6268F42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1503"/>
      <w:r>
        <w:rPr>
          <w:rFonts w:hint="eastAsia"/>
          <w:lang w:val="en-US" w:eastAsia="zh-CN"/>
        </w:rPr>
        <w:t>人员能力评价计划</w:t>
      </w:r>
      <w:bookmarkEnd w:id="17"/>
    </w:p>
    <w:p w14:paraId="7B121FF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为科学评估员工专业</w:t>
      </w:r>
      <w:r>
        <w:rPr>
          <w:rFonts w:hint="eastAsia" w:ascii="Segoe UI" w:hAnsi="Segoe UI" w:eastAsia="宋体" w:cs="Segoe UI"/>
          <w:i w:val="0"/>
          <w:iCs w:val="0"/>
          <w:caps w:val="0"/>
          <w:color w:val="0F1115"/>
          <w:spacing w:val="0"/>
          <w:sz w:val="24"/>
          <w:szCs w:val="24"/>
          <w:shd w:val="clear" w:color="auto" w:fill="FFFFFF"/>
          <w:lang w:eastAsia="zh-CN"/>
        </w:rPr>
        <w:t>能力</w:t>
      </w:r>
      <w:r>
        <w:rPr>
          <w:rFonts w:ascii="Segoe UI" w:hAnsi="Segoe UI" w:eastAsia="Segoe UI" w:cs="Segoe UI"/>
          <w:i w:val="0"/>
          <w:iCs w:val="0"/>
          <w:caps w:val="0"/>
          <w:color w:val="0F1115"/>
          <w:spacing w:val="0"/>
          <w:sz w:val="24"/>
          <w:szCs w:val="24"/>
          <w:shd w:val="clear" w:color="auto" w:fill="FFFFFF"/>
        </w:rPr>
        <w:t>水平，识别能力短板，为岗位任职、晋升调薪、培训需求提供依据，特制定本</w:t>
      </w:r>
      <w:r>
        <w:rPr>
          <w:rFonts w:hint="eastAsia" w:ascii="Segoe UI" w:hAnsi="Segoe UI" w:eastAsia="宋体" w:cs="Segoe UI"/>
          <w:i w:val="0"/>
          <w:iCs w:val="0"/>
          <w:caps w:val="0"/>
          <w:color w:val="0F1115"/>
          <w:spacing w:val="0"/>
          <w:sz w:val="24"/>
          <w:szCs w:val="24"/>
          <w:shd w:val="clear" w:color="auto" w:fill="FFFFFF"/>
          <w:lang w:eastAsia="zh-CN"/>
        </w:rPr>
        <w:t>能力评价</w:t>
      </w:r>
      <w:r>
        <w:rPr>
          <w:rFonts w:ascii="Segoe UI" w:hAnsi="Segoe UI" w:eastAsia="Segoe UI" w:cs="Segoe UI"/>
          <w:i w:val="0"/>
          <w:iCs w:val="0"/>
          <w:caps w:val="0"/>
          <w:color w:val="0F1115"/>
          <w:spacing w:val="0"/>
          <w:sz w:val="24"/>
          <w:szCs w:val="24"/>
          <w:shd w:val="clear" w:color="auto" w:fill="FFFFFF"/>
        </w:rPr>
        <w:t>计划。评定工作遵循“客观公正、注重实效、持续改进”的原则，采用笔试、实操、案例答辩相结合的方式进行。</w:t>
      </w:r>
    </w:p>
    <w:p w14:paraId="6F681D7F">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18" w:name="_Toc10937"/>
      <w:r>
        <w:rPr>
          <w:rFonts w:hint="eastAsia"/>
          <w:lang w:val="en-US" w:eastAsia="zh-CN"/>
        </w:rPr>
        <w:t xml:space="preserve"> 2025年度人员能力评价周期表</w:t>
      </w:r>
      <w:bookmarkEnd w:id="1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6"/>
        <w:gridCol w:w="1590"/>
        <w:gridCol w:w="1813"/>
        <w:gridCol w:w="1949"/>
        <w:gridCol w:w="1374"/>
      </w:tblGrid>
      <w:tr w14:paraId="334CA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9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3C4697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评定类型</w:t>
            </w:r>
          </w:p>
        </w:tc>
        <w:tc>
          <w:tcPr>
            <w:tcW w:w="159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0A872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评定周期</w:t>
            </w:r>
          </w:p>
        </w:tc>
        <w:tc>
          <w:tcPr>
            <w:tcW w:w="1813"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65F86E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评定对象</w:t>
            </w:r>
          </w:p>
        </w:tc>
        <w:tc>
          <w:tcPr>
            <w:tcW w:w="194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6A8D1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评定时间</w:t>
            </w:r>
          </w:p>
        </w:tc>
        <w:tc>
          <w:tcPr>
            <w:tcW w:w="1373"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30DBB31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4BEA6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827F7A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半年度</w:t>
            </w:r>
            <w:r>
              <w:rPr>
                <w:rFonts w:hint="eastAsia" w:ascii="Segoe UI" w:hAnsi="Segoe UI" w:eastAsia="Segoe UI" w:cs="Segoe UI"/>
                <w:i w:val="0"/>
                <w:iCs w:val="0"/>
                <w:caps w:val="0"/>
                <w:snapToGrid w:val="0"/>
                <w:color w:val="000000"/>
                <w:spacing w:val="0"/>
                <w:kern w:val="0"/>
                <w:sz w:val="22"/>
                <w:szCs w:val="22"/>
                <w:lang w:val="en-US" w:eastAsia="zh-CN"/>
              </w:rPr>
              <w:t>能力评价</w:t>
            </w:r>
          </w:p>
        </w:tc>
        <w:tc>
          <w:tcPr>
            <w:tcW w:w="159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E95AA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每半年一次</w:t>
            </w:r>
          </w:p>
        </w:tc>
        <w:tc>
          <w:tcPr>
            <w:tcW w:w="181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70B261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94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D3B97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每年6月、12月</w:t>
            </w:r>
          </w:p>
        </w:tc>
        <w:tc>
          <w:tcPr>
            <w:tcW w:w="137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7B7F24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综合部</w:t>
            </w:r>
          </w:p>
        </w:tc>
      </w:tr>
      <w:tr w14:paraId="002DD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787F71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w:t>
            </w:r>
            <w:r>
              <w:rPr>
                <w:rFonts w:hint="eastAsia" w:ascii="Segoe UI" w:hAnsi="Segoe UI" w:eastAsia="Segoe UI" w:cs="Segoe UI"/>
                <w:i w:val="0"/>
                <w:iCs w:val="0"/>
                <w:caps w:val="0"/>
                <w:snapToGrid w:val="0"/>
                <w:color w:val="000000"/>
                <w:spacing w:val="0"/>
                <w:kern w:val="0"/>
                <w:sz w:val="22"/>
                <w:szCs w:val="22"/>
                <w:lang w:val="en-US" w:eastAsia="zh-CN"/>
              </w:rPr>
              <w:t>能力评价</w:t>
            </w:r>
          </w:p>
        </w:tc>
        <w:tc>
          <w:tcPr>
            <w:tcW w:w="159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EA1A9A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入职时</w:t>
            </w:r>
          </w:p>
        </w:tc>
        <w:tc>
          <w:tcPr>
            <w:tcW w:w="181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2F5610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w:t>
            </w:r>
          </w:p>
        </w:tc>
        <w:tc>
          <w:tcPr>
            <w:tcW w:w="194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1EB2D7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试用期内</w:t>
            </w:r>
          </w:p>
        </w:tc>
        <w:tc>
          <w:tcPr>
            <w:tcW w:w="137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676307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3F9CB7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004F06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w:t>
            </w:r>
            <w:r>
              <w:rPr>
                <w:rFonts w:hint="eastAsia" w:ascii="Segoe UI" w:hAnsi="Segoe UI" w:eastAsia="Segoe UI" w:cs="Segoe UI"/>
                <w:i w:val="0"/>
                <w:iCs w:val="0"/>
                <w:caps w:val="0"/>
                <w:snapToGrid w:val="0"/>
                <w:color w:val="000000"/>
                <w:spacing w:val="0"/>
                <w:kern w:val="0"/>
                <w:sz w:val="22"/>
                <w:szCs w:val="22"/>
                <w:lang w:val="en-US" w:eastAsia="zh-CN"/>
              </w:rPr>
              <w:t>能力评价</w:t>
            </w:r>
          </w:p>
        </w:tc>
        <w:tc>
          <w:tcPr>
            <w:tcW w:w="159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E47896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晋升前</w:t>
            </w:r>
          </w:p>
        </w:tc>
        <w:tc>
          <w:tcPr>
            <w:tcW w:w="1813"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199DA1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申请晋升人员</w:t>
            </w:r>
          </w:p>
        </w:tc>
        <w:tc>
          <w:tcPr>
            <w:tcW w:w="194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E8D84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晋升评审前</w:t>
            </w:r>
          </w:p>
        </w:tc>
        <w:tc>
          <w:tcPr>
            <w:tcW w:w="1373"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1955B68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r>
    </w:tbl>
    <w:p w14:paraId="12BA938A">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19" w:name="_Toc20978"/>
      <w:r>
        <w:rPr>
          <w:rFonts w:hint="eastAsia"/>
          <w:lang w:val="en-US" w:eastAsia="zh-CN"/>
        </w:rPr>
        <w:t xml:space="preserve"> 2025年度人员能力等级划分表</w:t>
      </w:r>
      <w:bookmarkEnd w:id="19"/>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8"/>
        <w:gridCol w:w="1330"/>
        <w:gridCol w:w="5674"/>
      </w:tblGrid>
      <w:tr w14:paraId="497FD8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18"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2A194F9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eastAsia" w:ascii="Segoe UI" w:hAnsi="Segoe UI" w:eastAsia="Segoe UI" w:cs="Segoe UI"/>
                <w:b/>
                <w:i w:val="0"/>
                <w:iCs w:val="0"/>
                <w:caps w:val="0"/>
                <w:snapToGrid w:val="0"/>
                <w:color w:val="000000"/>
                <w:spacing w:val="0"/>
                <w:kern w:val="0"/>
                <w:sz w:val="22"/>
                <w:szCs w:val="22"/>
                <w:lang w:val="en-US" w:eastAsia="zh-CN"/>
              </w:rPr>
              <w:t>能力</w:t>
            </w:r>
            <w:r>
              <w:rPr>
                <w:rFonts w:hint="default" w:ascii="Segoe UI" w:hAnsi="Segoe UI" w:eastAsia="Segoe UI" w:cs="Segoe UI"/>
                <w:b/>
                <w:i w:val="0"/>
                <w:iCs w:val="0"/>
                <w:caps w:val="0"/>
                <w:snapToGrid w:val="0"/>
                <w:color w:val="000000"/>
                <w:spacing w:val="0"/>
                <w:kern w:val="0"/>
                <w:sz w:val="22"/>
                <w:szCs w:val="22"/>
                <w:lang w:val="en-US" w:eastAsia="zh-CN"/>
              </w:rPr>
              <w:t>等级</w:t>
            </w:r>
          </w:p>
        </w:tc>
        <w:tc>
          <w:tcPr>
            <w:tcW w:w="133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3B5B8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评估分数</w:t>
            </w:r>
          </w:p>
        </w:tc>
        <w:tc>
          <w:tcPr>
            <w:tcW w:w="567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282DE2D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定义</w:t>
            </w:r>
          </w:p>
        </w:tc>
      </w:tr>
      <w:tr w14:paraId="6E8480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89D7E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A级（专家）</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A5D79B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90-100分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73C33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能够引领技术方向，技术创新；</w:t>
            </w:r>
            <w:r>
              <w:rPr>
                <w:rFonts w:hint="eastAsia" w:ascii="Segoe UI" w:hAnsi="Segoe UI" w:eastAsia="Segoe UI" w:cs="Segoe UI"/>
                <w:i w:val="0"/>
                <w:iCs w:val="0"/>
                <w:caps w:val="0"/>
                <w:snapToGrid w:val="0"/>
                <w:color w:val="000000"/>
                <w:spacing w:val="0"/>
                <w:kern w:val="0"/>
                <w:sz w:val="22"/>
                <w:szCs w:val="22"/>
                <w:lang w:val="en-US" w:eastAsia="zh-CN"/>
              </w:rPr>
              <w:t>能力</w:t>
            </w:r>
            <w:r>
              <w:rPr>
                <w:rFonts w:hint="default" w:ascii="Segoe UI" w:hAnsi="Segoe UI" w:eastAsia="Segoe UI" w:cs="Segoe UI"/>
                <w:i w:val="0"/>
                <w:iCs w:val="0"/>
                <w:caps w:val="0"/>
                <w:snapToGrid w:val="0"/>
                <w:color w:val="000000"/>
                <w:spacing w:val="0"/>
                <w:kern w:val="0"/>
                <w:sz w:val="22"/>
                <w:szCs w:val="22"/>
                <w:lang w:val="en-US" w:eastAsia="zh-CN"/>
              </w:rPr>
              <w:t>优秀，可担任导师或备份人员</w:t>
            </w:r>
          </w:p>
        </w:tc>
      </w:tr>
      <w:tr w14:paraId="78F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9646D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B级（高级）</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D7C47E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80-89分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B71099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能够解决疑难问题，指导他人；</w:t>
            </w:r>
            <w:r>
              <w:rPr>
                <w:rFonts w:hint="eastAsia" w:ascii="Segoe UI" w:hAnsi="Segoe UI" w:eastAsia="Segoe UI" w:cs="Segoe UI"/>
                <w:i w:val="0"/>
                <w:iCs w:val="0"/>
                <w:caps w:val="0"/>
                <w:snapToGrid w:val="0"/>
                <w:color w:val="000000"/>
                <w:spacing w:val="0"/>
                <w:kern w:val="0"/>
                <w:sz w:val="22"/>
                <w:szCs w:val="22"/>
                <w:lang w:val="en-US" w:eastAsia="zh-CN"/>
              </w:rPr>
              <w:t>能力</w:t>
            </w:r>
            <w:r>
              <w:rPr>
                <w:rFonts w:hint="default" w:ascii="Segoe UI" w:hAnsi="Segoe UI" w:eastAsia="Segoe UI" w:cs="Segoe UI"/>
                <w:i w:val="0"/>
                <w:iCs w:val="0"/>
                <w:caps w:val="0"/>
                <w:snapToGrid w:val="0"/>
                <w:color w:val="000000"/>
                <w:spacing w:val="0"/>
                <w:kern w:val="0"/>
                <w:sz w:val="22"/>
                <w:szCs w:val="22"/>
                <w:lang w:val="en-US" w:eastAsia="zh-CN"/>
              </w:rPr>
              <w:t>良好，可独立承担岗位工作</w:t>
            </w:r>
          </w:p>
        </w:tc>
      </w:tr>
      <w:tr w14:paraId="640C89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314E1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C级（中级）</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E8DD6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60-79分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CC4DF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能够独立处理复杂问题；</w:t>
            </w:r>
            <w:r>
              <w:rPr>
                <w:rFonts w:hint="eastAsia" w:ascii="Segoe UI" w:hAnsi="Segoe UI" w:eastAsia="Segoe UI" w:cs="Segoe UI"/>
                <w:i w:val="0"/>
                <w:iCs w:val="0"/>
                <w:caps w:val="0"/>
                <w:snapToGrid w:val="0"/>
                <w:color w:val="000000"/>
                <w:spacing w:val="0"/>
                <w:kern w:val="0"/>
                <w:sz w:val="22"/>
                <w:szCs w:val="22"/>
                <w:lang w:val="en-US" w:eastAsia="zh-CN"/>
              </w:rPr>
              <w:t>能力</w:t>
            </w:r>
            <w:r>
              <w:rPr>
                <w:rFonts w:hint="default" w:ascii="Segoe UI" w:hAnsi="Segoe UI" w:eastAsia="Segoe UI" w:cs="Segoe UI"/>
                <w:i w:val="0"/>
                <w:iCs w:val="0"/>
                <w:caps w:val="0"/>
                <w:snapToGrid w:val="0"/>
                <w:color w:val="000000"/>
                <w:spacing w:val="0"/>
                <w:kern w:val="0"/>
                <w:sz w:val="22"/>
                <w:szCs w:val="22"/>
                <w:lang w:val="en-US" w:eastAsia="zh-CN"/>
              </w:rPr>
              <w:t>合格，需持续提升</w:t>
            </w:r>
          </w:p>
        </w:tc>
      </w:tr>
      <w:tr w14:paraId="2E9F8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307189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D级（初级）</w:t>
            </w:r>
          </w:p>
        </w:tc>
        <w:tc>
          <w:tcPr>
            <w:tcW w:w="133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1B7CC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60分以下</w:t>
            </w:r>
          </w:p>
        </w:tc>
        <w:tc>
          <w:tcPr>
            <w:tcW w:w="567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221A6BC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能够独立完成基础运维工作；</w:t>
            </w:r>
            <w:r>
              <w:rPr>
                <w:rFonts w:hint="eastAsia" w:ascii="Segoe UI" w:hAnsi="Segoe UI" w:eastAsia="Segoe UI" w:cs="Segoe UI"/>
                <w:i w:val="0"/>
                <w:iCs w:val="0"/>
                <w:caps w:val="0"/>
                <w:snapToGrid w:val="0"/>
                <w:color w:val="000000"/>
                <w:spacing w:val="0"/>
                <w:kern w:val="0"/>
                <w:sz w:val="22"/>
                <w:szCs w:val="22"/>
                <w:lang w:val="en-US" w:eastAsia="zh-CN"/>
              </w:rPr>
              <w:t>能力</w:t>
            </w:r>
            <w:r>
              <w:rPr>
                <w:rFonts w:hint="default" w:ascii="Segoe UI" w:hAnsi="Segoe UI" w:eastAsia="Segoe UI" w:cs="Segoe UI"/>
                <w:i w:val="0"/>
                <w:iCs w:val="0"/>
                <w:caps w:val="0"/>
                <w:snapToGrid w:val="0"/>
                <w:color w:val="000000"/>
                <w:spacing w:val="0"/>
                <w:kern w:val="0"/>
                <w:sz w:val="22"/>
                <w:szCs w:val="22"/>
                <w:lang w:val="en-US" w:eastAsia="zh-CN"/>
              </w:rPr>
              <w:t>不足，需参加专项培训</w:t>
            </w:r>
          </w:p>
        </w:tc>
      </w:tr>
    </w:tbl>
    <w:p w14:paraId="4411FC66">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20" w:name="_Toc20104"/>
      <w:r>
        <w:rPr>
          <w:rFonts w:hint="eastAsia"/>
          <w:lang w:val="en-US" w:eastAsia="zh-CN"/>
        </w:rPr>
        <w:t xml:space="preserve"> 2025年度人员能力评价内容表</w:t>
      </w:r>
      <w:bookmarkEnd w:id="20"/>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19"/>
        <w:gridCol w:w="999"/>
        <w:gridCol w:w="3641"/>
        <w:gridCol w:w="2663"/>
      </w:tblGrid>
      <w:tr w14:paraId="104F4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21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767CD6E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评定维度</w:t>
            </w:r>
          </w:p>
        </w:tc>
        <w:tc>
          <w:tcPr>
            <w:tcW w:w="99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D60C1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权重</w:t>
            </w:r>
          </w:p>
        </w:tc>
        <w:tc>
          <w:tcPr>
            <w:tcW w:w="364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D27FE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评定内容</w:t>
            </w:r>
          </w:p>
        </w:tc>
        <w:tc>
          <w:tcPr>
            <w:tcW w:w="2662"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2B2A51F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评定方式</w:t>
            </w:r>
          </w:p>
        </w:tc>
      </w:tr>
      <w:tr w14:paraId="4E05B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490ED2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专业知识</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FE11C4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4F7AFC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岗位相关技术理论知识</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D98D8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笔试、面试</w:t>
            </w:r>
          </w:p>
        </w:tc>
      </w:tr>
      <w:tr w14:paraId="238B6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2E78A0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操作</w:t>
            </w:r>
            <w:r>
              <w:rPr>
                <w:rFonts w:hint="eastAsia" w:ascii="Segoe UI" w:hAnsi="Segoe UI" w:eastAsia="Segoe UI" w:cs="Segoe UI"/>
                <w:i w:val="0"/>
                <w:iCs w:val="0"/>
                <w:caps w:val="0"/>
                <w:snapToGrid w:val="0"/>
                <w:color w:val="000000"/>
                <w:spacing w:val="0"/>
                <w:kern w:val="0"/>
                <w:sz w:val="22"/>
                <w:szCs w:val="22"/>
                <w:lang w:val="en-US" w:eastAsia="zh-CN"/>
              </w:rPr>
              <w:t>能力</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280FB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DAEFBB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实际操作能力、故障处理能力</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3C620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实操考核、案例演练</w:t>
            </w:r>
          </w:p>
        </w:tc>
      </w:tr>
      <w:tr w14:paraId="29E33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FFF08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问题解决</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06B65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9A437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复杂问题分析、解决能力</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3E7BC6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案例答辩、工作成果</w:t>
            </w:r>
          </w:p>
        </w:tc>
      </w:tr>
      <w:tr w14:paraId="422E61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DE676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知识贡献</w:t>
            </w:r>
          </w:p>
        </w:tc>
        <w:tc>
          <w:tcPr>
            <w:tcW w:w="99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08259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w:t>
            </w:r>
          </w:p>
        </w:tc>
        <w:tc>
          <w:tcPr>
            <w:tcW w:w="364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A6DA36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知识库贡献、培训授课</w:t>
            </w:r>
          </w:p>
        </w:tc>
        <w:tc>
          <w:tcPr>
            <w:tcW w:w="2662"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D2923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知识库记录、培训记录</w:t>
            </w:r>
          </w:p>
        </w:tc>
      </w:tr>
    </w:tbl>
    <w:p w14:paraId="00E89985">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21" w:name="_Toc30347"/>
      <w:r>
        <w:rPr>
          <w:rFonts w:hint="eastAsia"/>
          <w:lang w:val="en-US" w:eastAsia="zh-CN"/>
        </w:rPr>
        <w:t xml:space="preserve"> 2025年度人员能力评价结果应用表</w:t>
      </w:r>
      <w:bookmarkEnd w:id="21"/>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1"/>
        <w:gridCol w:w="6241"/>
      </w:tblGrid>
      <w:tr w14:paraId="5E4523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228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E69B2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应用方向</w:t>
            </w:r>
          </w:p>
        </w:tc>
        <w:tc>
          <w:tcPr>
            <w:tcW w:w="624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0698D4F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具体方式</w:t>
            </w:r>
          </w:p>
        </w:tc>
      </w:tr>
      <w:tr w14:paraId="53D5C6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569BD1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岗位任职资格</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72D01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A/B级可担任关键岗位，C/D级需持续提升</w:t>
            </w:r>
          </w:p>
        </w:tc>
      </w:tr>
      <w:tr w14:paraId="13E1F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C471B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绩效奖金调节</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616510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能力</w:t>
            </w:r>
            <w:r>
              <w:rPr>
                <w:rFonts w:hint="default" w:ascii="Segoe UI" w:hAnsi="Segoe UI" w:eastAsia="Segoe UI" w:cs="Segoe UI"/>
                <w:i w:val="0"/>
                <w:iCs w:val="0"/>
                <w:caps w:val="0"/>
                <w:snapToGrid w:val="0"/>
                <w:color w:val="000000"/>
                <w:spacing w:val="0"/>
                <w:kern w:val="0"/>
                <w:sz w:val="22"/>
                <w:szCs w:val="22"/>
                <w:lang w:val="en-US" w:eastAsia="zh-CN"/>
              </w:rPr>
              <w:t>等级与绩效奖金系数挂钩</w:t>
            </w:r>
          </w:p>
        </w:tc>
      </w:tr>
      <w:tr w14:paraId="632A1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00BBEC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培训需求识别</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BE6AC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D级人员需参加专项培训</w:t>
            </w:r>
          </w:p>
        </w:tc>
      </w:tr>
      <w:tr w14:paraId="33561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70276B3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备份人员选拔</w:t>
            </w:r>
          </w:p>
        </w:tc>
        <w:tc>
          <w:tcPr>
            <w:tcW w:w="624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AFF11B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A/B级人员优先作为关键岗位备份</w:t>
            </w:r>
          </w:p>
        </w:tc>
      </w:tr>
    </w:tbl>
    <w:p w14:paraId="40207DD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能力</w:t>
      </w:r>
      <w:r>
        <w:rPr>
          <w:rFonts w:hint="default" w:ascii="Segoe UI" w:hAnsi="Segoe UI" w:eastAsia="Segoe UI" w:cs="Segoe UI"/>
          <w:i w:val="0"/>
          <w:iCs w:val="0"/>
          <w:caps w:val="0"/>
          <w:color w:val="0F1115"/>
          <w:spacing w:val="0"/>
          <w:sz w:val="24"/>
          <w:szCs w:val="24"/>
          <w:shd w:val="clear" w:color="auto" w:fill="FFFFFF"/>
          <w:lang w:val="en-US" w:eastAsia="zh-CN"/>
        </w:rPr>
        <w:t>评价覆盖率是反映员工</w:t>
      </w:r>
      <w:r>
        <w:rPr>
          <w:rFonts w:hint="eastAsia" w:ascii="Segoe UI" w:hAnsi="Segoe UI" w:eastAsia="Segoe UI" w:cs="Segoe UI"/>
          <w:i w:val="0"/>
          <w:iCs w:val="0"/>
          <w:caps w:val="0"/>
          <w:color w:val="0F1115"/>
          <w:spacing w:val="0"/>
          <w:sz w:val="24"/>
          <w:szCs w:val="24"/>
          <w:shd w:val="clear" w:color="auto" w:fill="FFFFFF"/>
          <w:lang w:val="en-US" w:eastAsia="zh-CN"/>
        </w:rPr>
        <w:t>能力评价</w:t>
      </w:r>
      <w:r>
        <w:rPr>
          <w:rFonts w:hint="default" w:ascii="Segoe UI" w:hAnsi="Segoe UI" w:eastAsia="Segoe UI" w:cs="Segoe UI"/>
          <w:i w:val="0"/>
          <w:iCs w:val="0"/>
          <w:caps w:val="0"/>
          <w:color w:val="0F1115"/>
          <w:spacing w:val="0"/>
          <w:sz w:val="24"/>
          <w:szCs w:val="24"/>
          <w:shd w:val="clear" w:color="auto" w:fill="FFFFFF"/>
          <w:lang w:val="en-US" w:eastAsia="zh-CN"/>
        </w:rPr>
        <w:t>工作覆盖广度的量化指标，其计算公式为：</w:t>
      </w:r>
      <w:r>
        <w:rPr>
          <w:rFonts w:hint="eastAsia" w:ascii="Segoe UI" w:hAnsi="Segoe UI" w:eastAsia="Segoe UI" w:cs="Segoe UI"/>
          <w:i w:val="0"/>
          <w:iCs w:val="0"/>
          <w:caps w:val="0"/>
          <w:color w:val="0F1115"/>
          <w:spacing w:val="0"/>
          <w:sz w:val="24"/>
          <w:szCs w:val="24"/>
          <w:shd w:val="clear" w:color="auto" w:fill="FFFFFF"/>
          <w:lang w:val="en-US" w:eastAsia="zh-CN"/>
        </w:rPr>
        <w:t>能力</w:t>
      </w:r>
      <w:r>
        <w:rPr>
          <w:rFonts w:hint="default" w:ascii="Segoe UI" w:hAnsi="Segoe UI" w:eastAsia="Segoe UI" w:cs="Segoe UI"/>
          <w:i w:val="0"/>
          <w:iCs w:val="0"/>
          <w:caps w:val="0"/>
          <w:color w:val="0F1115"/>
          <w:spacing w:val="0"/>
          <w:sz w:val="24"/>
          <w:szCs w:val="24"/>
          <w:shd w:val="clear" w:color="auto" w:fill="FFFFFF"/>
          <w:lang w:val="en-US" w:eastAsia="zh-CN"/>
        </w:rPr>
        <w:t>评价覆盖率 = (实际参加</w:t>
      </w:r>
      <w:r>
        <w:rPr>
          <w:rFonts w:hint="eastAsia" w:ascii="Segoe UI" w:hAnsi="Segoe UI" w:eastAsia="Segoe UI" w:cs="Segoe UI"/>
          <w:i w:val="0"/>
          <w:iCs w:val="0"/>
          <w:caps w:val="0"/>
          <w:color w:val="0F1115"/>
          <w:spacing w:val="0"/>
          <w:sz w:val="24"/>
          <w:szCs w:val="24"/>
          <w:shd w:val="clear" w:color="auto" w:fill="FFFFFF"/>
          <w:lang w:val="en-US" w:eastAsia="zh-CN"/>
        </w:rPr>
        <w:t>能力</w:t>
      </w:r>
      <w:r>
        <w:rPr>
          <w:rFonts w:hint="default" w:ascii="Segoe UI" w:hAnsi="Segoe UI" w:eastAsia="Segoe UI" w:cs="Segoe UI"/>
          <w:i w:val="0"/>
          <w:iCs w:val="0"/>
          <w:caps w:val="0"/>
          <w:color w:val="0F1115"/>
          <w:spacing w:val="0"/>
          <w:sz w:val="24"/>
          <w:szCs w:val="24"/>
          <w:shd w:val="clear" w:color="auto" w:fill="FFFFFF"/>
          <w:lang w:val="en-US" w:eastAsia="zh-CN"/>
        </w:rPr>
        <w:t>评价的员工数 / 应参加</w:t>
      </w:r>
      <w:r>
        <w:rPr>
          <w:rFonts w:hint="eastAsia" w:ascii="Segoe UI" w:hAnsi="Segoe UI" w:eastAsia="Segoe UI" w:cs="Segoe UI"/>
          <w:i w:val="0"/>
          <w:iCs w:val="0"/>
          <w:caps w:val="0"/>
          <w:color w:val="0F1115"/>
          <w:spacing w:val="0"/>
          <w:sz w:val="24"/>
          <w:szCs w:val="24"/>
          <w:shd w:val="clear" w:color="auto" w:fill="FFFFFF"/>
          <w:lang w:val="en-US" w:eastAsia="zh-CN"/>
        </w:rPr>
        <w:t>能力</w:t>
      </w:r>
      <w:r>
        <w:rPr>
          <w:rFonts w:hint="default" w:ascii="Segoe UI" w:hAnsi="Segoe UI" w:eastAsia="Segoe UI" w:cs="Segoe UI"/>
          <w:i w:val="0"/>
          <w:iCs w:val="0"/>
          <w:caps w:val="0"/>
          <w:color w:val="0F1115"/>
          <w:spacing w:val="0"/>
          <w:sz w:val="24"/>
          <w:szCs w:val="24"/>
          <w:shd w:val="clear" w:color="auto" w:fill="FFFFFF"/>
          <w:lang w:val="en-US" w:eastAsia="zh-CN"/>
        </w:rPr>
        <w:t>评价员工总数) × 100%。目标值为 100%，按半年度进行考核（每年6月、12月），责任部门为</w:t>
      </w:r>
      <w:r>
        <w:rPr>
          <w:rFonts w:hint="eastAsia" w:ascii="Segoe UI" w:hAnsi="Segoe UI" w:eastAsia="Segoe UI" w:cs="Segoe UI"/>
          <w:i w:val="0"/>
          <w:iCs w:val="0"/>
          <w:caps w:val="0"/>
          <w:color w:val="0F1115"/>
          <w:spacing w:val="0"/>
          <w:sz w:val="24"/>
          <w:szCs w:val="24"/>
          <w:shd w:val="clear" w:color="auto" w:fill="FFFFFF"/>
          <w:lang w:val="en-US" w:eastAsia="zh-CN"/>
        </w:rPr>
        <w:t>综合部</w:t>
      </w:r>
      <w:r>
        <w:rPr>
          <w:rFonts w:hint="default" w:ascii="Segoe UI" w:hAnsi="Segoe UI" w:eastAsia="Segoe UI" w:cs="Segoe UI"/>
          <w:i w:val="0"/>
          <w:iCs w:val="0"/>
          <w:caps w:val="0"/>
          <w:color w:val="0F1115"/>
          <w:spacing w:val="0"/>
          <w:sz w:val="24"/>
          <w:szCs w:val="24"/>
          <w:shd w:val="clear" w:color="auto" w:fill="FFFFFF"/>
          <w:lang w:val="en-US" w:eastAsia="zh-CN"/>
        </w:rPr>
        <w:t>。新员工入职</w:t>
      </w:r>
      <w:r>
        <w:rPr>
          <w:rFonts w:hint="eastAsia" w:ascii="Segoe UI" w:hAnsi="Segoe UI" w:eastAsia="Segoe UI" w:cs="Segoe UI"/>
          <w:i w:val="0"/>
          <w:iCs w:val="0"/>
          <w:caps w:val="0"/>
          <w:color w:val="0F1115"/>
          <w:spacing w:val="0"/>
          <w:sz w:val="24"/>
          <w:szCs w:val="24"/>
          <w:shd w:val="clear" w:color="auto" w:fill="FFFFFF"/>
          <w:lang w:val="en-US" w:eastAsia="zh-CN"/>
        </w:rPr>
        <w:t>能力评价</w:t>
      </w:r>
      <w:r>
        <w:rPr>
          <w:rFonts w:hint="default" w:ascii="Segoe UI" w:hAnsi="Segoe UI" w:eastAsia="Segoe UI" w:cs="Segoe UI"/>
          <w:i w:val="0"/>
          <w:iCs w:val="0"/>
          <w:caps w:val="0"/>
          <w:color w:val="0F1115"/>
          <w:spacing w:val="0"/>
          <w:sz w:val="24"/>
          <w:szCs w:val="24"/>
          <w:shd w:val="clear" w:color="auto" w:fill="FFFFFF"/>
          <w:lang w:val="en-US" w:eastAsia="zh-CN"/>
        </w:rPr>
        <w:t>、晋升</w:t>
      </w:r>
      <w:r>
        <w:rPr>
          <w:rFonts w:hint="eastAsia" w:ascii="Segoe UI" w:hAnsi="Segoe UI" w:eastAsia="Segoe UI" w:cs="Segoe UI"/>
          <w:i w:val="0"/>
          <w:iCs w:val="0"/>
          <w:caps w:val="0"/>
          <w:color w:val="0F1115"/>
          <w:spacing w:val="0"/>
          <w:sz w:val="24"/>
          <w:szCs w:val="24"/>
          <w:shd w:val="clear" w:color="auto" w:fill="FFFFFF"/>
          <w:lang w:val="en-US" w:eastAsia="zh-CN"/>
        </w:rPr>
        <w:t>能力评价</w:t>
      </w:r>
      <w:r>
        <w:rPr>
          <w:rFonts w:hint="default" w:ascii="Segoe UI" w:hAnsi="Segoe UI" w:eastAsia="Segoe UI" w:cs="Segoe UI"/>
          <w:i w:val="0"/>
          <w:iCs w:val="0"/>
          <w:caps w:val="0"/>
          <w:color w:val="0F1115"/>
          <w:spacing w:val="0"/>
          <w:sz w:val="24"/>
          <w:szCs w:val="24"/>
          <w:shd w:val="clear" w:color="auto" w:fill="FFFFFF"/>
          <w:lang w:val="en-US" w:eastAsia="zh-CN"/>
        </w:rPr>
        <w:t>另行统计，不计入半年度覆盖率考核。</w:t>
      </w:r>
    </w:p>
    <w:p w14:paraId="5890AF8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7523"/>
      <w:r>
        <w:rPr>
          <w:rFonts w:hint="eastAsia"/>
          <w:lang w:val="en-US" w:eastAsia="zh-CN"/>
        </w:rPr>
        <w:t>资源管理规划</w:t>
      </w:r>
      <w:bookmarkEnd w:id="22"/>
    </w:p>
    <w:p w14:paraId="3BE3B7F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为确保运维服务能力的持续提升，2025年公司将从运维工具、服务知识、服务台、备件库、最终软件库、服务数据六个方面加强资源管理，为运维服务提供坚实的资源保障。</w:t>
      </w:r>
    </w:p>
    <w:p w14:paraId="31BF3A4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9743"/>
      <w:r>
        <w:rPr>
          <w:rFonts w:hint="default"/>
          <w:lang w:val="en-US" w:eastAsia="zh-CN"/>
        </w:rPr>
        <w:t>运维工具管理</w:t>
      </w:r>
      <w:bookmarkEnd w:id="23"/>
    </w:p>
    <w:p w14:paraId="7AED7BA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根据《运维服务工具管理制度》，公司目前使用的运维工具主要包括iTop运维管理平台和</w:t>
      </w:r>
      <w:r>
        <w:rPr>
          <w:rFonts w:hint="eastAsia"/>
          <w:lang w:val="en-US" w:eastAsia="zh-CN"/>
        </w:rPr>
        <w:t>华风数据</w:t>
      </w:r>
      <w:r>
        <w:rPr>
          <w:rFonts w:hint="default"/>
          <w:lang w:val="en-US" w:eastAsia="zh-CN"/>
        </w:rPr>
        <w:t>运维监控平台。iTop平台集成了服务台、事件管理、问题管理、变更管理、配置管理、服务知识等功能模块，实现了运维流程的数字化管理；</w:t>
      </w:r>
      <w:r>
        <w:rPr>
          <w:rFonts w:hint="eastAsia"/>
          <w:lang w:val="en-US" w:eastAsia="zh-CN"/>
        </w:rPr>
        <w:t>华风数据</w:t>
      </w:r>
      <w:r>
        <w:rPr>
          <w:rFonts w:hint="default"/>
          <w:lang w:val="en-US" w:eastAsia="zh-CN"/>
        </w:rPr>
        <w:t>运维监控平台实现了对服务器、网络设备、数据库、应用性能等的全面监控。</w:t>
      </w:r>
    </w:p>
    <w:p w14:paraId="4580D7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运维工具管理的主要工作包括：研发部负责根据运维业务需求，持续优化监控平台功能，2025年重点完成数据库监控模块的研发，实现对MySQL、Redis等数据库的全面监控及慢SQL分析功能；运维部经理每年度组织一次运维工具使用效果评估，形成《运维工具</w:t>
      </w:r>
      <w:r>
        <w:rPr>
          <w:rFonts w:hint="eastAsia"/>
          <w:lang w:val="en-US" w:eastAsia="zh-CN"/>
        </w:rPr>
        <w:t>自评估</w:t>
      </w:r>
      <w:r>
        <w:rPr>
          <w:rFonts w:hint="default"/>
          <w:lang w:val="en-US" w:eastAsia="zh-CN"/>
        </w:rPr>
        <w:t>报告》，从工具覆盖度、使用效率、用户满意度等方面进行评估，识别改进点并推动优化；研发部负责编制和维护运维工具操作手册，确保操作人员熟练掌握工具使用方法，新工具上线或版本升级时，及时组织使用培训；通过工具使用数据的统计分析，评估工具对运维效率的实际提升效果，为工具优化和选型提供数据支撑。</w:t>
      </w:r>
    </w:p>
    <w:p w14:paraId="3FDC3D7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KPI指标：运维工具评审次数</w:t>
      </w:r>
    </w:p>
    <w:p w14:paraId="51D28EC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运维工具评审次数是反映运维工具使用效果定期评估执行情况的量化指标。</w:t>
      </w:r>
      <w:r>
        <w:rPr>
          <w:rFonts w:hint="eastAsia"/>
          <w:lang w:val="en-US" w:eastAsia="zh-CN"/>
        </w:rPr>
        <w:t>计算方式为：</w:t>
      </w:r>
      <w:r>
        <w:t>对运维工具使用效果的评审次数</w:t>
      </w:r>
      <w:r>
        <w:rPr>
          <w:rFonts w:hint="eastAsia"/>
          <w:lang w:eastAsia="zh-CN"/>
        </w:rPr>
        <w:t>。</w:t>
      </w:r>
      <w:r>
        <w:rPr>
          <w:rFonts w:hint="default"/>
          <w:lang w:val="en-US" w:eastAsia="zh-CN"/>
        </w:rPr>
        <w:t>目标值为 ≥ 1次，按年度进行考核，责任部门为运维部。</w:t>
      </w:r>
    </w:p>
    <w:p w14:paraId="23B284D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23156"/>
      <w:r>
        <w:rPr>
          <w:rFonts w:hint="default"/>
          <w:lang w:val="en-US" w:eastAsia="zh-CN"/>
        </w:rPr>
        <w:t>服务知识管理</w:t>
      </w:r>
      <w:bookmarkEnd w:id="24"/>
    </w:p>
    <w:p w14:paraId="59BDD07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根据《运维服务服务知识管理制度》，公司服务知识由运维部主导管理，负责知识入库审批、知识质量监督与权限管理。</w:t>
      </w:r>
    </w:p>
    <w:p w14:paraId="1221EBC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服务知识管理的主要工作包括：建立知识的全生命周期管理机制，严格执行知识提交、审批、发布、更新、删除的标准化流程；将事件处理、问题分析中的典型解决方案录入服务知识库，形成“事件→问题→知识”的闭环管理，服务台在处理事件时可快速检索知识库，提高一线解决率；按照服务知识管理制度的激励措施，对积极贡献知识的员工给予积分奖励和年度评优倾斜，鼓励员工主动沉淀经验、分享知识；每年度组织一次服务知识使用培训，提高运维人员对知识库的使用熟练度，确保知识库得到充分利用。</w:t>
      </w:r>
    </w:p>
    <w:p w14:paraId="429349B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6F839CB3">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新增知识条目</w:t>
      </w:r>
    </w:p>
    <w:p w14:paraId="15D0C2F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新增知识条目是反映知识库内容更新和积累情况的量化指标。</w:t>
      </w:r>
      <w:r>
        <w:rPr>
          <w:rFonts w:hint="eastAsia"/>
          <w:lang w:val="en-US" w:eastAsia="zh-CN"/>
        </w:rPr>
        <w:t>计算方式为：</w:t>
      </w:r>
      <w:r>
        <w:rPr>
          <w:rFonts w:hint="default"/>
          <w:lang w:val="en-US" w:eastAsia="zh-CN"/>
        </w:rPr>
        <w:t>每月度知识库中新增有效知识条目数</w:t>
      </w:r>
      <w:r>
        <w:rPr>
          <w:rFonts w:hint="eastAsia"/>
          <w:lang w:val="en-US" w:eastAsia="zh-CN"/>
        </w:rPr>
        <w:t>。</w:t>
      </w:r>
      <w:r>
        <w:rPr>
          <w:rFonts w:hint="default"/>
          <w:lang w:val="en-US" w:eastAsia="zh-CN"/>
        </w:rPr>
        <w:t>目标值为 ≥ 5条，按月度进行考核，责任部门为运维部，。</w:t>
      </w:r>
    </w:p>
    <w:p w14:paraId="6964D783">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服务知识使用率</w:t>
      </w:r>
    </w:p>
    <w:p w14:paraId="4E10176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服务知识使用率是反映知识库被运维人员使用频率的量化指标，其计算公式为：服务知识使用率 = (使用</w:t>
      </w:r>
      <w:r>
        <w:rPr>
          <w:rFonts w:hint="eastAsia"/>
          <w:lang w:val="en-US" w:eastAsia="zh-CN"/>
        </w:rPr>
        <w:t>人数</w:t>
      </w:r>
      <w:r>
        <w:rPr>
          <w:rFonts w:hint="default"/>
          <w:lang w:val="en-US" w:eastAsia="zh-CN"/>
        </w:rPr>
        <w:t xml:space="preserve"> / 应</w:t>
      </w:r>
      <w:r>
        <w:rPr>
          <w:rFonts w:hint="eastAsia"/>
          <w:lang w:val="en-US" w:eastAsia="zh-CN"/>
        </w:rPr>
        <w:t>使用人数</w:t>
      </w:r>
      <w:r>
        <w:rPr>
          <w:rFonts w:hint="default"/>
          <w:lang w:val="en-US" w:eastAsia="zh-CN"/>
        </w:rPr>
        <w:t>) × 100%。目标值为 ≥ 80%，按季度进行考核，责任部门为运维部。</w:t>
      </w:r>
    </w:p>
    <w:p w14:paraId="1F8624D4">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知识采纳率</w:t>
      </w:r>
    </w:p>
    <w:p w14:paraId="51379D5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知识采纳率是反映知识库内容质量和实用性的量化指标，其计算公式为：知识采纳率 = (采纳知识数 / 提交知识数) × 100%。目标值为 ≥ 70%，按季度进行考核，责任部门为运维部。</w:t>
      </w:r>
    </w:p>
    <w:p w14:paraId="757F29A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4019"/>
      <w:r>
        <w:rPr>
          <w:rFonts w:hint="default"/>
          <w:lang w:val="en-US" w:eastAsia="zh-CN"/>
        </w:rPr>
        <w:t>服务台管理</w:t>
      </w:r>
      <w:bookmarkEnd w:id="25"/>
    </w:p>
    <w:p w14:paraId="787D86F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根据《运维服务服务台管理制度》，服务台是公司运维服务的统一入口，设立统一服务热线，提供7×24小时不间断服务。</w:t>
      </w:r>
    </w:p>
    <w:p w14:paraId="53BBD73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服务台管理的主要工作包括：所有客户服务请求、故障报修、咨询投诉均通过服务台统一受理，杜绝客户直接联系现场工程师的情况，确保服务过程可记录、可追溯；严格按照“报障受理→分析判断→解决事件→工单关闭→录入服务知识→客户回访”的标准化流程执行，确保每个事件从受理到关闭的全过程闭环管理；每年度组织服务台专项培训，提升服务台人员的沟通技巧和问题判断能力；运维部经理定期填写《服务台服务质量考核表》，从响应及时性、服务态度、交付物质量三个维度进行考核，考核结果计入个人绩效；每月统计服务台请求关闭率、接通率、客户满意度等关键指标，分析服务台运行情况，发现异常及时改进。</w:t>
      </w:r>
    </w:p>
    <w:p w14:paraId="41F7E3E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r>
        <w:rPr>
          <w:rFonts w:hint="eastAsia"/>
          <w:lang w:val="en-US" w:eastAsia="zh-CN"/>
        </w:rPr>
        <w:t>：</w:t>
      </w:r>
    </w:p>
    <w:p w14:paraId="28AE11F4">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服务台请求关闭率</w:t>
      </w:r>
    </w:p>
    <w:p w14:paraId="482F3A7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服务台请求关闭率是反映服务台事件处理能力的量化指标，其计算公式为：服务台请求关闭率 = (服务台请求关闭数量 / 服务记录服务请求数量) × 100%。目标值为 ≥ 95%，按月度进行考核，责任部门为运维部。</w:t>
      </w:r>
    </w:p>
    <w:p w14:paraId="532E9A02">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服务台接通率</w:t>
      </w:r>
    </w:p>
    <w:p w14:paraId="5027F04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服务台接通率是反映服务台电话服务可用性的量化指标，其计算公式为：服务台接通率 = (接通电话数 / 总来电数) × 100%。目标值为 ≥ 98%，按月度进行考核，责任部门为运维部。</w:t>
      </w:r>
    </w:p>
    <w:p w14:paraId="0BAE560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9453"/>
      <w:r>
        <w:rPr>
          <w:rFonts w:hint="default"/>
          <w:lang w:val="en-US" w:eastAsia="zh-CN"/>
        </w:rPr>
        <w:t>备件库管理</w:t>
      </w:r>
      <w:bookmarkEnd w:id="26"/>
    </w:p>
    <w:p w14:paraId="6251167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根据《运维服务备件库管理制度》，公司备件库由</w:t>
      </w:r>
      <w:r>
        <w:rPr>
          <w:rFonts w:hint="eastAsia"/>
          <w:lang w:val="en-US" w:eastAsia="zh-CN"/>
        </w:rPr>
        <w:t>备件库</w:t>
      </w:r>
      <w:r>
        <w:rPr>
          <w:rFonts w:hint="default"/>
          <w:lang w:val="en-US" w:eastAsia="zh-CN"/>
        </w:rPr>
        <w:t>负责管理，遵循“统一管理、集中调配”的原则。</w:t>
      </w:r>
    </w:p>
    <w:p w14:paraId="2A27D71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备件库管理的主要工作包括：根据运维服务目录和SLA要求，制定备件储备规划，明确关键备件的安全库存数量，对于常用备件建立最低库存预警机制，低于安全库存时及时补库；所有备件入库前均需经过验收和功能性测试，确保备件质量合格，出库需凭审批单办理，确保账实相符，备件库专员每月对库存进行盘点，确保库存准确率；每月对库存备件按30%比例进行抽检，确保备件性能符合要求，对检测中发现问题的备件，及时送修或报废处理；根据SLA要求建立备件响应分级机制，确保在故障发生时能够快速调配备件。</w:t>
      </w:r>
    </w:p>
    <w:p w14:paraId="5FB6B21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58C3AE54">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备件可用率</w:t>
      </w:r>
    </w:p>
    <w:p w14:paraId="0EE4FAF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备件可用率是反映库存备件质量状况的量化指标，其计算公式为：备件可用率 = (合格可用备件数量 / 总数量) × 100%。目标值为 ≥ 95%，按季度进行考核，责任部门为</w:t>
      </w:r>
      <w:r>
        <w:rPr>
          <w:rFonts w:hint="eastAsia"/>
          <w:lang w:val="en-US" w:eastAsia="zh-CN"/>
        </w:rPr>
        <w:t>运维部</w:t>
      </w:r>
      <w:r>
        <w:rPr>
          <w:rFonts w:hint="default"/>
          <w:lang w:val="en-US" w:eastAsia="zh-CN"/>
        </w:rPr>
        <w:t>。</w:t>
      </w:r>
    </w:p>
    <w:p w14:paraId="29060251">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备件库存准确率</w:t>
      </w:r>
    </w:p>
    <w:p w14:paraId="08E0A58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备件库存准确率是反映备件库存账实一致性的量化指标，其计算公式为：备件库存准确率 = (账实相符数量 / 盘点数量) × 100%。目标值为 100%，按月度进行考核，责任部门为</w:t>
      </w:r>
      <w:r>
        <w:rPr>
          <w:rFonts w:hint="eastAsia"/>
          <w:lang w:val="en-US" w:eastAsia="zh-CN"/>
        </w:rPr>
        <w:t>运维部</w:t>
      </w:r>
      <w:r>
        <w:rPr>
          <w:rFonts w:hint="default"/>
          <w:lang w:val="en-US" w:eastAsia="zh-CN"/>
        </w:rPr>
        <w:t>。</w:t>
      </w:r>
    </w:p>
    <w:p w14:paraId="1975759D">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9163"/>
      <w:r>
        <w:rPr>
          <w:rFonts w:hint="default"/>
          <w:lang w:val="en-US" w:eastAsia="zh-CN"/>
        </w:rPr>
        <w:t>最终软件库管理</w:t>
      </w:r>
      <w:bookmarkEnd w:id="27"/>
    </w:p>
    <w:p w14:paraId="7CE770C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根据《运维服务最终软件库管理制度》，公司软件库由研发部负责管理，对运维过程中使用的各类软件进行统一存储、版本管理和授权管控。</w:t>
      </w:r>
    </w:p>
    <w:p w14:paraId="640D5C5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最终软件库管理的主要工作包括：所有软件入库前需经过安全检测和完整性验证，确保软件来源可靠、内容完整，软件安装包、授权文件、技术文档统一归档存放；建立软件版本基线，对正式版本、测试版本进行分类管理，版本更新需经过测试验证后方可入库，确保生产环境使用的软件版本与软件库保持一致；所有商业软件授权在软件库中统一登记，按照授权数量和使用范围进行管控，每季度对授权使用情况进行审计，确保软件使用合规；每月对软件库进行盘点，核对软件资产清单，确保软件入库完整率达标。</w:t>
      </w:r>
    </w:p>
    <w:p w14:paraId="0E944CF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KPI指标：软件入库完整率</w:t>
      </w:r>
    </w:p>
    <w:p w14:paraId="0CBD936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软件入库完整率是反映软件资产登记完整性的量化指标，其计算公式为：软件入库完整率 = (已登记入库的软件数 / 应登记入库的软件总数) × 100%。目标值为 100%，按半年度进行考核，责任部门为研发部。</w:t>
      </w:r>
    </w:p>
    <w:p w14:paraId="66B1740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7071"/>
      <w:r>
        <w:rPr>
          <w:rFonts w:hint="default"/>
          <w:lang w:val="en-US" w:eastAsia="zh-CN"/>
        </w:rPr>
        <w:t>服务数据管理</w:t>
      </w:r>
      <w:bookmarkEnd w:id="28"/>
    </w:p>
    <w:p w14:paraId="514B2B9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根据《运维服务服务数据管理制度》，公司服务数据由运维部主导管理，覆盖服务数据的分类、收集、备份、加密、恢复的全生命周期。</w:t>
      </w:r>
    </w:p>
    <w:p w14:paraId="6F7CBBC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服务数据管理的主要工作包括：运维工单数据每日全量备份，配置管理数据每周全量备份，监控数据每月增量备份，备份数据本地和云端双存储，确保数据安全；每半年组织一次数据恢复试验，验证备份数据的可用性和完整性，确保在数据丢失时能够快速恢复；对客户敏感数据、系统核心配置等高密级数据实施存储加密和传输加密，使用经国家密码管理部门认可的加密产品，确保数据安全；定期对运维工单数据、监控数据等进行分析，识别服务趋势和潜在问题，为服务改进提供数据支撑。</w:t>
      </w:r>
    </w:p>
    <w:p w14:paraId="55A8F8A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18520CA7">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数据备份成功率</w:t>
      </w:r>
    </w:p>
    <w:p w14:paraId="1168E05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数据备份成功率是反映数据备份执行有效性的量化指标，其计算公式为：数据备份成功率 = (成功备份次数 / 计划备份次数) × 100%。目标值为 ≥ 99%，按月度进行考核，责任部门为</w:t>
      </w:r>
      <w:r>
        <w:rPr>
          <w:rFonts w:hint="eastAsia"/>
          <w:lang w:val="en-US" w:eastAsia="zh-CN"/>
        </w:rPr>
        <w:t>研发部</w:t>
      </w:r>
      <w:r>
        <w:rPr>
          <w:rFonts w:hint="default"/>
          <w:lang w:val="en-US" w:eastAsia="zh-CN"/>
        </w:rPr>
        <w:t>。</w:t>
      </w:r>
    </w:p>
    <w:p w14:paraId="66961AD6">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数据恢复成功率</w:t>
      </w:r>
    </w:p>
    <w:p w14:paraId="3678F5E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数据恢复成功率是反映备份数据可用性的量化指标，其计算公式为：数据恢复成功率 = (成功恢复次数 / 恢复</w:t>
      </w:r>
      <w:r>
        <w:rPr>
          <w:rFonts w:hint="eastAsia"/>
          <w:lang w:val="en-US" w:eastAsia="zh-CN"/>
        </w:rPr>
        <w:t>演练</w:t>
      </w:r>
      <w:r>
        <w:rPr>
          <w:rFonts w:hint="default"/>
          <w:lang w:val="en-US" w:eastAsia="zh-CN"/>
        </w:rPr>
        <w:t>次数) × 100%。目标值为 ≥ 95%，按半年度进行考核。</w:t>
      </w:r>
      <w:r>
        <w:rPr>
          <w:rFonts w:hint="eastAsia"/>
          <w:lang w:val="en-US" w:eastAsia="zh-CN"/>
        </w:rPr>
        <w:t>责任部门为研发部。</w:t>
      </w:r>
    </w:p>
    <w:p w14:paraId="0C572975">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数据完整性</w:t>
      </w:r>
    </w:p>
    <w:p w14:paraId="4B6BC15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数据完整性是反映备份数据可恢复后数据完整可用的量化指标，其计算公式为：数据完整性 = (抽样校验通过的数据记录数</w:t>
      </w:r>
      <w:r>
        <w:rPr>
          <w:rFonts w:hint="eastAsia"/>
          <w:lang w:val="en-US" w:eastAsia="zh-CN"/>
        </w:rPr>
        <w:t xml:space="preserve"> / </w:t>
      </w:r>
      <w:r>
        <w:rPr>
          <w:rFonts w:hint="default"/>
          <w:lang w:val="en-US" w:eastAsia="zh-CN"/>
        </w:rPr>
        <w:t>抽样校验的总数据记录数) × 100%</w:t>
      </w:r>
      <w:r>
        <w:rPr>
          <w:rFonts w:hint="eastAsia"/>
          <w:lang w:val="en-US" w:eastAsia="zh-CN"/>
        </w:rPr>
        <w:t>。</w:t>
      </w:r>
      <w:r>
        <w:rPr>
          <w:rFonts w:hint="default"/>
          <w:lang w:val="en-US" w:eastAsia="zh-CN"/>
        </w:rPr>
        <w:t>目标值为 ≥ 99%，按</w:t>
      </w:r>
      <w:r>
        <w:rPr>
          <w:rFonts w:hint="eastAsia"/>
          <w:lang w:val="en-US" w:eastAsia="zh-CN"/>
        </w:rPr>
        <w:t>季</w:t>
      </w:r>
      <w:r>
        <w:rPr>
          <w:rFonts w:hint="default"/>
          <w:lang w:val="en-US" w:eastAsia="zh-CN"/>
        </w:rPr>
        <w:t>度进行考核。责任部门为</w:t>
      </w:r>
      <w:r>
        <w:rPr>
          <w:rFonts w:hint="eastAsia"/>
          <w:lang w:val="en-US" w:eastAsia="zh-CN"/>
        </w:rPr>
        <w:t>产品质量部</w:t>
      </w:r>
      <w:r>
        <w:rPr>
          <w:rFonts w:hint="default"/>
          <w:lang w:val="en-US" w:eastAsia="zh-CN"/>
        </w:rPr>
        <w:t>。</w:t>
      </w:r>
    </w:p>
    <w:p w14:paraId="76039B27">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258"/>
      <w:r>
        <w:rPr>
          <w:rFonts w:hint="eastAsia"/>
          <w:lang w:val="en-US" w:eastAsia="zh-CN"/>
        </w:rPr>
        <w:t>技术研发规划</w:t>
      </w:r>
      <w:bookmarkEnd w:id="29"/>
    </w:p>
    <w:p w14:paraId="2DF92C8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1057"/>
      <w:r>
        <w:rPr>
          <w:rFonts w:hint="default"/>
          <w:lang w:val="en-US" w:eastAsia="zh-CN"/>
        </w:rPr>
        <w:t>研发现状</w:t>
      </w:r>
      <w:bookmarkEnd w:id="30"/>
    </w:p>
    <w:p w14:paraId="0CBC2D5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公司研发部已建立研发管理制度，配备研发团队及开发测试环境。目前自研的</w:t>
      </w:r>
      <w:r>
        <w:rPr>
          <w:rFonts w:hint="eastAsia"/>
          <w:lang w:val="en-US" w:eastAsia="zh-CN"/>
        </w:rPr>
        <w:t>华风数据</w:t>
      </w:r>
      <w:r>
        <w:rPr>
          <w:rFonts w:hint="default"/>
          <w:lang w:val="en-US" w:eastAsia="zh-CN"/>
        </w:rPr>
        <w:t>运维监控平台已应用于企业2025年国电电力湖南新能源系统运维项目等</w:t>
      </w:r>
      <w:bookmarkStart w:id="57" w:name="_GoBack"/>
      <w:bookmarkEnd w:id="57"/>
      <w:r>
        <w:rPr>
          <w:rFonts w:hint="default"/>
          <w:lang w:val="en-US" w:eastAsia="zh-CN"/>
        </w:rPr>
        <w:t>，实现了对服务器、网络设备、前端设备等基础环境的监控。</w:t>
      </w:r>
    </w:p>
    <w:p w14:paraId="4A03B84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但在数据库监控方面存在明显短板：无法实时监控数据库关键性能指标，慢查询定位困难，缺乏索引优化建议，Redis监控缺失。随着运维项目增加，客户对数据库监控的需求日益迫切，亟需补齐这一能力短板。</w:t>
      </w:r>
    </w:p>
    <w:p w14:paraId="165EF67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29463"/>
      <w:r>
        <w:rPr>
          <w:rFonts w:hint="default"/>
          <w:lang w:val="en-US" w:eastAsia="zh-CN"/>
        </w:rPr>
        <w:t>研发目标</w:t>
      </w:r>
      <w:bookmarkEnd w:id="31"/>
    </w:p>
    <w:p w14:paraId="1E69B0F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技术研发聚焦于数据库监控能力提升，总体目标为：完成数据库监控模块研发，实现对MySQL、Redis等主流数据库的全面监控，具备慢SQL采集分析和索引优化建议能力，并同步完成相关运维手册编写和新技术研究。</w:t>
      </w:r>
    </w:p>
    <w:p w14:paraId="3834147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1952"/>
      <w:r>
        <w:rPr>
          <w:rFonts w:hint="eastAsia"/>
          <w:lang w:val="en-US" w:eastAsia="zh-CN"/>
        </w:rPr>
        <w:t>研发计划</w:t>
      </w:r>
      <w:bookmarkEnd w:id="32"/>
    </w:p>
    <w:p w14:paraId="643AFE6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本次研发将依据《运维服务技术研发规划》系统推进，围绕需求细化、功能设计、迭代开发、测试上线及培训推广等关键阶段展开，确保开发成果能有效落地并服务于运维团队的实际工作。详细的任务排期、资源分配与技术方案请参见该规划文档。</w:t>
      </w:r>
    </w:p>
    <w:p w14:paraId="60B70903">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3" w:name="_Toc28677"/>
      <w:r>
        <w:rPr>
          <w:rFonts w:hint="eastAsia"/>
          <w:lang w:val="en-US" w:eastAsia="zh-CN"/>
        </w:rPr>
        <w:t>过程管理规划</w:t>
      </w:r>
      <w:bookmarkEnd w:id="33"/>
    </w:p>
    <w:p w14:paraId="56ED479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为确保运维服务过程的规范性、一致性和可追溯性，2025年公司将按照ITSS标准要求，建立并持续优化运维服务过程管理体系。</w:t>
      </w:r>
    </w:p>
    <w:p w14:paraId="0762B6B8">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4" w:name="_Toc17608"/>
      <w:r>
        <w:rPr>
          <w:rFonts w:hint="eastAsia"/>
          <w:lang w:val="en-US" w:eastAsia="zh-CN"/>
        </w:rPr>
        <w:t>过程框架管理</w:t>
      </w:r>
      <w:bookmarkEnd w:id="34"/>
    </w:p>
    <w:p w14:paraId="7278E67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根据《运维服务过程框架管理制度》，公司运维服务过程框架分为服务规划与设计、服务部署与实施、服务运营与管理、服务监控与改进四个核心阶段，形成完整的PDCA闭环。</w:t>
      </w:r>
    </w:p>
    <w:p w14:paraId="2C354FC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过程框架管理的主要工作包括：运维部负责制定并持续完善运维服务过程框架相关管理制度，牵头组织服务规划设计、部署实施、运营管理、监控改进等核心活动；产品质量部每年度组织一次过程框架评价，评估各过程执行的符合性和有效性，形成《过程框架评价报告》，识别改进机会并推动落实；各过程的执行情况纳入月度服务报告，定期向管理层汇报。</w:t>
      </w:r>
    </w:p>
    <w:p w14:paraId="54EE50D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KPI指标：过程框架评价次数</w:t>
      </w:r>
    </w:p>
    <w:p w14:paraId="751A146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过程框架评价次数是反映运维服务过程框架定期评估执行情况的量化指标。计算方式为：年度内过程框架评价次数统计。目标值为≥1次，按年度进行考核，责任部门为运维部。</w:t>
      </w:r>
    </w:p>
    <w:p w14:paraId="043D26F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5" w:name="_Toc23770"/>
      <w:r>
        <w:rPr>
          <w:rFonts w:hint="eastAsia"/>
          <w:lang w:val="en-US" w:eastAsia="zh-CN"/>
        </w:rPr>
        <w:t>服务级别管理</w:t>
      </w:r>
      <w:bookmarkEnd w:id="35"/>
    </w:p>
    <w:p w14:paraId="4A55601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根据《运维服务级别管理制度》，公司建立服务级别管理流程，对运维服务级别进行协商、监控和报告。</w:t>
      </w:r>
    </w:p>
    <w:p w14:paraId="0373A37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服务级别管理的主要工作包括：运维部经理负责制定和更新服务目录，定义和维持有效的服务级别管理流程；运维项目经理执行SLA的制定或修订工作，SLA须由客户确认后，提交运维部评审，通过后再经管理层评审，此评审活动每年至少一次；产品质量部每季度对服务级别执行情况进行监控，统计SLA达成率，对未达标的SLA项进行原因分析并制定改进措施；根据管理评审结果或部门例会决议，识别问题和差距，填写《服务改进计划表》，持续改进服务级别。</w:t>
      </w:r>
    </w:p>
    <w:p w14:paraId="097DDFA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0CE6AEE0">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SLA达成率</w:t>
      </w:r>
    </w:p>
    <w:p w14:paraId="2D8627D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SLA达成率是反映服务级别协议执行情况的量化指标，其计算公式为：SLA达成率 = (当期已达成的SLA数 / 当期应达成的SLA总数) × 100%。目标值为≥95%，按季度进行考核，责任部门为运维部。</w:t>
      </w:r>
    </w:p>
    <w:p w14:paraId="3AB0762B">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SLA评审次数</w:t>
      </w:r>
    </w:p>
    <w:p w14:paraId="2027A38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SLA评审次数是反映服务级别协议定期评审执行情况的量化指标。计算方式为：SLA评审次数统计。目标值为≥1次，按年度进行考核，责任部门为运维部。</w:t>
      </w:r>
    </w:p>
    <w:p w14:paraId="486531B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6" w:name="_Toc20743"/>
      <w:r>
        <w:rPr>
          <w:rFonts w:hint="eastAsia"/>
          <w:lang w:val="en-US" w:eastAsia="zh-CN"/>
        </w:rPr>
        <w:t>服务报告管理</w:t>
      </w:r>
      <w:bookmarkEnd w:id="36"/>
    </w:p>
    <w:p w14:paraId="16E704B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根据《运维服务报告管理制度》，公司建立标准化的服务报告管理机制，确保服务报告的及时性、准确性和完整性。</w:t>
      </w:r>
    </w:p>
    <w:p w14:paraId="5014070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服务报告管理的主要工作包括：运维项目经理负责按照固定格式和周期编制服务报告，包括日常运维报告（每周）、服务级别报告（每月）、季度服务报告（每季度）、年度服务报告（每年）以及重大事件报告、专项改进报告等专项报告；产品质量部每季度组织服务报告管理过程的评审，从及时性、准确性、完整性、可读性、分析深度等维度进行评估；服务报告按照分发矩阵提交给客户、管理层、产品质量部等相关方，重要报告需确认对方已接收。</w:t>
      </w:r>
    </w:p>
    <w:p w14:paraId="6221BE4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20E9876E">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服务报告交付及时率</w:t>
      </w:r>
    </w:p>
    <w:p w14:paraId="74DCB34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服务报告交付及时率是反映服务报告按时提交情况的量化指标，其计算公式为：服务报告交付及时率 = (按时提交的服务报告数量 / 应提交服务报告总数量) × 100%。目标值为≥95%，按季度进行考核，责任部门为运维部。</w:t>
      </w:r>
    </w:p>
    <w:p w14:paraId="389C8FC7">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服务报告准确率</w:t>
      </w:r>
    </w:p>
    <w:p w14:paraId="2C724A0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服务报告准确率是反映服务报告数据准确性的量化指标，其计算公式为：服务报告准确率 = (数据准确的服务报告数量 / 服务报告总数量) × 100%。目标值为≥98%，按季度进行考核，责任部门为运维部。</w:t>
      </w:r>
    </w:p>
    <w:p w14:paraId="7AB0423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7" w:name="_Toc258"/>
      <w:r>
        <w:rPr>
          <w:rFonts w:hint="eastAsia"/>
          <w:lang w:val="en-US" w:eastAsia="zh-CN"/>
        </w:rPr>
        <w:t>事件管理</w:t>
      </w:r>
      <w:bookmarkEnd w:id="37"/>
    </w:p>
    <w:p w14:paraId="3AA5805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根据《运维服务事件管理制度》，公司建立标准化的服务事件管理流程，确保事件能够快速响应和有效解决。</w:t>
      </w:r>
    </w:p>
    <w:p w14:paraId="5F2414C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事件管理的主要工作包括：服务台作为事件统一受理窗口，7×24小时接收客户事件请求；事件根据影响范围和紧急程度分为一级、二级、三级，各级事件规定相应的响应时间和处理时间要求（一级事件3分钟内响应、4小时内解决）；当事件在规定时间内未能解决时，按升级时间要求（一级事件1小时升级到二线、2小时升级到三线）进行升级处理；事件解决后，服务台进行客户回访，确认事件解决效果并收集满意度。</w:t>
      </w:r>
    </w:p>
    <w:p w14:paraId="71F2F4B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13AB5D08">
      <w:pPr>
        <w:pStyle w:val="32"/>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事件解决率</w:t>
      </w:r>
    </w:p>
    <w:p w14:paraId="69A456C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事件解决率是反映事件处理能力的量化指标，其计算公式为：事件解决率 = (成功解决事件数 / 已关闭事件总数) × 100%。目标值为≥95%，按季度进行考核，责任部门为运维部。</w:t>
      </w:r>
    </w:p>
    <w:p w14:paraId="022D1FB6">
      <w:pPr>
        <w:pStyle w:val="32"/>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一线解决率</w:t>
      </w:r>
    </w:p>
    <w:p w14:paraId="13B2904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一线解决率是反映服务台问题解决能力的量化指标，其计算公式为：一线解决率 = (一线解决事件数 / 事件总数) × 100%。目标值为≥70%，按月度进行考核，责任部门为运维部。</w:t>
      </w:r>
    </w:p>
    <w:p w14:paraId="7E3E8725">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8" w:name="_Toc18042"/>
      <w:r>
        <w:rPr>
          <w:rFonts w:hint="eastAsia"/>
          <w:lang w:val="en-US" w:eastAsia="zh-CN"/>
        </w:rPr>
        <w:t>问题管理</w:t>
      </w:r>
      <w:bookmarkEnd w:id="38"/>
    </w:p>
    <w:p w14:paraId="1C18CEE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根据《运维服务问题管理制度》，公司建立问题管理流程，通过分析事件的根本原因，防止同类事件再次发生。</w:t>
      </w:r>
    </w:p>
    <w:p w14:paraId="5DE1CC1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问题管理的主要工作包括：当事件原因不明、同一事件频繁发生（一周内发生3次以上）、事件影响重大时，由事件管理流程触发问题管理流程；运维部经理作为问题管理负责人，负责分派问题并跟踪解决；问题分析采用5W1H、鱼骨图、故障树等方法进行根本原因分析；问题解决后，将解决方案录入知识库，形成知识沉淀；问题管理负责人每月进行问题汇总分析，结果作为服务报告的输入。</w:t>
      </w:r>
    </w:p>
    <w:p w14:paraId="58C854B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KPI指标：问题解决率</w:t>
      </w:r>
    </w:p>
    <w:p w14:paraId="1288D7D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问题解决率是反映问题管理有效性的量化指标，其计算公式为：问题解决率 = (成功解决问题数 / 问题总数) × 100%。目标值为≥90%，按季度进行考核，责任部门为运维部。</w:t>
      </w:r>
    </w:p>
    <w:p w14:paraId="566E851D">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9" w:name="_Toc17668"/>
      <w:r>
        <w:rPr>
          <w:rFonts w:hint="eastAsia"/>
          <w:lang w:val="en-US" w:eastAsia="zh-CN"/>
        </w:rPr>
        <w:t>变更管理</w:t>
      </w:r>
      <w:bookmarkEnd w:id="39"/>
    </w:p>
    <w:p w14:paraId="0DB544A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根据《运维服务变更管理制度》，公司建立变更管理流程，对所有对运维服务环境有影响的变更进行管理和控制。</w:t>
      </w:r>
    </w:p>
    <w:p w14:paraId="14BE414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变更管理的主要工作包括：变更分为一般变更、重大变更、紧急变更三类，不同类型的变更执行不同的审批流程；变更方案必须包含回退计划，明确回退触发条件、回退操作步骤、回退负责人、回退验证方法等；重大变更和紧急变更由变更管理委员会（CAB）进行评估和决策，CAB成员包括运维部经理、研发部经理、产品质量部经理、总经理/副总经理、客户代表；变更完成后，变更管理负责人每季度对变更数量进行统计，分析变更过程存在的问题，形成变更服务报告。</w:t>
      </w:r>
    </w:p>
    <w:p w14:paraId="3E9F410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KPI指标：变更成功率</w:t>
      </w:r>
    </w:p>
    <w:p w14:paraId="1B5DA43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变更成功率是反映变更管理执行质量的量化指标，其计算公式为：变更成功率 = (成功变更数 / 发起变更总数) × 100%。目标值为≥92%，按季度进行考核，责任部门为运维部。</w:t>
      </w:r>
    </w:p>
    <w:p w14:paraId="0BB3EFE9">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0" w:name="_Toc12033"/>
      <w:r>
        <w:rPr>
          <w:rFonts w:hint="eastAsia"/>
          <w:lang w:val="en-US" w:eastAsia="zh-CN"/>
        </w:rPr>
        <w:t>发布管理</w:t>
      </w:r>
      <w:bookmarkEnd w:id="40"/>
    </w:p>
    <w:p w14:paraId="637A407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根据《运维服务发布管理制度》（HFSJ-ITSS-0607），公司建立发布管理流程，确保软件和硬件的变更经过测试验证后有序发布。</w:t>
      </w:r>
    </w:p>
    <w:p w14:paraId="79DD8AB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发布管理的主要工作包括：发布管理负责人根据变更计划制定《发布方案》，发布方案必须包含回退计划；发布方案需经发布管理负责人（运维部经理）牵头评审，评审通过后方可实施；发布前应对程序和数据进行备份，部署完成后进行验证，验证不成功则按计划执行回退；发布完成后，发布管理负责人收集发布引起的事件或问题数量、发布数量等数据，进行分析并编写《发布报告》，作为服务报告的一部分。</w:t>
      </w:r>
    </w:p>
    <w:p w14:paraId="35F0871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KPI指标：发布成功率</w:t>
      </w:r>
    </w:p>
    <w:p w14:paraId="597F8F3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发布成功率是反映发布管理执行质量的量化指标，其计算公式为：发布成功率 = (发布成功次数 / 发布总次数) × 100%。目标值为≥95%，按季度进行考核，责任部门为运维部。</w:t>
      </w:r>
    </w:p>
    <w:p w14:paraId="22F8FA60">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1" w:name="_Toc2284"/>
      <w:r>
        <w:rPr>
          <w:rFonts w:hint="eastAsia"/>
          <w:lang w:val="en-US" w:eastAsia="zh-CN"/>
        </w:rPr>
        <w:t>配置管理</w:t>
      </w:r>
      <w:bookmarkEnd w:id="41"/>
    </w:p>
    <w:p w14:paraId="79509C3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根据《运维服务配置管理制度》，公司建立配置管理流程，通过配置管理数据库（CMDB）对配置项进行统一管理。</w:t>
      </w:r>
    </w:p>
    <w:p w14:paraId="0A9BF8F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配置管理的主要工作包括：配置项范围涵盖文档信息、软件信息、硬件信息、其他信息（供应商信息、备件信息等）；硬件运维工程师、软件运维工程师、备件库专员分别负责对应配置项的识别、录入和维护；配置项状态包括开发中、测试中、运行中、废弃；每年至少进行一次配置审计和验证，发生重大变更、新服务上线、发现配置信息与实际情况不符时追加审计；配置管理员每月整理配置管理数据库的信息，编写《配置管理报告》。</w:t>
      </w:r>
    </w:p>
    <w:p w14:paraId="7A8F2A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459B9E34">
      <w:pPr>
        <w:pStyle w:val="32"/>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配置数据准确率</w:t>
      </w:r>
    </w:p>
    <w:p w14:paraId="7B70FFA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配置数据准确率是反映配置管理数据库数据准确性的量化指标，其计算公式为：配置数据准确率 = (配置数据匹配数 / 配置数据总数) × 100%。目标值为≥95%，按季度进行考核，责任部门为运维部。</w:t>
      </w:r>
    </w:p>
    <w:p w14:paraId="0FDCCE99">
      <w:pPr>
        <w:pStyle w:val="32"/>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配置项覆盖率</w:t>
      </w:r>
    </w:p>
    <w:p w14:paraId="7C546B8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配置项覆盖率是反映配置项识别完整性的量化指标，其计算公式为：配置项覆盖率 = (已识别配置项数 / 应识别配置项数) × 100%。目标值为≥95%，按季度进行考核，责任部门为运维部。</w:t>
      </w:r>
    </w:p>
    <w:p w14:paraId="5C96521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2" w:name="_Toc6521"/>
      <w:r>
        <w:rPr>
          <w:rFonts w:hint="eastAsia"/>
          <w:lang w:val="en-US" w:eastAsia="zh-CN"/>
        </w:rPr>
        <w:t>可用性和连续性管理</w:t>
      </w:r>
      <w:bookmarkEnd w:id="42"/>
    </w:p>
    <w:p w14:paraId="1210DBC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根据《服务可用性和连续性管理制度》，公司建立服务可用性和连续性管理流程，确保关键服务达到约定的可用性目标，在发生服务中断时能够及时恢复。</w:t>
      </w:r>
    </w:p>
    <w:p w14:paraId="531A55C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可用性和连续性管理的主要工作包括：副总经理作为服务可用性和连续性管理负责人，统筹应急管理工作；运维部经理作为日常可用性管理负责人，负责服务可用性目标的制定和分解，日常可用性监控和分析；通过监控工具7×24小时实时监测系统运行状态，当监控指标触发预警阈值时，监控系统自动发送告警；每半年组织一次应急演练（桌面推演每半年1次、实战演练每年1次），验证应急预案有效性。</w:t>
      </w:r>
    </w:p>
    <w:p w14:paraId="3C7704A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784CA299">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服务可用性达标率</w:t>
      </w:r>
    </w:p>
    <w:p w14:paraId="4ABB92A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服务可用性达标率是反映服务可用性目标达成情况的量化指标，其计算公式为：服务可用性达标率 = (系统实际持续可用时间 / 系统计划持续可用时间) × 100%。目标值为≥99%，按年度进行考核，责任部门为运维部。</w:t>
      </w:r>
    </w:p>
    <w:p w14:paraId="3705425F">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服务异常中断次数</w:t>
      </w:r>
    </w:p>
    <w:p w14:paraId="1D7C6BA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服务异常中断次数是反映服务稳定性的量化指标。计算方式为：由于异常情况导致服务中断的次数统计。目标值为≤2次，按年度进行考核，责任部门为运维部。</w:t>
      </w:r>
    </w:p>
    <w:p w14:paraId="08F4D3E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3" w:name="_Toc6935"/>
      <w:r>
        <w:rPr>
          <w:rFonts w:hint="eastAsia"/>
          <w:lang w:val="en-US" w:eastAsia="zh-CN"/>
        </w:rPr>
        <w:t>容量管理</w:t>
      </w:r>
      <w:bookmarkEnd w:id="43"/>
    </w:p>
    <w:p w14:paraId="238574D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根据《运维服务容量管理制度》，公司建立容量管理流程，确保IT基础设施和服务能力与业务需求相匹配。</w:t>
      </w:r>
    </w:p>
    <w:p w14:paraId="4AE7349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容量管理的主要工作包括：容量管理范围涵盖计算资源（服务器、虚拟机）、存储资源、网络资源、数据库资源、应用系统、前端设备；容量监控人员按照容量管理计划执行日常容量监控，关键容量指标包括CPU使用率（&gt;80%预警、&gt;90%告警）、内存使用率（&gt;85%预警、&gt;95%告警）、磁盘使用率（&gt;80%预警、&gt;90%告警）等；每月进行容量分析，识别容量趋势、瓶颈和潜在风险；容量调整通过变更管理流程执行。</w:t>
      </w:r>
    </w:p>
    <w:p w14:paraId="08C75CB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KPI指标：容量报告及时性</w:t>
      </w:r>
    </w:p>
    <w:p w14:paraId="566EC28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容量报告及时性是反映容量管理工作按时交付情况的量化指标，其计算公式为：容量报告及时性 = (实际按时提交的报告数 / 应按时提交的报告数) × 100%。目标值为≥95%，按季度进行考核，责任部门为运维部。</w:t>
      </w:r>
    </w:p>
    <w:p w14:paraId="3656F7B9">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4" w:name="_Toc4569"/>
      <w:r>
        <w:rPr>
          <w:rFonts w:hint="eastAsia"/>
          <w:lang w:val="en-US" w:eastAsia="zh-CN"/>
        </w:rPr>
        <w:t>信息安全管理</w:t>
      </w:r>
      <w:bookmarkEnd w:id="44"/>
    </w:p>
    <w:p w14:paraId="15441BF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根据《运维服务信息安全管理制度》，公司建立信息安全管理流程，确保服务的安全性满足客户约定的级别。</w:t>
      </w:r>
    </w:p>
    <w:p w14:paraId="3EC6F6A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信息安全管理的主要工作包括：遵循公司"统一规划、分级管理、积极防范、人人有责"的安全方针；每年至少进行一次信息安全风险评估，识别信息资产、评估面临的威胁和脆弱性，确定风险等级；制定《信息安全管理规范》，覆盖人员安全、访问控制、数据安全、系统安全、网络安全、物理安全、应急响应七类规范；每半年组织一次安全培训，确保运维人员了解安全政策和操作规范。</w:t>
      </w:r>
    </w:p>
    <w:p w14:paraId="453E40E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571DF5E5">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安全培训覆盖率</w:t>
      </w:r>
    </w:p>
    <w:p w14:paraId="495CCAB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安全培训覆盖率是反映安全培训覆盖广度的量化指标，其计算公式为：安全培训覆盖率 = (接受培训人数 / 应培训人数) × 100%。目标值为≥95%，按年度进行考核，责任部门为运维部。</w:t>
      </w:r>
    </w:p>
    <w:p w14:paraId="3DB2712A">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信息安全事故数量</w:t>
      </w:r>
    </w:p>
    <w:p w14:paraId="66320C3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信息安全事故数量是反映信息安全管理有效性的量化指标。计算方式为：我方人员造成安全事故的次数统计。目标值为≤1次，按年度进行考核，责任部门为运维部。</w:t>
      </w:r>
    </w:p>
    <w:p w14:paraId="18517627">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5" w:name="_Toc14958"/>
      <w:r>
        <w:rPr>
          <w:rFonts w:hint="eastAsia"/>
          <w:lang w:val="en-US" w:eastAsia="zh-CN"/>
        </w:rPr>
        <w:t>交付管理规划</w:t>
      </w:r>
      <w:bookmarkEnd w:id="45"/>
    </w:p>
    <w:p w14:paraId="2AA16C1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根据《运维服务交付管理制度》，公司采用PDCA循环管理模式，通过交付策划、交付实施、交付检查、交付改进四个核心环节，实现服务交付质量的闭环管控。</w:t>
      </w:r>
    </w:p>
    <w:p w14:paraId="2C4B04C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2025年交付管理的主要工作包括：</w:t>
      </w:r>
    </w:p>
    <w:p w14:paraId="6D6AA07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6" w:name="_Toc23309"/>
      <w:r>
        <w:rPr>
          <w:rFonts w:hint="eastAsia"/>
          <w:lang w:val="en-US" w:eastAsia="zh-CN"/>
        </w:rPr>
        <w:t>交付策划</w:t>
      </w:r>
      <w:bookmarkEnd w:id="46"/>
    </w:p>
    <w:p w14:paraId="2D141E1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项目启动时与客户召开项目交底会，明确服务范围、SLA指标、沟通机制、应急联络方式，形成《项目交底会议纪要》；编制《项目服务总计划》和《运维服务交付计划》，明确里程碑节点、交付物、责任人及验收标准；组建"一线、二线、三线"三级运维服务体系，明确各岗位职责；开展全面风险评估，制定《风险管理计划》和专项应急预案。</w:t>
      </w:r>
    </w:p>
    <w:p w14:paraId="0DED013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7" w:name="_Toc10057"/>
      <w:r>
        <w:rPr>
          <w:rFonts w:hint="eastAsia"/>
          <w:lang w:val="en-US" w:eastAsia="zh-CN"/>
        </w:rPr>
        <w:t>交付实施</w:t>
      </w:r>
      <w:bookmarkEnd w:id="47"/>
    </w:p>
    <w:p w14:paraId="6286851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严格遵循服务计划及操作规范，通过工单系统统一受理、派发、处理所有服务请求；建立SLA达成情况实时监控机制，每日统计服务响应时间、故障解决率等关键数据；严格执行故障处理流程，确保所有故障在规定时限内闭环；通过周报、月报、季报等形式，定期向客户及公司管理层同步项目进展、风险状况、服务成果。</w:t>
      </w:r>
    </w:p>
    <w:p w14:paraId="316588C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8" w:name="_Toc191"/>
      <w:r>
        <w:rPr>
          <w:rFonts w:hint="eastAsia"/>
          <w:lang w:val="en-US" w:eastAsia="zh-CN"/>
        </w:rPr>
        <w:t>交付检查</w:t>
      </w:r>
      <w:bookmarkEnd w:id="48"/>
    </w:p>
    <w:p w14:paraId="452C18A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运维项目经理每月组织项目自查，形成《自查报告》并自行整改；产品质量部经理每季度对重点项目进行全覆盖抽查，填写《交付检查报告》；检查结果及时反馈并纳入问题整改台账跟踪闭环。</w:t>
      </w:r>
    </w:p>
    <w:p w14:paraId="66D7ECC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9" w:name="_Toc8334"/>
      <w:r>
        <w:rPr>
          <w:rFonts w:hint="eastAsia"/>
          <w:lang w:val="en-US" w:eastAsia="zh-CN"/>
        </w:rPr>
        <w:t>交付改进</w:t>
      </w:r>
      <w:bookmarkEnd w:id="49"/>
    </w:p>
    <w:p w14:paraId="56CD858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产品质量部牵头，针对检查报告和客户投诉，组织召开专题分析会，制定改进方案，明确整改措施、时限与责任人；定期组织服务复盘会议，总结经验教训，形成《服务改进报告》；将改进成果固化到服务流程、操作手册、知识库中。</w:t>
      </w:r>
    </w:p>
    <w:p w14:paraId="68B3695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KPI指标：交付通过率</w:t>
      </w:r>
    </w:p>
    <w:p w14:paraId="1A23EA7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交付通过率是反映运维服务交付质量的量化指标，其计算公式为：交付通过率 = (一次交付成功项目数 / 总交付项目数) × 100%。目标值为≥95%，按年度进行考核，责任部门为运维部。</w:t>
      </w:r>
    </w:p>
    <w:p w14:paraId="45235506">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0" w:name="_Toc18555"/>
      <w:r>
        <w:rPr>
          <w:rFonts w:hint="eastAsia"/>
          <w:lang w:val="en-US" w:eastAsia="zh-CN"/>
        </w:rPr>
        <w:t>应急管理规划</w:t>
      </w:r>
      <w:bookmarkEnd w:id="50"/>
    </w:p>
    <w:p w14:paraId="7C2AE9A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根据《运维服务应急管理制度》，公司建立统一的应急响应管理体系，确保在突发事件发生时能够快速响应、有效处置。</w:t>
      </w:r>
    </w:p>
    <w:p w14:paraId="6C460D7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2025年应急管理的主要工作包括：</w:t>
      </w:r>
    </w:p>
    <w:p w14:paraId="52F8C5D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组织：公司设立三级应急组织体系，包括应急领导小组（副总经理、运维部经理、研发部经理、产品质量部经理）、应急执行小组（运维项目经理、硬件/软件运维工程师、技术支持工程师）、应急支持小组（综合部经理、备件库专员、采购专员）。</w:t>
      </w:r>
    </w:p>
    <w:p w14:paraId="17D47A1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预案：每个运维项目至少制定一份《应急预案》，涵盖项目核心系统，包括适用范围、应急组织架构及职责、风险场景及对应处置流程、联络方式、资源清单、恢复步骤、回退方案等；应急预案由运维项目经理组织编写，经运维部经理审核、副总经理批准后发布执行；每年至少评审一次应急预案，根据风险评估结果、演练总结、实际事件处置经验进行修订。</w:t>
      </w:r>
    </w:p>
    <w:p w14:paraId="60F9836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响应：应急响应流程分为监测与预警、先期处置、应急启动、应急处置、应急终止五个阶段；一线工程师接到告警后应在15分钟内响应，若在30分钟内无法恢复或事件影响重大，应立即上报运维项目经理和副总经理；应急处置过程中，重大事件每30分钟向客户和管理层通报一次进展。</w:t>
      </w:r>
    </w:p>
    <w:p w14:paraId="66E9EA8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演练：每年至少组织一次全面演练（实战演练），每季度组织一次专项演练（桌面推演）；演练前制定《应急演练计划》，明确演练目标、场景、参与人员、物资准备；演练过程全程记录，演练后组织复盘，评估演练效果，形成《应急演练总结报告》。</w:t>
      </w:r>
    </w:p>
    <w:p w14:paraId="229AD71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KPI指标：应急演练次数</w:t>
      </w:r>
    </w:p>
    <w:p w14:paraId="3268C9C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应急演练次数是反映应急演练执行情况的量化指标。计算方式为：应急演练报告数量统计。目标值为≥1次，按年度进行考核，责任部门为运维部。</w:t>
      </w:r>
    </w:p>
    <w:p w14:paraId="4A1989A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22231"/>
      <w:r>
        <w:rPr>
          <w:rFonts w:hint="eastAsia"/>
          <w:lang w:val="en-US" w:eastAsia="zh-CN"/>
        </w:rPr>
        <w:t>质量管理规划</w:t>
      </w:r>
      <w:bookmarkEnd w:id="51"/>
    </w:p>
    <w:p w14:paraId="769495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根据《运维服务质量管理制度》《内审管理制度》（HFSJ-ITSS-0401）、《管理评审制度》《满意度管理制度》等制度，公司建立全面的质量管理体系，确保运维服务质量持续提升。</w:t>
      </w:r>
    </w:p>
    <w:p w14:paraId="29BC755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2025年质量管理的主要工作包括：</w:t>
      </w:r>
    </w:p>
    <w:p w14:paraId="1BEDBCF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质量方针：遵循公司"过程规范、快速响应、提高服务质量，提升客户满意度"的质量方针，全体员工在日常工作中贯彻质量意识。</w:t>
      </w:r>
    </w:p>
    <w:p w14:paraId="18571AA8">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2" w:name="_Toc1225"/>
      <w:r>
        <w:rPr>
          <w:rFonts w:hint="eastAsia"/>
          <w:lang w:val="en-US" w:eastAsia="zh-CN"/>
        </w:rPr>
        <w:t>质量管理计划</w:t>
      </w:r>
      <w:bookmarkEnd w:id="52"/>
    </w:p>
    <w:p w14:paraId="0FEF85D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产品质量部每年年初制定《年度运维服务质量管理计划》，明确质量管理的目的、范围、组织、权限、责任，确定要对哪些过程和服务进行质量检查审计，明确质量检查的时间安排和频次、质量培训计划、质量目标及KPI指标。</w:t>
      </w:r>
    </w:p>
    <w:p w14:paraId="443AB069">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3" w:name="_Toc28056"/>
      <w:r>
        <w:rPr>
          <w:rFonts w:hint="eastAsia"/>
          <w:lang w:val="en-US" w:eastAsia="zh-CN"/>
        </w:rPr>
        <w:t>质量检查</w:t>
      </w:r>
      <w:bookmarkEnd w:id="53"/>
    </w:p>
    <w:p w14:paraId="00A9E63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产品质量部每季度对组织级的运维服务质量进行审计，检查能力计划执行情况和指标体系中各指标项的达成情况，检查各过程管理制度的执行情况，检查服务交付物的完整性；产品质量部依据质量管理计划，定期对项目活动和工作产品进行检查，记录检查发现的问题，作为改进的依据。</w:t>
      </w:r>
    </w:p>
    <w:p w14:paraId="03665A08">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4" w:name="_Toc8748"/>
      <w:r>
        <w:rPr>
          <w:rFonts w:hint="eastAsia"/>
          <w:lang w:val="en-US" w:eastAsia="zh-CN"/>
        </w:rPr>
        <w:t>内部审核</w:t>
      </w:r>
      <w:bookmarkEnd w:id="54"/>
    </w:p>
    <w:p w14:paraId="2AED180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产品质量部每年度至少组织一次覆盖公司全范围的运维服务管理体系内部审核活动，审核范围应覆盖人员、资源、技术、过程、交付、应急六大能力域；内审员不得审核本部门，审核依据包括ITSS标准、GB/T 28827.1、公司相关制度、SLA协议、客户需求及法律法规；审核结束后，内审组长编写《内部审核报告》，报总经理审批后发放至相关受审部门。</w:t>
      </w:r>
    </w:p>
    <w:p w14:paraId="7A008CB9">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8859"/>
      <w:r>
        <w:rPr>
          <w:rFonts w:hint="eastAsia"/>
          <w:lang w:val="en-US" w:eastAsia="zh-CN"/>
        </w:rPr>
        <w:t>管理评审</w:t>
      </w:r>
      <w:bookmarkEnd w:id="55"/>
    </w:p>
    <w:p w14:paraId="03950A1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总经理每年至少主持一次管理评审会议，一般在内部审核结束后一个月内进行；管理评审输入包括内审结果、外审结果、客户满意度调查报告、KPI达成情况、交付情况、应急情况、技术发展、资源状况、人员状况等；管理评审输出包括管理体系适宜性、充分性和有效性的总体评价，体系改进方向和重点，具体改进决议事项，资源配置需求，下一年度运维服务目标建议；产品质量部根据评审决议编写《管理评审报告》，经总经理批准后发放至各相关部门。</w:t>
      </w:r>
    </w:p>
    <w:p w14:paraId="4C4204D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6" w:name="_Toc17719"/>
      <w:r>
        <w:rPr>
          <w:rFonts w:hint="eastAsia"/>
          <w:lang w:val="en-US" w:eastAsia="zh-CN"/>
        </w:rPr>
        <w:t>客户满意度管理</w:t>
      </w:r>
      <w:bookmarkEnd w:id="56"/>
    </w:p>
    <w:p w14:paraId="0CFB94A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产品质量部每年度至少组织一次组织级客户满意度调查，采用问卷填写方式，调查内容与SLA内容相一致，覆盖所有运维服务客户；调查维度包括响应速度、服务态度、技术水平、交付质量、应急响应、沟通协调、总体评价；产品质量部根据调查反馈数据进行分析总结，编写《客户满意度调查分析报告》，提出服务改进建议。</w:t>
      </w:r>
    </w:p>
    <w:p w14:paraId="047BAD1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528282ED">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内审次数</w:t>
      </w:r>
    </w:p>
    <w:p w14:paraId="1195D70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内审次数是反映内部审核执行情况的量化指标。计算方式为：内审报告数量统计。目标值为≥1次，按年度进行考核，责任部门为产品质量部。</w:t>
      </w:r>
    </w:p>
    <w:p w14:paraId="4182D258">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管评次数</w:t>
      </w:r>
    </w:p>
    <w:p w14:paraId="2E2DA59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管评次数是反映管理评审执行情况的量化指标。计算方式为：管评报告数量统计。目标值为≥1次，按年度进行考核，责任部门为产品质量部。</w:t>
      </w:r>
    </w:p>
    <w:p w14:paraId="6BF93830">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客户投诉数量</w:t>
      </w:r>
    </w:p>
    <w:p w14:paraId="44163FB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客户投诉数量是反映客户满意度的量化指标。计算方式为：服务台收到的客户投诉的数量统计。目标值为≤2次，按年度进行考核，责任部门为质量。</w:t>
      </w:r>
    </w:p>
    <w:p w14:paraId="2BB05582">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满意度得分</w:t>
      </w:r>
    </w:p>
    <w:p w14:paraId="723F2B8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满意度得分是反映客户对运维服务整体满意程度的量化指标，其计算公式为：满意度得分 = 满意度得分总和 / 满意度调查客户数。目标值为≥95分，按年度进行考核，责任部门为产品质量部。</w:t>
      </w:r>
    </w:p>
    <w:p w14:paraId="1E21A67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21FF5E"/>
    <w:multiLevelType w:val="singleLevel"/>
    <w:tmpl w:val="8B21FF5E"/>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BC4E6598"/>
    <w:multiLevelType w:val="singleLevel"/>
    <w:tmpl w:val="BC4E6598"/>
    <w:lvl w:ilvl="0" w:tentative="0">
      <w:start w:val="1"/>
      <w:numFmt w:val="decimal"/>
      <w:lvlText w:val="%1."/>
      <w:lvlJc w:val="left"/>
      <w:pPr>
        <w:ind w:left="425" w:hanging="425"/>
      </w:pPr>
      <w:rPr>
        <w:rFonts w:hint="default"/>
      </w:rPr>
    </w:lvl>
  </w:abstractNum>
  <w:abstractNum w:abstractNumId="3">
    <w:nsid w:val="BD3CB2BC"/>
    <w:multiLevelType w:val="singleLevel"/>
    <w:tmpl w:val="BD3CB2BC"/>
    <w:lvl w:ilvl="0" w:tentative="0">
      <w:start w:val="1"/>
      <w:numFmt w:val="decimal"/>
      <w:lvlText w:val="%1."/>
      <w:lvlJc w:val="left"/>
      <w:pPr>
        <w:ind w:left="425" w:hanging="425"/>
      </w:pPr>
      <w:rPr>
        <w:rFonts w:hint="default"/>
      </w:rPr>
    </w:lvl>
  </w:abstractNum>
  <w:abstractNum w:abstractNumId="4">
    <w:nsid w:val="C8F36CFC"/>
    <w:multiLevelType w:val="singleLevel"/>
    <w:tmpl w:val="C8F36CFC"/>
    <w:lvl w:ilvl="0" w:tentative="0">
      <w:start w:val="1"/>
      <w:numFmt w:val="decimal"/>
      <w:lvlText w:val="%1."/>
      <w:lvlJc w:val="left"/>
      <w:pPr>
        <w:ind w:left="425" w:hanging="425"/>
      </w:pPr>
      <w:rPr>
        <w:rFonts w:hint="default"/>
      </w:rPr>
    </w:lvl>
  </w:abstractNum>
  <w:abstractNum w:abstractNumId="5">
    <w:nsid w:val="D19F490F"/>
    <w:multiLevelType w:val="singleLevel"/>
    <w:tmpl w:val="D19F490F"/>
    <w:lvl w:ilvl="0" w:tentative="0">
      <w:start w:val="1"/>
      <w:numFmt w:val="decimal"/>
      <w:lvlText w:val="%1."/>
      <w:lvlJc w:val="left"/>
      <w:pPr>
        <w:ind w:left="425" w:hanging="425"/>
      </w:pPr>
      <w:rPr>
        <w:rFonts w:hint="default"/>
      </w:rPr>
    </w:lvl>
  </w:abstractNum>
  <w:abstractNum w:abstractNumId="6">
    <w:nsid w:val="DCF153B7"/>
    <w:multiLevelType w:val="singleLevel"/>
    <w:tmpl w:val="DCF153B7"/>
    <w:lvl w:ilvl="0" w:tentative="0">
      <w:start w:val="1"/>
      <w:numFmt w:val="decimal"/>
      <w:lvlText w:val="%1."/>
      <w:lvlJc w:val="left"/>
      <w:pPr>
        <w:ind w:left="425" w:hanging="425"/>
      </w:pPr>
      <w:rPr>
        <w:rFonts w:hint="default"/>
      </w:rPr>
    </w:lvl>
  </w:abstractNum>
  <w:abstractNum w:abstractNumId="7">
    <w:nsid w:val="037B62C4"/>
    <w:multiLevelType w:val="singleLevel"/>
    <w:tmpl w:val="037B62C4"/>
    <w:lvl w:ilvl="0" w:tentative="0">
      <w:start w:val="1"/>
      <w:numFmt w:val="decimal"/>
      <w:lvlText w:val="%1."/>
      <w:lvlJc w:val="left"/>
      <w:pPr>
        <w:ind w:left="425" w:hanging="425"/>
      </w:pPr>
      <w:rPr>
        <w:rFonts w:hint="default"/>
      </w:rPr>
    </w:lvl>
  </w:abstractNum>
  <w:abstractNum w:abstractNumId="8">
    <w:nsid w:val="049F18A2"/>
    <w:multiLevelType w:val="singleLevel"/>
    <w:tmpl w:val="049F18A2"/>
    <w:lvl w:ilvl="0" w:tentative="0">
      <w:start w:val="1"/>
      <w:numFmt w:val="decimal"/>
      <w:lvlText w:val="%1."/>
      <w:lvlJc w:val="left"/>
      <w:pPr>
        <w:ind w:left="425" w:hanging="425"/>
      </w:pPr>
      <w:rPr>
        <w:rFonts w:hint="default"/>
      </w:rPr>
    </w:lvl>
  </w:abstractNum>
  <w:abstractNum w:abstractNumId="9">
    <w:nsid w:val="15FDC934"/>
    <w:multiLevelType w:val="singleLevel"/>
    <w:tmpl w:val="15FDC934"/>
    <w:lvl w:ilvl="0" w:tentative="0">
      <w:start w:val="1"/>
      <w:numFmt w:val="decimal"/>
      <w:lvlText w:val="%1."/>
      <w:lvlJc w:val="left"/>
      <w:pPr>
        <w:ind w:left="425" w:hanging="425"/>
      </w:pPr>
      <w:rPr>
        <w:rFonts w:hint="default"/>
      </w:rPr>
    </w:lvl>
  </w:abstractNum>
  <w:abstractNum w:abstractNumId="10">
    <w:nsid w:val="2209B528"/>
    <w:multiLevelType w:val="singleLevel"/>
    <w:tmpl w:val="2209B528"/>
    <w:lvl w:ilvl="0" w:tentative="0">
      <w:start w:val="1"/>
      <w:numFmt w:val="decimal"/>
      <w:lvlText w:val="%1."/>
      <w:lvlJc w:val="left"/>
      <w:pPr>
        <w:ind w:left="425" w:hanging="425"/>
      </w:pPr>
      <w:rPr>
        <w:rFonts w:hint="default"/>
      </w:rPr>
    </w:lvl>
  </w:abstractNum>
  <w:abstractNum w:abstractNumId="11">
    <w:nsid w:val="6174B873"/>
    <w:multiLevelType w:val="singleLevel"/>
    <w:tmpl w:val="6174B873"/>
    <w:lvl w:ilvl="0" w:tentative="0">
      <w:start w:val="1"/>
      <w:numFmt w:val="decimal"/>
      <w:lvlText w:val="%1."/>
      <w:lvlJc w:val="left"/>
      <w:pPr>
        <w:ind w:left="425" w:hanging="425"/>
      </w:pPr>
      <w:rPr>
        <w:rFonts w:hint="default"/>
      </w:rPr>
    </w:lvl>
  </w:abstractNum>
  <w:abstractNum w:abstractNumId="12">
    <w:nsid w:val="6C675FB8"/>
    <w:multiLevelType w:val="singleLevel"/>
    <w:tmpl w:val="6C675FB8"/>
    <w:lvl w:ilvl="0" w:tentative="0">
      <w:start w:val="1"/>
      <w:numFmt w:val="decimal"/>
      <w:lvlText w:val="%1."/>
      <w:lvlJc w:val="left"/>
      <w:pPr>
        <w:ind w:left="425" w:hanging="425"/>
      </w:pPr>
      <w:rPr>
        <w:rFonts w:hint="default"/>
      </w:rPr>
    </w:lvl>
  </w:abstractNum>
  <w:num w:numId="1">
    <w:abstractNumId w:val="1"/>
  </w:num>
  <w:num w:numId="2">
    <w:abstractNumId w:val="6"/>
  </w:num>
  <w:num w:numId="3">
    <w:abstractNumId w:val="10"/>
  </w:num>
  <w:num w:numId="4">
    <w:abstractNumId w:val="11"/>
  </w:num>
  <w:num w:numId="5">
    <w:abstractNumId w:val="5"/>
  </w:num>
  <w:num w:numId="6">
    <w:abstractNumId w:val="8"/>
  </w:num>
  <w:num w:numId="7">
    <w:abstractNumId w:val="3"/>
  </w:num>
  <w:num w:numId="8">
    <w:abstractNumId w:val="4"/>
  </w:num>
  <w:num w:numId="9">
    <w:abstractNumId w:val="2"/>
  </w:num>
  <w:num w:numId="10">
    <w:abstractNumId w:val="9"/>
  </w:num>
  <w:num w:numId="11">
    <w:abstractNumId w:val="0"/>
  </w:num>
  <w:num w:numId="12">
    <w:abstractNumId w:val="7"/>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C177904"/>
    <w:rsid w:val="2D4D1B86"/>
    <w:rsid w:val="2F9F3BE4"/>
    <w:rsid w:val="37B3452D"/>
    <w:rsid w:val="445C1158"/>
    <w:rsid w:val="46D409F3"/>
    <w:rsid w:val="485A1120"/>
    <w:rsid w:val="4E4C1E6E"/>
    <w:rsid w:val="567C3DED"/>
    <w:rsid w:val="56A1141D"/>
    <w:rsid w:val="5AD577DE"/>
    <w:rsid w:val="75510F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able of figures"/>
    <w:basedOn w:val="1"/>
    <w:next w:val="1"/>
    <w:qFormat/>
    <w:uiPriority w:val="0"/>
    <w:pPr>
      <w:ind w:leftChars="200" w:hanging="200" w:hangingChars="200"/>
    </w:pPr>
  </w:style>
  <w:style w:type="paragraph" w:styleId="19">
    <w:name w:val="toc 2"/>
    <w:basedOn w:val="1"/>
    <w:next w:val="1"/>
    <w:qFormat/>
    <w:uiPriority w:val="0"/>
    <w:pPr>
      <w:ind w:left="420" w:leftChars="200"/>
    </w:p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1">
    <w:name w:val="Normal (Web)"/>
    <w:basedOn w:val="1"/>
    <w:qFormat/>
    <w:uiPriority w:val="0"/>
    <w:rPr>
      <w:sz w:val="24"/>
    </w:rPr>
  </w:style>
  <w:style w:type="paragraph" w:styleId="22">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paragraph" w:customStyle="1" w:styleId="27">
    <w:name w:val="柴_公司名"/>
    <w:basedOn w:val="22"/>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2"/>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3"/>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3"/>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20"/>
    <w:link w:val="48"/>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2286</Words>
  <Characters>2717</Characters>
  <Lines>0</Lines>
  <Paragraphs>0</Paragraphs>
  <TotalTime>0</TotalTime>
  <ScaleCrop>false</ScaleCrop>
  <LinksUpToDate>false</LinksUpToDate>
  <CharactersWithSpaces>2869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2026-06-13T03:10:35Z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