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A2D9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6CD8F7E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2025年度总结报告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31C7F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D064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AB7B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13D8E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F240D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78731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92A63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E197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8CFC7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0A4DC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73ADC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72FA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1D4A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0C1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DE76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BBA9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344E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ACD6C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B567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590AB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4C539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39FC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7278D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B7176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52AFE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512943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8190C5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118C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551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F7E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3849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A79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478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5FB41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8C4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E2A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94E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06BC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AB6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4328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FB5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A9B5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3850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0C8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B75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A5B3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3C5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A23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25E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98F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21C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98DC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7C9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36D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ACF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C19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E19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5ECE00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D68C8D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D244F4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_Toc30704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_Toc30704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D9B8CB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_Toc29274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3D1B41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_Toc12167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61218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项目实施情况总结</w:t>
          </w:r>
          <w:r>
            <w:tab/>
          </w:r>
          <w:r>
            <w:fldChar w:fldCharType="begin"/>
          </w:r>
          <w:r>
            <w:instrText xml:space="preserve"> PAGEREF _Toc17582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CDFA6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项目整体进展</w:t>
          </w:r>
          <w:r>
            <w:tab/>
          </w:r>
          <w:r>
            <w:fldChar w:fldCharType="begin"/>
          </w:r>
          <w:r>
            <w:instrText xml:space="preserve"> PAGEREF _Toc26980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9D919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各阶段工作回顾</w:t>
          </w:r>
          <w:r>
            <w:tab/>
          </w:r>
          <w:r>
            <w:fldChar w:fldCharType="begin"/>
          </w:r>
          <w:r>
            <w:instrText xml:space="preserve"> PAGEREF _Toc12340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FCB57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运维服务执行情况</w:t>
          </w:r>
          <w:r>
            <w:tab/>
          </w:r>
          <w:r>
            <w:fldChar w:fldCharType="begin"/>
          </w:r>
          <w:r>
            <w:instrText xml:space="preserve"> PAGEREF _Toc22683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A6DFE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日常运维执行情况</w:t>
          </w:r>
          <w:r>
            <w:tab/>
          </w:r>
          <w:r>
            <w:fldChar w:fldCharType="begin"/>
          </w:r>
          <w:r>
            <w:instrText xml:space="preserve"> PAGEREF _Toc21971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70632B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月度运维工作执行情况</w:t>
          </w:r>
          <w:r>
            <w:tab/>
          </w:r>
          <w:r>
            <w:fldChar w:fldCharType="begin"/>
          </w:r>
          <w:r>
            <w:instrText xml:space="preserve"> PAGEREF _Toc29716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FCFD29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季度运维工作执行情况</w:t>
          </w:r>
          <w:r>
            <w:tab/>
          </w:r>
          <w:r>
            <w:fldChar w:fldCharType="begin"/>
          </w:r>
          <w:r>
            <w:instrText xml:space="preserve"> PAGEREF _Toc11266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34EA0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服务台运行情况</w:t>
          </w:r>
          <w:r>
            <w:tab/>
          </w:r>
          <w:r>
            <w:fldChar w:fldCharType="begin"/>
          </w:r>
          <w:r>
            <w:instrText xml:space="preserve"> PAGEREF _Toc3799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AC589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质量目标达成情况</w:t>
          </w:r>
          <w:r>
            <w:tab/>
          </w:r>
          <w:r>
            <w:fldChar w:fldCharType="begin"/>
          </w:r>
          <w:r>
            <w:instrText xml:space="preserve"> PAGEREF _Toc15982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462BF6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可用性目标达成情况</w:t>
          </w:r>
          <w:r>
            <w:tab/>
          </w:r>
          <w:r>
            <w:fldChar w:fldCharType="begin"/>
          </w:r>
          <w:r>
            <w:instrText xml:space="preserve"> PAGEREF _Toc32656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3D0D2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服务质量目标达成情况</w:t>
          </w:r>
          <w:r>
            <w:tab/>
          </w:r>
          <w:r>
            <w:fldChar w:fldCharType="begin"/>
          </w:r>
          <w:r>
            <w:instrText xml:space="preserve"> PAGEREF _Toc998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E2DF80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服务报告提交情况</w:t>
          </w:r>
          <w:r>
            <w:tab/>
          </w:r>
          <w:r>
            <w:fldChar w:fldCharType="begin"/>
          </w:r>
          <w:r>
            <w:instrText xml:space="preserve"> PAGEREF _Toc14691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1B4E20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存在问题与改进措施</w:t>
          </w:r>
          <w:r>
            <w:tab/>
          </w:r>
          <w:r>
            <w:fldChar w:fldCharType="begin"/>
          </w:r>
          <w:r>
            <w:instrText xml:space="preserve"> PAGEREF _Toc17500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FF4768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存在的主要问题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48C6B7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改进措施</w:t>
          </w:r>
          <w:r>
            <w:tab/>
          </w:r>
          <w:r>
            <w:fldChar w:fldCharType="begin"/>
          </w:r>
          <w:r>
            <w:instrText xml:space="preserve"> PAGEREF _Toc6208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477F2B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下阶段工作计划</w:t>
          </w:r>
          <w:r>
            <w:tab/>
          </w:r>
          <w:r>
            <w:fldChar w:fldCharType="begin"/>
          </w:r>
          <w:r>
            <w:instrText xml:space="preserve"> PAGEREF _Toc30132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A54BF1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下阶段工作重点</w:t>
          </w:r>
          <w:r>
            <w:tab/>
          </w:r>
          <w:r>
            <w:fldChar w:fldCharType="begin"/>
          </w:r>
          <w:r>
            <w:instrText xml:space="preserve"> PAGEREF _Toc5005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0F36D8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下阶段工作安排</w:t>
          </w:r>
          <w:r>
            <w:tab/>
          </w:r>
          <w:r>
            <w:fldChar w:fldCharType="begin"/>
          </w:r>
          <w:r>
            <w:instrText xml:space="preserve"> PAGEREF _Toc15766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A757EF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总结</w:t>
          </w:r>
          <w:r>
            <w:tab/>
          </w:r>
          <w:r>
            <w:fldChar w:fldCharType="begin"/>
          </w:r>
          <w:r>
            <w:instrText xml:space="preserve"> PAGEREF _Toc558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019CB5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5BB6252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68AAB1F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_Toc2221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0EAA92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_Toc21327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r>
        <w:tab/>
      </w:r>
      <w:r>
        <w:fldChar w:fldCharType="begin"/>
      </w:r>
      <w:r>
        <w:instrText xml:space="preserve"> PAGEREF _Toc21327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CF591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_Toc3843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r>
        <w:tab/>
      </w:r>
      <w:r>
        <w:fldChar w:fldCharType="begin"/>
      </w:r>
      <w:r>
        <w:instrText xml:space="preserve"> PAGEREF _Toc3843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3448F0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r>
        <w:tab/>
      </w:r>
      <w:r>
        <w:fldChar w:fldCharType="begin"/>
      </w:r>
      <w:r>
        <w:instrText xml:space="preserve"> PAGEREF _Toc717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F0F6F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_Toc5529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r>
        <w:tab/>
      </w:r>
      <w:r>
        <w:fldChar w:fldCharType="begin"/>
      </w:r>
      <w:r>
        <w:instrText xml:space="preserve"> PAGEREF _Toc5529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72C83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r>
        <w:tab/>
      </w:r>
      <w:r>
        <w:fldChar w:fldCharType="begin"/>
      </w:r>
      <w:r>
        <w:instrText xml:space="preserve"> PAGEREF _Toc11162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A682D9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r>
        <w:tab/>
      </w:r>
      <w:r>
        <w:fldChar w:fldCharType="begin"/>
      </w:r>
      <w:r>
        <w:instrText xml:space="preserve"> PAGEREF _Toc24477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74EE9E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_Toc32761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r>
        <w:tab/>
      </w:r>
      <w:r>
        <w:fldChar w:fldCharType="begin"/>
      </w:r>
      <w:r>
        <w:instrText xml:space="preserve"> PAGEREF _Toc32761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121651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_Toc13319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_Toc13319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667469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_Toc5697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2026年度运维计划表</w:t>
      </w:r>
      <w:r>
        <w:tab/>
      </w:r>
      <w:r>
        <w:fldChar w:fldCharType="begin"/>
      </w:r>
      <w:r>
        <w:instrText xml:space="preserve"> PAGEREF _Toc5697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E8783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781547A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BD24ADA">
      <w:pPr>
        <w:pStyle w:val="31"/>
        <w:bidi w:val="0"/>
        <w:rPr>
          <w:rFonts w:hint="default"/>
          <w:lang w:val="en-US" w:eastAsia="zh-CN"/>
        </w:rPr>
      </w:pPr>
      <w:bookmarkStart w:id="1" w:name="_Toc30704"/>
      <w:r>
        <w:rPr>
          <w:rFonts w:hint="default"/>
          <w:lang w:val="en-US" w:eastAsia="zh-CN"/>
        </w:rPr>
        <w:t>报告概述</w:t>
      </w:r>
      <w:bookmarkEnd w:id="1"/>
    </w:p>
    <w:p w14:paraId="23E5EFC4">
      <w:pPr>
        <w:pStyle w:val="33"/>
        <w:bidi w:val="0"/>
        <w:rPr>
          <w:rFonts w:hint="default"/>
          <w:lang w:val="en-US" w:eastAsia="zh-CN"/>
        </w:rPr>
      </w:pPr>
      <w:bookmarkStart w:id="2" w:name="_Toc29274"/>
      <w:r>
        <w:rPr>
          <w:rFonts w:hint="default"/>
          <w:lang w:val="en-US" w:eastAsia="zh-CN"/>
        </w:rPr>
        <w:t>报告基本信息</w:t>
      </w:r>
      <w:bookmarkEnd w:id="2"/>
    </w:p>
    <w:p w14:paraId="29AF231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221"/>
      <w:bookmarkStart w:id="4" w:name="_Toc16208"/>
      <w:bookmarkStart w:id="5" w:name="_Toc1925"/>
      <w:bookmarkStart w:id="6" w:name="_Toc30342"/>
      <w:r>
        <w:rPr>
          <w:rFonts w:hint="eastAsia"/>
          <w:lang w:val="en-US" w:eastAsia="zh-CN"/>
        </w:rPr>
        <w:t xml:space="preserve"> 项目基本信息表</w:t>
      </w:r>
      <w:bookmarkEnd w:id="3"/>
      <w:bookmarkEnd w:id="4"/>
      <w:bookmarkEnd w:id="5"/>
      <w:bookmarkEnd w:id="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6102"/>
      </w:tblGrid>
      <w:tr w14:paraId="5F966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22E1A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1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DF5B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 w14:paraId="2D947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0B211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B9C425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2025年国电电力湖南新能源系统运维项目</w:t>
            </w:r>
          </w:p>
        </w:tc>
      </w:tr>
      <w:tr w14:paraId="6D2A9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DC2CB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2D5AC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合同生效日 至 2025年12月31日</w:t>
            </w:r>
          </w:p>
        </w:tc>
      </w:tr>
      <w:tr w14:paraId="18400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369094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B1E457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阶段性总结报告</w:t>
            </w:r>
          </w:p>
        </w:tc>
      </w:tr>
      <w:tr w14:paraId="0CDCA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77D05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F3CFD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</w:tr>
      <w:tr w14:paraId="7ECDD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72104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报告审核人</w:t>
            </w:r>
          </w:p>
        </w:tc>
        <w:tc>
          <w:tcPr>
            <w:tcW w:w="61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C4794F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</w:tr>
    </w:tbl>
    <w:p w14:paraId="3AA247B5">
      <w:pPr>
        <w:pStyle w:val="3"/>
        <w:bidi w:val="0"/>
        <w:rPr>
          <w:rFonts w:hint="default"/>
          <w:lang w:val="en-US" w:eastAsia="zh-CN"/>
        </w:rPr>
      </w:pPr>
      <w:bookmarkStart w:id="7" w:name="_Toc12167"/>
      <w:r>
        <w:rPr>
          <w:rFonts w:hint="default"/>
          <w:lang w:val="en-US" w:eastAsia="zh-CN"/>
        </w:rPr>
        <w:t>报告目的</w:t>
      </w:r>
      <w:bookmarkEnd w:id="7"/>
    </w:p>
    <w:p w14:paraId="1E60F27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本报告旨在总结《2025年国电电力湖南新能源系统运维项目》项目自合同生效以来至2025年12月</w:t>
      </w:r>
      <w:r>
        <w:rPr>
          <w:rFonts w:hint="eastAsia"/>
          <w:lang w:val="en-US" w:eastAsia="zh-CN"/>
        </w:rPr>
        <w:t>底</w:t>
      </w:r>
      <w:bookmarkStart w:id="36" w:name="_GoBack"/>
      <w:bookmarkEnd w:id="36"/>
      <w:r>
        <w:rPr>
          <w:rFonts w:hint="default"/>
          <w:lang w:val="en-US" w:eastAsia="zh-CN"/>
        </w:rPr>
        <w:t>的实施与运维情况，回顾项目各阶段工作完成情况，评估服务质量目标达成情况，分析存在的问题，提出改进措施，并为下一阶段工作提供指导。</w:t>
      </w:r>
    </w:p>
    <w:p w14:paraId="40DACA62">
      <w:pPr>
        <w:pStyle w:val="31"/>
        <w:bidi w:val="0"/>
        <w:rPr>
          <w:rFonts w:hint="default"/>
          <w:lang w:val="en-US" w:eastAsia="zh-CN"/>
        </w:rPr>
      </w:pPr>
      <w:bookmarkStart w:id="8" w:name="_Toc17582"/>
      <w:r>
        <w:rPr>
          <w:rFonts w:hint="default"/>
          <w:lang w:val="en-US" w:eastAsia="zh-CN"/>
        </w:rPr>
        <w:t>项目实施情况总结</w:t>
      </w:r>
      <w:bookmarkEnd w:id="8"/>
    </w:p>
    <w:p w14:paraId="15E0E757">
      <w:pPr>
        <w:pStyle w:val="33"/>
        <w:bidi w:val="0"/>
        <w:rPr>
          <w:rFonts w:hint="default"/>
          <w:lang w:val="en-US" w:eastAsia="zh-CN"/>
        </w:rPr>
      </w:pPr>
      <w:bookmarkStart w:id="9" w:name="_Toc26980"/>
      <w:r>
        <w:rPr>
          <w:rFonts w:hint="default"/>
          <w:lang w:val="en-US" w:eastAsia="zh-CN"/>
        </w:rPr>
        <w:t>项目整体进展</w:t>
      </w:r>
      <w:bookmarkEnd w:id="9"/>
    </w:p>
    <w:p w14:paraId="6F3E219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自合同生效以来，项目按照《年度实施与运维计划》有序推进，已完成项目启动、需求确认、系统部署、系统培训、试运行五个阶段工作，系统已于合同生效后第14周正式投入运行，目前处于正式运维阶段。</w:t>
      </w:r>
    </w:p>
    <w:p w14:paraId="0DB7706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132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bookmarkEnd w:id="1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453"/>
        <w:gridCol w:w="1926"/>
        <w:gridCol w:w="1571"/>
        <w:gridCol w:w="1327"/>
      </w:tblGrid>
      <w:tr w14:paraId="39EC8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FD1A9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45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20B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19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EA41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实际完成时间</w:t>
            </w:r>
          </w:p>
        </w:tc>
        <w:tc>
          <w:tcPr>
            <w:tcW w:w="15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D7CE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6D23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6842F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9FDC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184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103F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9BD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D18D4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2D045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3803AB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F774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1E9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F1B65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808E1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32383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D67F9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8AB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116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ACC8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397F1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19D39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A6363D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255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677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013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E74348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2C447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A704ED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6DA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CF05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24C9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8B9D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29F14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5A5D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648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995C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A171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7E08D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 w14:paraId="40636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49E49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D4E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037B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按时提交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912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E91587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已完成3次</w:t>
            </w:r>
          </w:p>
        </w:tc>
      </w:tr>
      <w:tr w14:paraId="5AA52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7CA70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4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5F1A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D82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5A3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59CDE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</w:t>
            </w:r>
          </w:p>
        </w:tc>
      </w:tr>
    </w:tbl>
    <w:p w14:paraId="6250C840">
      <w:pPr>
        <w:pStyle w:val="33"/>
        <w:bidi w:val="0"/>
        <w:rPr>
          <w:rFonts w:hint="default"/>
          <w:lang w:val="en-US" w:eastAsia="zh-CN"/>
        </w:rPr>
      </w:pPr>
      <w:bookmarkStart w:id="11" w:name="_Toc12340"/>
      <w:r>
        <w:rPr>
          <w:rFonts w:hint="default"/>
          <w:lang w:val="en-US" w:eastAsia="zh-CN"/>
        </w:rPr>
        <w:t>各阶段工作回顾</w:t>
      </w:r>
      <w:bookmarkEnd w:id="11"/>
    </w:p>
    <w:p w14:paraId="0FFE41C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项目启动阶段。完成了项目团队组建，召开了项目启动会，明确了项目目标、范围、计划和沟通机制。双方项目组建立了良好的协作关系，为后续工作顺利开展奠定了基础。</w:t>
      </w:r>
    </w:p>
    <w:p w14:paraId="4262FBF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需求确认阶段。深入调研了甲方业务流程和管理需求，确认了新能源系统功能需求清单，完成了硬件环境检查，明确了数据迁移方案。需求确认书经双方确认，为系统建设提供了明确依据。</w:t>
      </w:r>
    </w:p>
    <w:p w14:paraId="2E0211CB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系统部署阶段。完成了服务器环境准备、网络连通性测试、新能源系统部署配置、数据库初始化、历史数据导入、现场设备调试和系统功能测试。系统部署报告显示，所有功能模块运行正常，满足业务需求。</w:t>
      </w:r>
    </w:p>
    <w:p w14:paraId="62B305E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系统培训阶段。编写了操作手册和培训材料，组织操作人员培训和管理员培训，参训人员覆盖率达到100%。培训效果评估显示，参训人员能够独立完成日常业务操作，培训效果良好。</w:t>
      </w:r>
    </w:p>
    <w:p w14:paraId="6673F5C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试运行阶段。系统正式上线运行，经过4周试运行监控，系统运行稳定，用户反馈问题及时处理，试运行报告显示系统具备正式运维条件。</w:t>
      </w:r>
    </w:p>
    <w:p w14:paraId="0108B35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正式运维阶段。自系统验收后进入正式运维阶段，按计划开展日常运维、巡检监控、故障处理、服务报告等工作，系统运行平稳。</w:t>
      </w:r>
    </w:p>
    <w:p w14:paraId="5F518C38">
      <w:pPr>
        <w:pStyle w:val="31"/>
        <w:bidi w:val="0"/>
        <w:rPr>
          <w:rFonts w:hint="default"/>
          <w:lang w:val="en-US" w:eastAsia="zh-CN"/>
        </w:rPr>
      </w:pPr>
      <w:bookmarkStart w:id="12" w:name="_Toc22683"/>
      <w:r>
        <w:rPr>
          <w:rFonts w:hint="default"/>
          <w:lang w:val="en-US" w:eastAsia="zh-CN"/>
        </w:rPr>
        <w:t>运维服务执行情况</w:t>
      </w:r>
      <w:bookmarkEnd w:id="12"/>
    </w:p>
    <w:p w14:paraId="3A34E54E">
      <w:pPr>
        <w:pStyle w:val="33"/>
        <w:bidi w:val="0"/>
        <w:rPr>
          <w:rFonts w:hint="default"/>
          <w:lang w:val="en-US" w:eastAsia="zh-CN"/>
        </w:rPr>
      </w:pPr>
      <w:bookmarkStart w:id="13" w:name="_Toc21971"/>
      <w:r>
        <w:rPr>
          <w:rFonts w:hint="default"/>
          <w:lang w:val="en-US" w:eastAsia="zh-CN"/>
        </w:rPr>
        <w:t>日常运维执行情况</w:t>
      </w:r>
      <w:bookmarkEnd w:id="13"/>
    </w:p>
    <w:p w14:paraId="12A89B3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8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bookmarkEnd w:id="1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 w14:paraId="2D248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B405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87D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BC3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BB4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95E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2F9A8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521A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系统运行状态检查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3C1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A80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625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6FE4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543BD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C833B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服务器状态监控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7BB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77A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BEF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FBDA4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7A0A6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DA95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网络连通性测试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39F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61F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FE5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64E72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010E6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E06CA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数据备份执行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1B5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B2D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B24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4BAD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 w14:paraId="7F773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B287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现场设备巡检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AAB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BD7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754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59166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70A96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7929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系统日志分析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937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774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610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1697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4B834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D215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服务台事件处理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406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按需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186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4EB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C721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全部处理</w:t>
            </w:r>
          </w:p>
        </w:tc>
      </w:tr>
      <w:tr w14:paraId="46CFB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7857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F59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C2D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444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8E0B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 w14:paraId="503F18C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5F14A779">
      <w:pPr>
        <w:pStyle w:val="33"/>
        <w:bidi w:val="0"/>
        <w:rPr>
          <w:rFonts w:hint="default"/>
          <w:lang w:val="en-US" w:eastAsia="zh-CN"/>
        </w:rPr>
      </w:pPr>
      <w:bookmarkStart w:id="15" w:name="_Toc29716"/>
      <w:r>
        <w:rPr>
          <w:rFonts w:hint="default"/>
          <w:lang w:val="en-US" w:eastAsia="zh-CN"/>
        </w:rPr>
        <w:t>月度运维工作执行情况</w:t>
      </w:r>
      <w:bookmarkEnd w:id="15"/>
    </w:p>
    <w:p w14:paraId="4A41A92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1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bookmarkEnd w:id="16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 w14:paraId="44E4E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DF3B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A01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3BF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2E6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524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61AB4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A39C4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系统补丁更新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B05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F01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46C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8A85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44FFA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3540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数据库健康检查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AA83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079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95C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5507B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32918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471E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1D6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995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6B2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2CFB6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 w14:paraId="0D33D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B8C5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月度可用性统计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5F1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473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B69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CA24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3FAC1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48A2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月度运维服务报告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C96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8ED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AEAF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CBEA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全部提交</w:t>
            </w:r>
          </w:p>
        </w:tc>
      </w:tr>
    </w:tbl>
    <w:p w14:paraId="7FB308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3300A6BA">
      <w:pPr>
        <w:pStyle w:val="33"/>
        <w:bidi w:val="0"/>
        <w:rPr>
          <w:rFonts w:hint="default"/>
          <w:lang w:val="en-US" w:eastAsia="zh-CN"/>
        </w:rPr>
      </w:pPr>
      <w:bookmarkStart w:id="17" w:name="_Toc11266"/>
      <w:r>
        <w:rPr>
          <w:rFonts w:hint="default"/>
          <w:lang w:val="en-US" w:eastAsia="zh-CN"/>
        </w:rPr>
        <w:t>季度运维工作执行情况</w:t>
      </w:r>
      <w:bookmarkEnd w:id="17"/>
    </w:p>
    <w:p w14:paraId="55C3FAE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8" w:name="_Toc552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bookmarkEnd w:id="18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1713"/>
        <w:gridCol w:w="1713"/>
        <w:gridCol w:w="1437"/>
        <w:gridCol w:w="1413"/>
      </w:tblGrid>
      <w:tr w14:paraId="76D8F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2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EBF9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EF9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71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B8B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D4D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4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9D9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19D98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D9EBC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系统性能评估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9CE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CE0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A67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723E9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30AAC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1F2A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容量分析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B7A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ECE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4D2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712E3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725B1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70B4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003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892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D20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56D4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0DB32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CF6B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服务改进计划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778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D6B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45D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A4E15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 w14:paraId="1257D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C1C24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硬件设备巡检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3BB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8A6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C00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8A86B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 w14:paraId="4D3A89C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0050B950">
      <w:pPr>
        <w:pStyle w:val="33"/>
        <w:bidi w:val="0"/>
        <w:rPr>
          <w:rFonts w:hint="default"/>
          <w:lang w:val="en-US" w:eastAsia="zh-CN"/>
        </w:rPr>
      </w:pPr>
      <w:bookmarkStart w:id="19" w:name="_Toc3799"/>
      <w:r>
        <w:rPr>
          <w:rFonts w:hint="default"/>
          <w:lang w:val="en-US" w:eastAsia="zh-CN"/>
        </w:rPr>
        <w:t>服务台运行情况</w:t>
      </w:r>
      <w:bookmarkEnd w:id="19"/>
    </w:p>
    <w:p w14:paraId="72A2C86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0" w:name="_Toc1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bookmarkEnd w:id="2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194"/>
        <w:gridCol w:w="3373"/>
      </w:tblGrid>
      <w:tr w14:paraId="4D781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9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BB2A6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统计项</w:t>
            </w:r>
          </w:p>
        </w:tc>
        <w:tc>
          <w:tcPr>
            <w:tcW w:w="21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527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数量</w:t>
            </w:r>
          </w:p>
        </w:tc>
        <w:tc>
          <w:tcPr>
            <w:tcW w:w="33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CFA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112AF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A1E4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受理事件总数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CF1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32件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08D0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全部为一般事件</w:t>
            </w:r>
          </w:p>
        </w:tc>
      </w:tr>
      <w:tr w14:paraId="49505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B1640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事件解决率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65E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EE33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全部按时解决</w:t>
            </w:r>
          </w:p>
        </w:tc>
      </w:tr>
      <w:tr w14:paraId="79C2D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ADC8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6FB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03EB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 w14:paraId="2F015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2842B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平均解决时间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FF8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35分钟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7A59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 w14:paraId="507BE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A62C1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客户回访率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AC1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B9F7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全部完成回访</w:t>
            </w:r>
          </w:p>
        </w:tc>
      </w:tr>
      <w:tr w14:paraId="25B08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9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1B331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1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1A5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92分</w:t>
            </w:r>
          </w:p>
        </w:tc>
        <w:tc>
          <w:tcPr>
            <w:tcW w:w="33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F26F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高于目标值</w:t>
            </w:r>
          </w:p>
        </w:tc>
      </w:tr>
    </w:tbl>
    <w:p w14:paraId="362B2FF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6F2EE750">
      <w:pPr>
        <w:pStyle w:val="31"/>
        <w:bidi w:val="0"/>
        <w:rPr>
          <w:rFonts w:hint="default"/>
          <w:lang w:val="en-US" w:eastAsia="zh-CN"/>
        </w:rPr>
      </w:pPr>
      <w:bookmarkStart w:id="21" w:name="_Toc15982"/>
      <w:r>
        <w:rPr>
          <w:rFonts w:hint="default"/>
          <w:lang w:val="en-US" w:eastAsia="zh-CN"/>
        </w:rPr>
        <w:t>质量目标达成情况</w:t>
      </w:r>
      <w:bookmarkEnd w:id="21"/>
    </w:p>
    <w:p w14:paraId="624EFBBA">
      <w:pPr>
        <w:pStyle w:val="33"/>
        <w:bidi w:val="0"/>
        <w:rPr>
          <w:rFonts w:hint="default"/>
          <w:lang w:val="en-US" w:eastAsia="zh-CN"/>
        </w:rPr>
      </w:pPr>
      <w:bookmarkStart w:id="22" w:name="_Toc32656"/>
      <w:r>
        <w:rPr>
          <w:rFonts w:hint="default"/>
          <w:lang w:val="en-US" w:eastAsia="zh-CN"/>
        </w:rPr>
        <w:t>可用性目标达成情况</w:t>
      </w:r>
      <w:bookmarkEnd w:id="22"/>
    </w:p>
    <w:p w14:paraId="680DC59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447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bookmarkEnd w:id="23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762"/>
        <w:gridCol w:w="1762"/>
        <w:gridCol w:w="1516"/>
        <w:gridCol w:w="2234"/>
      </w:tblGrid>
      <w:tr w14:paraId="725AF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F4DB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服务类型</w:t>
            </w:r>
          </w:p>
        </w:tc>
        <w:tc>
          <w:tcPr>
            <w:tcW w:w="17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504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</w:t>
            </w:r>
          </w:p>
        </w:tc>
        <w:tc>
          <w:tcPr>
            <w:tcW w:w="17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1A2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实际可用性</w:t>
            </w:r>
          </w:p>
        </w:tc>
        <w:tc>
          <w:tcPr>
            <w:tcW w:w="15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9D2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2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738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16B90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438F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新能源系统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A65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0B9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52DE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A07E5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 w14:paraId="4E37B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72E2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498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15F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1FA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7DB61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 w14:paraId="4EC49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135A7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505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≥99.0%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C76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00D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13038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 w14:paraId="23E20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521F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F1D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≥98.0%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7E47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538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9AD89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</w:tbl>
    <w:p w14:paraId="19CDAB8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47226B64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中断事件统计：本报告期内，计划内中断共计3次，总时长60分钟，均在客户确认的维护窗口内完成；计划外中断0次，全年无计划外服务中断。</w:t>
      </w:r>
    </w:p>
    <w:p w14:paraId="70AE1391">
      <w:pPr>
        <w:pStyle w:val="33"/>
        <w:bidi w:val="0"/>
        <w:rPr>
          <w:rFonts w:hint="default"/>
          <w:lang w:val="en-US" w:eastAsia="zh-CN"/>
        </w:rPr>
      </w:pPr>
      <w:bookmarkStart w:id="24" w:name="_Toc998"/>
      <w:r>
        <w:rPr>
          <w:rFonts w:hint="default"/>
          <w:lang w:val="en-US" w:eastAsia="zh-CN"/>
        </w:rPr>
        <w:t>服务质量目标达成情况</w:t>
      </w:r>
      <w:bookmarkEnd w:id="24"/>
    </w:p>
    <w:p w14:paraId="08B7C2B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3276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bookmarkEnd w:id="25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6"/>
        <w:gridCol w:w="1927"/>
        <w:gridCol w:w="1899"/>
        <w:gridCol w:w="1900"/>
      </w:tblGrid>
      <w:tr w14:paraId="4136B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79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68EE9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9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24A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89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DFA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实际达成</w:t>
            </w:r>
          </w:p>
        </w:tc>
        <w:tc>
          <w:tcPr>
            <w:tcW w:w="19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6FA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</w:tr>
      <w:tr w14:paraId="1CAEB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A549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9D7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C5A2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CE9C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 w14:paraId="31E3E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0141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故障响应时间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F42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≤2小时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D9B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CE5C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 w14:paraId="3D0CB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FD1C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培训覆盖率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649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3621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C4A7C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 w14:paraId="25901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2F791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41E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7B0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6.2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696E4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 w14:paraId="0E1D9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C787C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重大服务中断事件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A7C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321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9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DE5B8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</w:tbl>
    <w:p w14:paraId="442B1B5E">
      <w:pPr>
        <w:pStyle w:val="33"/>
        <w:bidi w:val="0"/>
        <w:rPr>
          <w:rFonts w:hint="default"/>
          <w:lang w:val="en-US" w:eastAsia="zh-CN"/>
        </w:rPr>
      </w:pPr>
      <w:bookmarkStart w:id="26" w:name="_Toc14691"/>
      <w:r>
        <w:rPr>
          <w:rFonts w:hint="default"/>
          <w:lang w:val="en-US" w:eastAsia="zh-CN"/>
        </w:rPr>
        <w:t>服务报告提交情况</w:t>
      </w:r>
      <w:bookmarkEnd w:id="26"/>
    </w:p>
    <w:p w14:paraId="70D39275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本报告期内，按时提交各类服务报告共计2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份，包括：</w:t>
      </w:r>
    </w:p>
    <w:p w14:paraId="1D6345F1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月度运维服务报告：12份</w:t>
      </w:r>
    </w:p>
    <w:p w14:paraId="1B8A7DE3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季度运维服务报告：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 w14:paraId="594427FC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年度</w:t>
      </w:r>
      <w:r>
        <w:rPr>
          <w:rFonts w:hint="default"/>
          <w:lang w:val="en-US" w:eastAsia="zh-CN"/>
        </w:rPr>
        <w:t>满意度调查报告：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份</w:t>
      </w:r>
    </w:p>
    <w:p w14:paraId="522564E2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季度性能评估报告：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 w14:paraId="78C378F3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年度可用性报告：1份</w:t>
      </w:r>
    </w:p>
    <w:p w14:paraId="5058DA3F">
      <w:pPr>
        <w:pStyle w:val="3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年度服务总结报告：1份（本报告）</w:t>
      </w:r>
    </w:p>
    <w:p w14:paraId="12FA675A">
      <w:pPr>
        <w:pStyle w:val="3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所有报告均在规定时间内提交，报告内容完整、数据准确，获得甲方认可。</w:t>
      </w:r>
    </w:p>
    <w:p w14:paraId="4A715309">
      <w:pPr>
        <w:pStyle w:val="31"/>
        <w:bidi w:val="0"/>
        <w:rPr>
          <w:rFonts w:hint="default"/>
          <w:lang w:val="en-US" w:eastAsia="zh-CN"/>
        </w:rPr>
      </w:pPr>
      <w:bookmarkStart w:id="27" w:name="_Toc17500"/>
      <w:r>
        <w:rPr>
          <w:rFonts w:hint="default"/>
          <w:lang w:val="en-US" w:eastAsia="zh-CN"/>
        </w:rPr>
        <w:t>存在问题与改进措施</w:t>
      </w:r>
      <w:bookmarkEnd w:id="27"/>
    </w:p>
    <w:p w14:paraId="6B273D38">
      <w:pPr>
        <w:pStyle w:val="33"/>
        <w:bidi w:val="0"/>
        <w:rPr>
          <w:rFonts w:hint="default"/>
          <w:lang w:val="en-US" w:eastAsia="zh-CN"/>
        </w:rPr>
      </w:pPr>
      <w:bookmarkStart w:id="28" w:name="_Toc2130"/>
      <w:r>
        <w:rPr>
          <w:rFonts w:hint="default"/>
          <w:lang w:val="en-US" w:eastAsia="zh-CN"/>
        </w:rPr>
        <w:t>存在的主要问题</w:t>
      </w:r>
      <w:bookmarkEnd w:id="28"/>
    </w:p>
    <w:p w14:paraId="28531B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问题一：现场设备老化问题。部分场站的现场设备（工作站、数据采集器）使用年限较长，故障率有所上升。本年度共发生现场设备故障2次，虽然通过备件及时更换解决了问题，但设备老化趋势值得关注。</w:t>
      </w:r>
    </w:p>
    <w:p w14:paraId="2653734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问题二：用户操作熟练度差异。部分操作人员对系统的熟练程度存在差异，个别用户偶尔出现操作失误，影响业务处理效率。虽然已提供操作手册和现场指导，但仍有提升空间。</w:t>
      </w:r>
    </w:p>
    <w:p w14:paraId="343C302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问题三：网络稳定性偶有波动。本年度发生网络波动2次，均通过重启设备解决，未造成服务中断，但网络稳定性需持续关注。</w:t>
      </w:r>
    </w:p>
    <w:p w14:paraId="783E1A4F">
      <w:pPr>
        <w:pStyle w:val="33"/>
        <w:bidi w:val="0"/>
        <w:rPr>
          <w:rFonts w:hint="default"/>
          <w:lang w:val="en-US" w:eastAsia="zh-CN"/>
        </w:rPr>
      </w:pPr>
      <w:bookmarkStart w:id="29" w:name="_Toc6208"/>
      <w:r>
        <w:rPr>
          <w:rFonts w:hint="default"/>
          <w:lang w:val="en-US" w:eastAsia="zh-CN"/>
        </w:rPr>
        <w:t>改进措施</w:t>
      </w:r>
      <w:bookmarkEnd w:id="29"/>
    </w:p>
    <w:p w14:paraId="62F065C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1331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30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78"/>
        <w:gridCol w:w="3780"/>
        <w:gridCol w:w="1220"/>
        <w:gridCol w:w="1466"/>
      </w:tblGrid>
      <w:tr w14:paraId="5454D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7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9142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3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6F3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7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AE7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4D3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4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F5B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 w14:paraId="17ED8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D8EAA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DC9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现场设备老化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AFF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评估设备更新需求，建议甲方制定设备更换计划；增加备件储备，缩短故障响应时间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1F8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40FD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 w14:paraId="12899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FCF6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50A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用户操作熟练度差异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5AA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组织进阶操作培训，针对常见问题开展专项辅导；优化操作手册，增加常见问题解答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8E9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A496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 w14:paraId="219BE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A3E8E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1CB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网络稳定性波动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D3E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加强网络监控，建立网络性能基线；建议配置备用网络线路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544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D18BF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</w:tbl>
    <w:p w14:paraId="207005F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 w14:paraId="6CD75BC9">
      <w:pPr>
        <w:pStyle w:val="31"/>
        <w:bidi w:val="0"/>
        <w:rPr>
          <w:rFonts w:hint="default"/>
          <w:lang w:val="en-US" w:eastAsia="zh-CN"/>
        </w:rPr>
      </w:pPr>
      <w:bookmarkStart w:id="31" w:name="_Toc30132"/>
      <w:r>
        <w:rPr>
          <w:rFonts w:hint="default"/>
          <w:lang w:val="en-US" w:eastAsia="zh-CN"/>
        </w:rPr>
        <w:t>下阶段工作计划</w:t>
      </w:r>
      <w:bookmarkEnd w:id="31"/>
    </w:p>
    <w:p w14:paraId="7A2D38CA">
      <w:pPr>
        <w:pStyle w:val="33"/>
        <w:bidi w:val="0"/>
        <w:rPr>
          <w:rFonts w:hint="default"/>
          <w:lang w:val="en-US" w:eastAsia="zh-CN"/>
        </w:rPr>
      </w:pPr>
      <w:bookmarkStart w:id="32" w:name="_Toc5005"/>
      <w:r>
        <w:rPr>
          <w:rFonts w:hint="default"/>
          <w:lang w:val="en-US" w:eastAsia="zh-CN"/>
        </w:rPr>
        <w:t>下阶段工作重点</w:t>
      </w:r>
      <w:bookmarkEnd w:id="32"/>
    </w:p>
    <w:p w14:paraId="6AB227D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持续运维保障：继续执行日常运维、巡检监控、故障处理等工作，确保系统稳定运行</w:t>
      </w:r>
    </w:p>
    <w:p w14:paraId="1172CBB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设备更新支持：配合甲方评估设备更新需求，提供技术支持和方案建议</w:t>
      </w:r>
    </w:p>
    <w:p w14:paraId="7251F91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用户能力提升：组织进阶培训，提升用户操作熟练度和问题处理能力</w:t>
      </w:r>
    </w:p>
    <w:p w14:paraId="69BC5DD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网络优化：加强网络监控，优化网络配置，提升网络稳定性</w:t>
      </w:r>
    </w:p>
    <w:p w14:paraId="1A0B737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服务改进：根据满意度调查结果，持续优化服务质量</w:t>
      </w:r>
    </w:p>
    <w:p w14:paraId="3A98F79B">
      <w:pPr>
        <w:pStyle w:val="33"/>
        <w:bidi w:val="0"/>
        <w:rPr>
          <w:rFonts w:hint="default"/>
          <w:lang w:val="en-US" w:eastAsia="zh-CN"/>
        </w:rPr>
      </w:pPr>
      <w:bookmarkStart w:id="33" w:name="_Toc15766"/>
      <w:r>
        <w:rPr>
          <w:rFonts w:hint="default"/>
          <w:lang w:val="en-US" w:eastAsia="zh-CN"/>
        </w:rPr>
        <w:t>下阶段工作安排</w:t>
      </w:r>
      <w:bookmarkEnd w:id="33"/>
    </w:p>
    <w:p w14:paraId="093E867C">
      <w:pPr>
        <w:pStyle w:val="3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5697"/>
      <w:r>
        <w:rPr>
          <w:rFonts w:hint="eastAsia"/>
          <w:lang w:val="en-US" w:eastAsia="zh-CN"/>
        </w:rPr>
        <w:t xml:space="preserve"> 2026年度运维计划表</w:t>
      </w:r>
      <w:bookmarkEnd w:id="34"/>
    </w:p>
    <w:tbl>
      <w:tblPr>
        <w:tblStyle w:val="2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1854"/>
        <w:gridCol w:w="1710"/>
        <w:gridCol w:w="2867"/>
      </w:tblGrid>
      <w:tr w14:paraId="3A9C5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0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3AE6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工作内容</w:t>
            </w:r>
          </w:p>
        </w:tc>
        <w:tc>
          <w:tcPr>
            <w:tcW w:w="18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14B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7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663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28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C69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预期成果</w:t>
            </w:r>
          </w:p>
        </w:tc>
      </w:tr>
      <w:tr w14:paraId="6A327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4750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日常运维保障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1941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B4E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DA629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系统可用性≥99.5%</w:t>
            </w:r>
          </w:p>
        </w:tc>
      </w:tr>
      <w:tr w14:paraId="732D0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17FF7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设备更新评估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12A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E50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82EE4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《设备更新建议报告》</w:t>
            </w:r>
          </w:p>
        </w:tc>
      </w:tr>
      <w:tr w14:paraId="78F27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B43B9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进阶操作培训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825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3CC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1FF60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培训完成，熟练度提升</w:t>
            </w:r>
          </w:p>
        </w:tc>
      </w:tr>
      <w:tr w14:paraId="76E21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9DD5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网络优化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F9B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FD8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EE90E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网络稳定性提升</w:t>
            </w:r>
          </w:p>
        </w:tc>
      </w:tr>
      <w:tr w14:paraId="3D89F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C82F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季度满意度调查</w:t>
            </w:r>
          </w:p>
        </w:tc>
        <w:tc>
          <w:tcPr>
            <w:tcW w:w="18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C95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项目经理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920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28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0CC5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《满意度调查报告》</w:t>
            </w:r>
          </w:p>
        </w:tc>
      </w:tr>
    </w:tbl>
    <w:p w14:paraId="29DA778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44B380E6">
      <w:pPr>
        <w:pStyle w:val="31"/>
        <w:bidi w:val="0"/>
        <w:rPr>
          <w:rFonts w:hint="default"/>
          <w:lang w:val="en-US" w:eastAsia="zh-CN"/>
        </w:rPr>
      </w:pPr>
      <w:bookmarkStart w:id="35" w:name="_Toc558"/>
      <w:r>
        <w:rPr>
          <w:rFonts w:hint="default"/>
          <w:lang w:val="en-US" w:eastAsia="zh-CN"/>
        </w:rPr>
        <w:t>总结</w:t>
      </w:r>
      <w:bookmarkEnd w:id="35"/>
    </w:p>
    <w:p w14:paraId="10F4502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至2025年12月31日，《2025年国电电力湖南新能源系统运维项目》项目按照计划有序推进，已完成项目启动、需求确认、系统部署、系统培训、试运行五个阶段工作，系统正式投入运行并进入运维阶段。</w:t>
      </w:r>
    </w:p>
    <w:p w14:paraId="1DC53EB4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实施成果：所有里程碑节点按期完成，系统功能完整实现合同约定需求，培训覆盖率达到100%，参训人员能够独立完成业务操作，系统运行稳定。</w:t>
      </w:r>
    </w:p>
    <w:p w14:paraId="4FCEF2B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运维成果：全年可用性达到100%，优于合同约定的99.5%目标；计划外中断0次，重大服务中断事件0次；客户满意度92分，高于90分目标；所有服务报告按时提交，数据准确完整。</w:t>
      </w:r>
    </w:p>
    <w:p w14:paraId="0EF55DC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存在问题：现场设备老化、用户操作熟练度差异、网络稳定性偶有波动等问题已识别并制定改进措施。</w:t>
      </w:r>
    </w:p>
    <w:p w14:paraId="2EA4441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下阶段工作：将持续做好运维保障工作，推进设备更新评估、进阶培训、网络优化等改进措施，不断提升服务质量，确保系统持续稳定运行，满足甲方业务需求。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2B24BE3"/>
    <w:multiLevelType w:val="singleLevel"/>
    <w:tmpl w:val="32B24B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AB3375"/>
    <w:rsid w:val="7CA1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1457</Words>
  <Characters>1658</Characters>
  <Lines>0</Lines>
  <Paragraphs>0</Paragraphs>
  <TotalTime>2</TotalTime>
  <ScaleCrop>false</ScaleCrop>
  <LinksUpToDate>false</LinksUpToDate>
  <CharactersWithSpaces>1758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2026-06-12T21:17:39Z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