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A4C5AD">
      <w:pPr>
        <w:pStyle w:val="27"/>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14:paraId="00B46935">
      <w:pPr>
        <w:pStyle w:val="28"/>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2025年度运维服务能力管理计划</w:t>
      </w:r>
    </w:p>
    <w:tbl>
      <w:tblPr>
        <w:tblStyle w:val="24"/>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30BB0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65199BF">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20D17DD8">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HFSJ-ITSS-0305</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80E51FF">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7C1D63C5">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65555F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7AD44AB">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4F908E8">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姚耿桂</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70C9B08">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691BFF10">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14:paraId="49FDA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04E9CCB">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5F599F6C">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E0CE99B">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722248BE">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345CE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4C7ED13">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5D46DF4E">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34283CD">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73576527">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40001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77DE87E6">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51DB37CD">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447BAAF4">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3CC2AA4E">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14:paraId="2FC5543D">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1F1CB434">
      <w:pPr>
        <w:pStyle w:val="32"/>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4"/>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071DF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1A8D5E93">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2527642D">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762814B5">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411FA754">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23A53F30">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5D1AD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D80F4B6">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6"/>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2286AAC">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D8E5CDB">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59EE30A">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FD56DFA">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06D5F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28A17CED">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5847FC4">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7FAA894">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553841C">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1A0362A">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171A2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0A2CBC6">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D3B74A3">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BD95663">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6560651">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FA69C3A">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653B5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14F7D599">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1D4A68C3">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306CAF64">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7FAEC57D">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61E5CF97">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0A0E154F">
      <w:pPr>
        <w:keepLines w:val="0"/>
        <w:pageBreakBefore w:val="0"/>
        <w:widowControl w:val="0"/>
        <w:kinsoku w:val="0"/>
        <w:wordWrap/>
        <w:overflowPunct/>
        <w:topLinePunct w:val="0"/>
        <w:autoSpaceDE w:val="0"/>
        <w:autoSpaceDN w:val="0"/>
        <w:bidi w:val="0"/>
        <w:adjustRightInd w:val="0"/>
        <w:snapToGrid w:val="0"/>
        <w:textAlignment w:val="baseline"/>
      </w:pPr>
      <w:r>
        <w:rPr>
          <w:rStyle w:val="26"/>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75207"/>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2A4D3099">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5E986FB">
          <w:pPr>
            <w:pStyle w:val="17"/>
            <w:tabs>
              <w:tab w:val="right" w:leader="dot" w:pos="8306"/>
            </w:tabs>
          </w:pPr>
          <w:r>
            <w:fldChar w:fldCharType="begin"/>
          </w:r>
          <w:r>
            <w:instrText xml:space="preserve">TOC \o "1-3" \h \u </w:instrText>
          </w:r>
          <w:r>
            <w:fldChar w:fldCharType="separate"/>
          </w:r>
          <w:r>
            <w:fldChar w:fldCharType="begin"/>
          </w:r>
          <w:r>
            <w:instrText xml:space="preserve"> HYPERLINK \l _Toc6885 </w:instrText>
          </w:r>
          <w:r>
            <w:fldChar w:fldCharType="separate"/>
          </w:r>
          <w:r>
            <w:rPr>
              <w:rFonts w:hint="default"/>
              <w:lang w:val="en-US" w:eastAsia="zh-CN"/>
            </w:rPr>
            <w:t>1. 公司现状分析</w:t>
          </w:r>
          <w:r>
            <w:tab/>
          </w:r>
          <w:r>
            <w:fldChar w:fldCharType="begin"/>
          </w:r>
          <w:r>
            <w:instrText xml:space="preserve"> PAGEREF _Toc6885 \h </w:instrText>
          </w:r>
          <w:r>
            <w:fldChar w:fldCharType="separate"/>
          </w:r>
          <w:r>
            <w:t>6</w:t>
          </w:r>
          <w:r>
            <w:fldChar w:fldCharType="end"/>
          </w:r>
          <w:r>
            <w:fldChar w:fldCharType="end"/>
          </w:r>
        </w:p>
        <w:p w14:paraId="6323CAE2">
          <w:pPr>
            <w:pStyle w:val="19"/>
            <w:tabs>
              <w:tab w:val="right" w:leader="dot" w:pos="8306"/>
            </w:tabs>
          </w:pPr>
          <w:r>
            <w:fldChar w:fldCharType="begin"/>
          </w:r>
          <w:r>
            <w:instrText xml:space="preserve"> HYPERLINK \l _Toc928 </w:instrText>
          </w:r>
          <w:r>
            <w:fldChar w:fldCharType="separate"/>
          </w:r>
          <w:r>
            <w:rPr>
              <w:rFonts w:hint="default"/>
              <w:lang w:val="en-US" w:eastAsia="zh-CN"/>
            </w:rPr>
            <w:t>1.1. 优势分析</w:t>
          </w:r>
          <w:r>
            <w:tab/>
          </w:r>
          <w:r>
            <w:fldChar w:fldCharType="begin"/>
          </w:r>
          <w:r>
            <w:instrText xml:space="preserve"> PAGEREF _Toc928 \h </w:instrText>
          </w:r>
          <w:r>
            <w:fldChar w:fldCharType="separate"/>
          </w:r>
          <w:r>
            <w:t>6</w:t>
          </w:r>
          <w:r>
            <w:fldChar w:fldCharType="end"/>
          </w:r>
          <w:r>
            <w:fldChar w:fldCharType="end"/>
          </w:r>
        </w:p>
        <w:p w14:paraId="44F974C8">
          <w:pPr>
            <w:pStyle w:val="19"/>
            <w:tabs>
              <w:tab w:val="right" w:leader="dot" w:pos="8306"/>
            </w:tabs>
          </w:pPr>
          <w:r>
            <w:fldChar w:fldCharType="begin"/>
          </w:r>
          <w:r>
            <w:instrText xml:space="preserve"> HYPERLINK \l _Toc24875 </w:instrText>
          </w:r>
          <w:r>
            <w:fldChar w:fldCharType="separate"/>
          </w:r>
          <w:r>
            <w:rPr>
              <w:rFonts w:hint="default"/>
              <w:lang w:val="en-US" w:eastAsia="zh-CN"/>
            </w:rPr>
            <w:t>1.2. 待改进方面</w:t>
          </w:r>
          <w:r>
            <w:tab/>
          </w:r>
          <w:r>
            <w:fldChar w:fldCharType="begin"/>
          </w:r>
          <w:r>
            <w:instrText xml:space="preserve"> PAGEREF _Toc24875 \h </w:instrText>
          </w:r>
          <w:r>
            <w:fldChar w:fldCharType="separate"/>
          </w:r>
          <w:r>
            <w:t>6</w:t>
          </w:r>
          <w:r>
            <w:fldChar w:fldCharType="end"/>
          </w:r>
          <w:r>
            <w:fldChar w:fldCharType="end"/>
          </w:r>
        </w:p>
        <w:p w14:paraId="5A77F22B">
          <w:pPr>
            <w:pStyle w:val="17"/>
            <w:tabs>
              <w:tab w:val="right" w:leader="dot" w:pos="8306"/>
            </w:tabs>
          </w:pPr>
          <w:r>
            <w:fldChar w:fldCharType="begin"/>
          </w:r>
          <w:r>
            <w:instrText xml:space="preserve"> HYPERLINK \l _Toc962 </w:instrText>
          </w:r>
          <w:r>
            <w:fldChar w:fldCharType="separate"/>
          </w:r>
          <w:r>
            <w:rPr>
              <w:rFonts w:hint="default"/>
              <w:lang w:val="en-US" w:eastAsia="zh-CN"/>
            </w:rPr>
            <w:t>2. 运维业务分析</w:t>
          </w:r>
          <w:r>
            <w:tab/>
          </w:r>
          <w:r>
            <w:fldChar w:fldCharType="begin"/>
          </w:r>
          <w:r>
            <w:instrText xml:space="preserve"> PAGEREF _Toc962 \h </w:instrText>
          </w:r>
          <w:r>
            <w:fldChar w:fldCharType="separate"/>
          </w:r>
          <w:r>
            <w:t>6</w:t>
          </w:r>
          <w:r>
            <w:fldChar w:fldCharType="end"/>
          </w:r>
          <w:r>
            <w:fldChar w:fldCharType="end"/>
          </w:r>
        </w:p>
        <w:p w14:paraId="51BF6315">
          <w:pPr>
            <w:pStyle w:val="19"/>
            <w:tabs>
              <w:tab w:val="right" w:leader="dot" w:pos="8306"/>
            </w:tabs>
          </w:pPr>
          <w:r>
            <w:fldChar w:fldCharType="begin"/>
          </w:r>
          <w:r>
            <w:instrText xml:space="preserve"> HYPERLINK \l _Toc8971 </w:instrText>
          </w:r>
          <w:r>
            <w:fldChar w:fldCharType="separate"/>
          </w:r>
          <w:r>
            <w:rPr>
              <w:rFonts w:hint="default"/>
              <w:lang w:val="en-US" w:eastAsia="zh-CN"/>
            </w:rPr>
            <w:t>2.1. 开展运维服务的优势</w:t>
          </w:r>
          <w:r>
            <w:tab/>
          </w:r>
          <w:r>
            <w:fldChar w:fldCharType="begin"/>
          </w:r>
          <w:r>
            <w:instrText xml:space="preserve"> PAGEREF _Toc8971 \h </w:instrText>
          </w:r>
          <w:r>
            <w:fldChar w:fldCharType="separate"/>
          </w:r>
          <w:r>
            <w:t>6</w:t>
          </w:r>
          <w:r>
            <w:fldChar w:fldCharType="end"/>
          </w:r>
          <w:r>
            <w:fldChar w:fldCharType="end"/>
          </w:r>
        </w:p>
        <w:p w14:paraId="2D0E3663">
          <w:pPr>
            <w:pStyle w:val="19"/>
            <w:tabs>
              <w:tab w:val="right" w:leader="dot" w:pos="8306"/>
            </w:tabs>
          </w:pPr>
          <w:r>
            <w:fldChar w:fldCharType="begin"/>
          </w:r>
          <w:r>
            <w:instrText xml:space="preserve"> HYPERLINK \l _Toc17913 </w:instrText>
          </w:r>
          <w:r>
            <w:fldChar w:fldCharType="separate"/>
          </w:r>
          <w:r>
            <w:rPr>
              <w:rFonts w:hint="default"/>
              <w:lang w:val="en-US" w:eastAsia="zh-CN"/>
            </w:rPr>
            <w:t>2.2. 开展运维服务的待改进方面</w:t>
          </w:r>
          <w:r>
            <w:tab/>
          </w:r>
          <w:r>
            <w:fldChar w:fldCharType="begin"/>
          </w:r>
          <w:r>
            <w:instrText xml:space="preserve"> PAGEREF _Toc17913 \h </w:instrText>
          </w:r>
          <w:r>
            <w:fldChar w:fldCharType="separate"/>
          </w:r>
          <w:r>
            <w:t>7</w:t>
          </w:r>
          <w:r>
            <w:fldChar w:fldCharType="end"/>
          </w:r>
          <w:r>
            <w:fldChar w:fldCharType="end"/>
          </w:r>
        </w:p>
        <w:p w14:paraId="523CB685">
          <w:pPr>
            <w:pStyle w:val="14"/>
            <w:tabs>
              <w:tab w:val="right" w:leader="dot" w:pos="8306"/>
            </w:tabs>
          </w:pPr>
          <w:r>
            <w:fldChar w:fldCharType="begin"/>
          </w:r>
          <w:r>
            <w:instrText xml:space="preserve"> HYPERLINK \l _Toc22785 </w:instrText>
          </w:r>
          <w:r>
            <w:fldChar w:fldCharType="separate"/>
          </w:r>
          <w:r>
            <w:rPr>
              <w:rFonts w:hint="default"/>
              <w:lang w:val="en-US" w:eastAsia="zh-CN"/>
            </w:rPr>
            <w:t>2.2.1. 人员管理方面</w:t>
          </w:r>
          <w:r>
            <w:tab/>
          </w:r>
          <w:r>
            <w:fldChar w:fldCharType="begin"/>
          </w:r>
          <w:r>
            <w:instrText xml:space="preserve"> PAGEREF _Toc22785 \h </w:instrText>
          </w:r>
          <w:r>
            <w:fldChar w:fldCharType="separate"/>
          </w:r>
          <w:r>
            <w:t>7</w:t>
          </w:r>
          <w:r>
            <w:fldChar w:fldCharType="end"/>
          </w:r>
          <w:r>
            <w:fldChar w:fldCharType="end"/>
          </w:r>
        </w:p>
        <w:p w14:paraId="0FACBAB1">
          <w:pPr>
            <w:pStyle w:val="14"/>
            <w:tabs>
              <w:tab w:val="right" w:leader="dot" w:pos="8306"/>
            </w:tabs>
          </w:pPr>
          <w:r>
            <w:fldChar w:fldCharType="begin"/>
          </w:r>
          <w:r>
            <w:instrText xml:space="preserve"> HYPERLINK \l _Toc29153 </w:instrText>
          </w:r>
          <w:r>
            <w:fldChar w:fldCharType="separate"/>
          </w:r>
          <w:r>
            <w:rPr>
              <w:rFonts w:hint="default"/>
              <w:lang w:val="en-US" w:eastAsia="zh-CN"/>
            </w:rPr>
            <w:t>2.2.2. 资源管理方面</w:t>
          </w:r>
          <w:r>
            <w:tab/>
          </w:r>
          <w:r>
            <w:fldChar w:fldCharType="begin"/>
          </w:r>
          <w:r>
            <w:instrText xml:space="preserve"> PAGEREF _Toc29153 \h </w:instrText>
          </w:r>
          <w:r>
            <w:fldChar w:fldCharType="separate"/>
          </w:r>
          <w:r>
            <w:t>7</w:t>
          </w:r>
          <w:r>
            <w:fldChar w:fldCharType="end"/>
          </w:r>
          <w:r>
            <w:fldChar w:fldCharType="end"/>
          </w:r>
        </w:p>
        <w:p w14:paraId="3F6D23AA">
          <w:pPr>
            <w:pStyle w:val="14"/>
            <w:tabs>
              <w:tab w:val="right" w:leader="dot" w:pos="8306"/>
            </w:tabs>
          </w:pPr>
          <w:r>
            <w:fldChar w:fldCharType="begin"/>
          </w:r>
          <w:r>
            <w:instrText xml:space="preserve"> HYPERLINK \l _Toc8455 </w:instrText>
          </w:r>
          <w:r>
            <w:fldChar w:fldCharType="separate"/>
          </w:r>
          <w:r>
            <w:rPr>
              <w:rFonts w:hint="default"/>
              <w:lang w:val="en-US" w:eastAsia="zh-CN"/>
            </w:rPr>
            <w:t>2.2.3. 技术管理方面</w:t>
          </w:r>
          <w:r>
            <w:tab/>
          </w:r>
          <w:r>
            <w:fldChar w:fldCharType="begin"/>
          </w:r>
          <w:r>
            <w:instrText xml:space="preserve"> PAGEREF _Toc8455 \h </w:instrText>
          </w:r>
          <w:r>
            <w:fldChar w:fldCharType="separate"/>
          </w:r>
          <w:r>
            <w:t>7</w:t>
          </w:r>
          <w:r>
            <w:fldChar w:fldCharType="end"/>
          </w:r>
          <w:r>
            <w:fldChar w:fldCharType="end"/>
          </w:r>
        </w:p>
        <w:p w14:paraId="50E405D2">
          <w:pPr>
            <w:pStyle w:val="14"/>
            <w:tabs>
              <w:tab w:val="right" w:leader="dot" w:pos="8306"/>
            </w:tabs>
          </w:pPr>
          <w:r>
            <w:fldChar w:fldCharType="begin"/>
          </w:r>
          <w:r>
            <w:instrText xml:space="preserve"> HYPERLINK \l _Toc5935 </w:instrText>
          </w:r>
          <w:r>
            <w:fldChar w:fldCharType="separate"/>
          </w:r>
          <w:r>
            <w:rPr>
              <w:rFonts w:hint="default"/>
              <w:lang w:val="en-US" w:eastAsia="zh-CN"/>
            </w:rPr>
            <w:t>2.2.4. 过程管理方面</w:t>
          </w:r>
          <w:r>
            <w:tab/>
          </w:r>
          <w:r>
            <w:fldChar w:fldCharType="begin"/>
          </w:r>
          <w:r>
            <w:instrText xml:space="preserve"> PAGEREF _Toc5935 \h </w:instrText>
          </w:r>
          <w:r>
            <w:fldChar w:fldCharType="separate"/>
          </w:r>
          <w:r>
            <w:t>7</w:t>
          </w:r>
          <w:r>
            <w:fldChar w:fldCharType="end"/>
          </w:r>
          <w:r>
            <w:fldChar w:fldCharType="end"/>
          </w:r>
        </w:p>
        <w:p w14:paraId="2A25E553">
          <w:pPr>
            <w:pStyle w:val="17"/>
            <w:tabs>
              <w:tab w:val="right" w:leader="dot" w:pos="8306"/>
            </w:tabs>
          </w:pPr>
          <w:r>
            <w:fldChar w:fldCharType="begin"/>
          </w:r>
          <w:r>
            <w:instrText xml:space="preserve"> HYPERLINK \l _Toc5916 </w:instrText>
          </w:r>
          <w:r>
            <w:fldChar w:fldCharType="separate"/>
          </w:r>
          <w:r>
            <w:rPr>
              <w:rFonts w:hint="default"/>
              <w:lang w:val="en-US" w:eastAsia="zh-CN"/>
            </w:rPr>
            <w:t>3. 年度运维服务能力计划</w:t>
          </w:r>
          <w:r>
            <w:tab/>
          </w:r>
          <w:r>
            <w:fldChar w:fldCharType="begin"/>
          </w:r>
          <w:r>
            <w:instrText xml:space="preserve"> PAGEREF _Toc5916 \h </w:instrText>
          </w:r>
          <w:r>
            <w:fldChar w:fldCharType="separate"/>
          </w:r>
          <w:r>
            <w:t>7</w:t>
          </w:r>
          <w:r>
            <w:fldChar w:fldCharType="end"/>
          </w:r>
          <w:r>
            <w:fldChar w:fldCharType="end"/>
          </w:r>
        </w:p>
        <w:p w14:paraId="25221195">
          <w:pPr>
            <w:pStyle w:val="19"/>
            <w:tabs>
              <w:tab w:val="right" w:leader="dot" w:pos="8306"/>
            </w:tabs>
          </w:pPr>
          <w:r>
            <w:fldChar w:fldCharType="begin"/>
          </w:r>
          <w:r>
            <w:instrText xml:space="preserve"> HYPERLINK \l _Toc26777 </w:instrText>
          </w:r>
          <w:r>
            <w:fldChar w:fldCharType="separate"/>
          </w:r>
          <w:r>
            <w:rPr>
              <w:rFonts w:hint="default"/>
              <w:lang w:val="en-US" w:eastAsia="zh-CN"/>
            </w:rPr>
            <w:t>3.1. 人员管理规划</w:t>
          </w:r>
          <w:r>
            <w:tab/>
          </w:r>
          <w:r>
            <w:fldChar w:fldCharType="begin"/>
          </w:r>
          <w:r>
            <w:instrText xml:space="preserve"> PAGEREF _Toc26777 \h </w:instrText>
          </w:r>
          <w:r>
            <w:fldChar w:fldCharType="separate"/>
          </w:r>
          <w:r>
            <w:t>8</w:t>
          </w:r>
          <w:r>
            <w:fldChar w:fldCharType="end"/>
          </w:r>
          <w:r>
            <w:fldChar w:fldCharType="end"/>
          </w:r>
        </w:p>
        <w:p w14:paraId="38F47D16">
          <w:pPr>
            <w:pStyle w:val="14"/>
            <w:tabs>
              <w:tab w:val="right" w:leader="dot" w:pos="8306"/>
            </w:tabs>
          </w:pPr>
          <w:r>
            <w:fldChar w:fldCharType="begin"/>
          </w:r>
          <w:r>
            <w:instrText xml:space="preserve"> HYPERLINK \l _Toc22274 </w:instrText>
          </w:r>
          <w:r>
            <w:fldChar w:fldCharType="separate"/>
          </w:r>
          <w:r>
            <w:rPr>
              <w:rFonts w:hint="default"/>
              <w:lang w:val="en-US" w:eastAsia="zh-CN"/>
            </w:rPr>
            <w:t xml:space="preserve">3.1.1. </w:t>
          </w:r>
          <w:r>
            <w:rPr>
              <w:rFonts w:hint="eastAsia"/>
              <w:lang w:val="en-US" w:eastAsia="zh-CN"/>
            </w:rPr>
            <w:t>人员招聘计划</w:t>
          </w:r>
          <w:r>
            <w:tab/>
          </w:r>
          <w:r>
            <w:fldChar w:fldCharType="begin"/>
          </w:r>
          <w:r>
            <w:instrText xml:space="preserve"> PAGEREF _Toc22274 \h </w:instrText>
          </w:r>
          <w:r>
            <w:fldChar w:fldCharType="separate"/>
          </w:r>
          <w:r>
            <w:t>8</w:t>
          </w:r>
          <w:r>
            <w:fldChar w:fldCharType="end"/>
          </w:r>
          <w:r>
            <w:fldChar w:fldCharType="end"/>
          </w:r>
        </w:p>
        <w:p w14:paraId="71AE2957">
          <w:pPr>
            <w:pStyle w:val="14"/>
            <w:tabs>
              <w:tab w:val="right" w:leader="dot" w:pos="8306"/>
            </w:tabs>
          </w:pPr>
          <w:r>
            <w:fldChar w:fldCharType="begin"/>
          </w:r>
          <w:r>
            <w:instrText xml:space="preserve"> HYPERLINK \l _Toc7963 </w:instrText>
          </w:r>
          <w:r>
            <w:fldChar w:fldCharType="separate"/>
          </w:r>
          <w:r>
            <w:rPr>
              <w:rFonts w:hint="default"/>
              <w:lang w:val="en-US" w:eastAsia="zh-CN"/>
            </w:rPr>
            <w:t xml:space="preserve">3.1.2. </w:t>
          </w:r>
          <w:r>
            <w:rPr>
              <w:rFonts w:hint="eastAsia"/>
              <w:lang w:val="en-US" w:eastAsia="zh-CN"/>
            </w:rPr>
            <w:t>人员储备计划</w:t>
          </w:r>
          <w:r>
            <w:tab/>
          </w:r>
          <w:r>
            <w:fldChar w:fldCharType="begin"/>
          </w:r>
          <w:r>
            <w:instrText xml:space="preserve"> PAGEREF _Toc7963 \h </w:instrText>
          </w:r>
          <w:r>
            <w:fldChar w:fldCharType="separate"/>
          </w:r>
          <w:r>
            <w:t>8</w:t>
          </w:r>
          <w:r>
            <w:fldChar w:fldCharType="end"/>
          </w:r>
          <w:r>
            <w:fldChar w:fldCharType="end"/>
          </w:r>
        </w:p>
        <w:p w14:paraId="7F9A0423">
          <w:pPr>
            <w:pStyle w:val="14"/>
            <w:tabs>
              <w:tab w:val="right" w:leader="dot" w:pos="8306"/>
            </w:tabs>
          </w:pPr>
          <w:r>
            <w:fldChar w:fldCharType="begin"/>
          </w:r>
          <w:r>
            <w:instrText xml:space="preserve"> HYPERLINK \l _Toc6400 </w:instrText>
          </w:r>
          <w:r>
            <w:fldChar w:fldCharType="separate"/>
          </w:r>
          <w:r>
            <w:rPr>
              <w:rFonts w:hint="default"/>
              <w:lang w:val="en-US" w:eastAsia="zh-CN"/>
            </w:rPr>
            <w:t xml:space="preserve">3.1.3. </w:t>
          </w:r>
          <w:r>
            <w:rPr>
              <w:rFonts w:hint="eastAsia"/>
              <w:lang w:val="en-US" w:eastAsia="zh-CN"/>
            </w:rPr>
            <w:t>人员培训计划</w:t>
          </w:r>
          <w:r>
            <w:tab/>
          </w:r>
          <w:r>
            <w:fldChar w:fldCharType="begin"/>
          </w:r>
          <w:r>
            <w:instrText xml:space="preserve"> PAGEREF _Toc6400 \h </w:instrText>
          </w:r>
          <w:r>
            <w:fldChar w:fldCharType="separate"/>
          </w:r>
          <w:r>
            <w:t>9</w:t>
          </w:r>
          <w:r>
            <w:fldChar w:fldCharType="end"/>
          </w:r>
          <w:r>
            <w:fldChar w:fldCharType="end"/>
          </w:r>
        </w:p>
        <w:p w14:paraId="5090DAFF">
          <w:pPr>
            <w:pStyle w:val="14"/>
            <w:tabs>
              <w:tab w:val="right" w:leader="dot" w:pos="8306"/>
            </w:tabs>
          </w:pPr>
          <w:r>
            <w:fldChar w:fldCharType="begin"/>
          </w:r>
          <w:r>
            <w:instrText xml:space="preserve"> HYPERLINK \l _Toc20530 </w:instrText>
          </w:r>
          <w:r>
            <w:fldChar w:fldCharType="separate"/>
          </w:r>
          <w:r>
            <w:rPr>
              <w:rFonts w:hint="default"/>
              <w:lang w:val="en-US" w:eastAsia="zh-CN"/>
            </w:rPr>
            <w:t xml:space="preserve">3.1.4. </w:t>
          </w:r>
          <w:r>
            <w:rPr>
              <w:rFonts w:hint="eastAsia"/>
              <w:lang w:val="en-US" w:eastAsia="zh-CN"/>
            </w:rPr>
            <w:t>人员备份计划</w:t>
          </w:r>
          <w:r>
            <w:tab/>
          </w:r>
          <w:r>
            <w:fldChar w:fldCharType="begin"/>
          </w:r>
          <w:r>
            <w:instrText xml:space="preserve"> PAGEREF _Toc20530 \h </w:instrText>
          </w:r>
          <w:r>
            <w:fldChar w:fldCharType="separate"/>
          </w:r>
          <w:r>
            <w:t>12</w:t>
          </w:r>
          <w:r>
            <w:fldChar w:fldCharType="end"/>
          </w:r>
          <w:r>
            <w:fldChar w:fldCharType="end"/>
          </w:r>
        </w:p>
        <w:p w14:paraId="0E52180A">
          <w:pPr>
            <w:pStyle w:val="14"/>
            <w:tabs>
              <w:tab w:val="right" w:leader="dot" w:pos="8306"/>
            </w:tabs>
          </w:pPr>
          <w:r>
            <w:fldChar w:fldCharType="begin"/>
          </w:r>
          <w:r>
            <w:instrText xml:space="preserve"> HYPERLINK \l _Toc10668 </w:instrText>
          </w:r>
          <w:r>
            <w:fldChar w:fldCharType="separate"/>
          </w:r>
          <w:r>
            <w:rPr>
              <w:rFonts w:hint="default"/>
              <w:lang w:val="en-US" w:eastAsia="zh-CN"/>
            </w:rPr>
            <w:t xml:space="preserve">3.1.5. </w:t>
          </w:r>
          <w:r>
            <w:rPr>
              <w:rFonts w:hint="eastAsia"/>
              <w:lang w:val="en-US" w:eastAsia="zh-CN"/>
            </w:rPr>
            <w:t>人员绩效考核计划</w:t>
          </w:r>
          <w:r>
            <w:tab/>
          </w:r>
          <w:r>
            <w:fldChar w:fldCharType="begin"/>
          </w:r>
          <w:r>
            <w:instrText xml:space="preserve"> PAGEREF _Toc10668 \h </w:instrText>
          </w:r>
          <w:r>
            <w:fldChar w:fldCharType="separate"/>
          </w:r>
          <w:r>
            <w:t>13</w:t>
          </w:r>
          <w:r>
            <w:fldChar w:fldCharType="end"/>
          </w:r>
          <w:r>
            <w:fldChar w:fldCharType="end"/>
          </w:r>
        </w:p>
        <w:p w14:paraId="0C30DE54">
          <w:pPr>
            <w:pStyle w:val="14"/>
            <w:tabs>
              <w:tab w:val="right" w:leader="dot" w:pos="8306"/>
            </w:tabs>
          </w:pPr>
          <w:r>
            <w:fldChar w:fldCharType="begin"/>
          </w:r>
          <w:r>
            <w:instrText xml:space="preserve"> HYPERLINK \l _Toc5882 </w:instrText>
          </w:r>
          <w:r>
            <w:fldChar w:fldCharType="separate"/>
          </w:r>
          <w:r>
            <w:rPr>
              <w:rFonts w:hint="default"/>
              <w:lang w:val="en-US" w:eastAsia="zh-CN"/>
            </w:rPr>
            <w:t xml:space="preserve">3.1.6. </w:t>
          </w:r>
          <w:r>
            <w:rPr>
              <w:rFonts w:hint="eastAsia"/>
              <w:lang w:val="en-US" w:eastAsia="zh-CN"/>
            </w:rPr>
            <w:t>人员技能评定计划</w:t>
          </w:r>
          <w:r>
            <w:tab/>
          </w:r>
          <w:r>
            <w:fldChar w:fldCharType="begin"/>
          </w:r>
          <w:r>
            <w:instrText xml:space="preserve"> PAGEREF _Toc5882 \h </w:instrText>
          </w:r>
          <w:r>
            <w:fldChar w:fldCharType="separate"/>
          </w:r>
          <w:r>
            <w:t>13</w:t>
          </w:r>
          <w:r>
            <w:fldChar w:fldCharType="end"/>
          </w:r>
          <w:r>
            <w:fldChar w:fldCharType="end"/>
          </w:r>
        </w:p>
        <w:p w14:paraId="1E6D90EB">
          <w:pPr>
            <w:pStyle w:val="19"/>
            <w:tabs>
              <w:tab w:val="right" w:leader="dot" w:pos="8306"/>
            </w:tabs>
          </w:pPr>
          <w:r>
            <w:fldChar w:fldCharType="begin"/>
          </w:r>
          <w:r>
            <w:instrText xml:space="preserve"> HYPERLINK \l _Toc15625 </w:instrText>
          </w:r>
          <w:r>
            <w:fldChar w:fldCharType="separate"/>
          </w:r>
          <w:r>
            <w:rPr>
              <w:rFonts w:hint="default"/>
              <w:lang w:val="en-US" w:eastAsia="zh-CN"/>
            </w:rPr>
            <w:t xml:space="preserve">3.2. </w:t>
          </w:r>
          <w:r>
            <w:rPr>
              <w:rFonts w:hint="eastAsia"/>
              <w:lang w:val="en-US" w:eastAsia="zh-CN"/>
            </w:rPr>
            <w:t>资源管理规划</w:t>
          </w:r>
          <w:r>
            <w:tab/>
          </w:r>
          <w:r>
            <w:fldChar w:fldCharType="begin"/>
          </w:r>
          <w:r>
            <w:instrText xml:space="preserve"> PAGEREF _Toc15625 \h </w:instrText>
          </w:r>
          <w:r>
            <w:fldChar w:fldCharType="separate"/>
          </w:r>
          <w:r>
            <w:t>15</w:t>
          </w:r>
          <w:r>
            <w:fldChar w:fldCharType="end"/>
          </w:r>
          <w:r>
            <w:fldChar w:fldCharType="end"/>
          </w:r>
        </w:p>
        <w:p w14:paraId="62855F08">
          <w:pPr>
            <w:pStyle w:val="14"/>
            <w:tabs>
              <w:tab w:val="right" w:leader="dot" w:pos="8306"/>
            </w:tabs>
          </w:pPr>
          <w:r>
            <w:fldChar w:fldCharType="begin"/>
          </w:r>
          <w:r>
            <w:instrText xml:space="preserve"> HYPERLINK \l _Toc12131 </w:instrText>
          </w:r>
          <w:r>
            <w:fldChar w:fldCharType="separate"/>
          </w:r>
          <w:r>
            <w:rPr>
              <w:rFonts w:hint="default"/>
              <w:lang w:val="en-US" w:eastAsia="zh-CN"/>
            </w:rPr>
            <w:t>3.2.1. 运维工具管理</w:t>
          </w:r>
          <w:r>
            <w:tab/>
          </w:r>
          <w:r>
            <w:fldChar w:fldCharType="begin"/>
          </w:r>
          <w:r>
            <w:instrText xml:space="preserve"> PAGEREF _Toc12131 \h </w:instrText>
          </w:r>
          <w:r>
            <w:fldChar w:fldCharType="separate"/>
          </w:r>
          <w:r>
            <w:t>15</w:t>
          </w:r>
          <w:r>
            <w:fldChar w:fldCharType="end"/>
          </w:r>
          <w:r>
            <w:fldChar w:fldCharType="end"/>
          </w:r>
        </w:p>
        <w:p w14:paraId="334A6CA8">
          <w:pPr>
            <w:pStyle w:val="14"/>
            <w:tabs>
              <w:tab w:val="right" w:leader="dot" w:pos="8306"/>
            </w:tabs>
          </w:pPr>
          <w:r>
            <w:fldChar w:fldCharType="begin"/>
          </w:r>
          <w:r>
            <w:instrText xml:space="preserve"> HYPERLINK \l _Toc24438 </w:instrText>
          </w:r>
          <w:r>
            <w:fldChar w:fldCharType="separate"/>
          </w:r>
          <w:r>
            <w:rPr>
              <w:rFonts w:hint="default"/>
              <w:lang w:val="en-US" w:eastAsia="zh-CN"/>
            </w:rPr>
            <w:t>3.2.2. 服务知识管理</w:t>
          </w:r>
          <w:r>
            <w:tab/>
          </w:r>
          <w:r>
            <w:fldChar w:fldCharType="begin"/>
          </w:r>
          <w:r>
            <w:instrText xml:space="preserve"> PAGEREF _Toc24438 \h </w:instrText>
          </w:r>
          <w:r>
            <w:fldChar w:fldCharType="separate"/>
          </w:r>
          <w:r>
            <w:t>15</w:t>
          </w:r>
          <w:r>
            <w:fldChar w:fldCharType="end"/>
          </w:r>
          <w:r>
            <w:fldChar w:fldCharType="end"/>
          </w:r>
        </w:p>
        <w:p w14:paraId="1F8D90BC">
          <w:pPr>
            <w:pStyle w:val="14"/>
            <w:tabs>
              <w:tab w:val="right" w:leader="dot" w:pos="8306"/>
            </w:tabs>
          </w:pPr>
          <w:r>
            <w:fldChar w:fldCharType="begin"/>
          </w:r>
          <w:r>
            <w:instrText xml:space="preserve"> HYPERLINK \l _Toc23500 </w:instrText>
          </w:r>
          <w:r>
            <w:fldChar w:fldCharType="separate"/>
          </w:r>
          <w:r>
            <w:rPr>
              <w:rFonts w:hint="default"/>
              <w:lang w:val="en-US" w:eastAsia="zh-CN"/>
            </w:rPr>
            <w:t>3.2.3. 服务台管理</w:t>
          </w:r>
          <w:r>
            <w:tab/>
          </w:r>
          <w:r>
            <w:fldChar w:fldCharType="begin"/>
          </w:r>
          <w:r>
            <w:instrText xml:space="preserve"> PAGEREF _Toc23500 \h </w:instrText>
          </w:r>
          <w:r>
            <w:fldChar w:fldCharType="separate"/>
          </w:r>
          <w:r>
            <w:t>16</w:t>
          </w:r>
          <w:r>
            <w:fldChar w:fldCharType="end"/>
          </w:r>
          <w:r>
            <w:fldChar w:fldCharType="end"/>
          </w:r>
        </w:p>
        <w:p w14:paraId="6C6CE2B0">
          <w:pPr>
            <w:pStyle w:val="14"/>
            <w:tabs>
              <w:tab w:val="right" w:leader="dot" w:pos="8306"/>
            </w:tabs>
          </w:pPr>
          <w:r>
            <w:fldChar w:fldCharType="begin"/>
          </w:r>
          <w:r>
            <w:instrText xml:space="preserve"> HYPERLINK \l _Toc6983 </w:instrText>
          </w:r>
          <w:r>
            <w:fldChar w:fldCharType="separate"/>
          </w:r>
          <w:r>
            <w:rPr>
              <w:rFonts w:hint="default"/>
              <w:lang w:val="en-US" w:eastAsia="zh-CN"/>
            </w:rPr>
            <w:t>3.2.4. 备件库管理</w:t>
          </w:r>
          <w:r>
            <w:tab/>
          </w:r>
          <w:r>
            <w:fldChar w:fldCharType="begin"/>
          </w:r>
          <w:r>
            <w:instrText xml:space="preserve"> PAGEREF _Toc6983 \h </w:instrText>
          </w:r>
          <w:r>
            <w:fldChar w:fldCharType="separate"/>
          </w:r>
          <w:r>
            <w:t>17</w:t>
          </w:r>
          <w:r>
            <w:fldChar w:fldCharType="end"/>
          </w:r>
          <w:r>
            <w:fldChar w:fldCharType="end"/>
          </w:r>
        </w:p>
        <w:p w14:paraId="5106FFFF">
          <w:pPr>
            <w:pStyle w:val="14"/>
            <w:tabs>
              <w:tab w:val="right" w:leader="dot" w:pos="8306"/>
            </w:tabs>
          </w:pPr>
          <w:r>
            <w:fldChar w:fldCharType="begin"/>
          </w:r>
          <w:r>
            <w:instrText xml:space="preserve"> HYPERLINK \l _Toc28879 </w:instrText>
          </w:r>
          <w:r>
            <w:fldChar w:fldCharType="separate"/>
          </w:r>
          <w:r>
            <w:rPr>
              <w:rFonts w:hint="default"/>
              <w:lang w:val="en-US" w:eastAsia="zh-CN"/>
            </w:rPr>
            <w:t>3.2.5. 最终软件库管理</w:t>
          </w:r>
          <w:r>
            <w:tab/>
          </w:r>
          <w:r>
            <w:fldChar w:fldCharType="begin"/>
          </w:r>
          <w:r>
            <w:instrText xml:space="preserve"> PAGEREF _Toc28879 \h </w:instrText>
          </w:r>
          <w:r>
            <w:fldChar w:fldCharType="separate"/>
          </w:r>
          <w:r>
            <w:t>18</w:t>
          </w:r>
          <w:r>
            <w:fldChar w:fldCharType="end"/>
          </w:r>
          <w:r>
            <w:fldChar w:fldCharType="end"/>
          </w:r>
        </w:p>
        <w:p w14:paraId="05E81A70">
          <w:pPr>
            <w:pStyle w:val="14"/>
            <w:tabs>
              <w:tab w:val="right" w:leader="dot" w:pos="8306"/>
            </w:tabs>
          </w:pPr>
          <w:r>
            <w:fldChar w:fldCharType="begin"/>
          </w:r>
          <w:r>
            <w:instrText xml:space="preserve"> HYPERLINK \l _Toc24577 </w:instrText>
          </w:r>
          <w:r>
            <w:fldChar w:fldCharType="separate"/>
          </w:r>
          <w:r>
            <w:rPr>
              <w:rFonts w:hint="default"/>
              <w:lang w:val="en-US" w:eastAsia="zh-CN"/>
            </w:rPr>
            <w:t>3.2.6. 服务数据管理</w:t>
          </w:r>
          <w:r>
            <w:tab/>
          </w:r>
          <w:r>
            <w:fldChar w:fldCharType="begin"/>
          </w:r>
          <w:r>
            <w:instrText xml:space="preserve"> PAGEREF _Toc24577 \h </w:instrText>
          </w:r>
          <w:r>
            <w:fldChar w:fldCharType="separate"/>
          </w:r>
          <w:r>
            <w:t>18</w:t>
          </w:r>
          <w:r>
            <w:fldChar w:fldCharType="end"/>
          </w:r>
          <w:r>
            <w:fldChar w:fldCharType="end"/>
          </w:r>
        </w:p>
        <w:p w14:paraId="1F106FC6">
          <w:pPr>
            <w:pStyle w:val="19"/>
            <w:tabs>
              <w:tab w:val="right" w:leader="dot" w:pos="8306"/>
            </w:tabs>
          </w:pPr>
          <w:r>
            <w:fldChar w:fldCharType="begin"/>
          </w:r>
          <w:r>
            <w:instrText xml:space="preserve"> HYPERLINK \l _Toc32763 </w:instrText>
          </w:r>
          <w:r>
            <w:fldChar w:fldCharType="separate"/>
          </w:r>
          <w:r>
            <w:rPr>
              <w:rFonts w:hint="default"/>
              <w:lang w:val="en-US" w:eastAsia="zh-CN"/>
            </w:rPr>
            <w:t xml:space="preserve">3.3. </w:t>
          </w:r>
          <w:r>
            <w:rPr>
              <w:rFonts w:hint="eastAsia"/>
              <w:lang w:val="en-US" w:eastAsia="zh-CN"/>
            </w:rPr>
            <w:t>技术研发规划</w:t>
          </w:r>
          <w:r>
            <w:tab/>
          </w:r>
          <w:r>
            <w:fldChar w:fldCharType="begin"/>
          </w:r>
          <w:r>
            <w:instrText xml:space="preserve"> PAGEREF _Toc32763 \h </w:instrText>
          </w:r>
          <w:r>
            <w:fldChar w:fldCharType="separate"/>
          </w:r>
          <w:r>
            <w:t>19</w:t>
          </w:r>
          <w:r>
            <w:fldChar w:fldCharType="end"/>
          </w:r>
          <w:r>
            <w:fldChar w:fldCharType="end"/>
          </w:r>
        </w:p>
        <w:p w14:paraId="67439EC7">
          <w:pPr>
            <w:pStyle w:val="14"/>
            <w:tabs>
              <w:tab w:val="right" w:leader="dot" w:pos="8306"/>
            </w:tabs>
          </w:pPr>
          <w:r>
            <w:fldChar w:fldCharType="begin"/>
          </w:r>
          <w:r>
            <w:instrText xml:space="preserve"> HYPERLINK \l _Toc24716 </w:instrText>
          </w:r>
          <w:r>
            <w:fldChar w:fldCharType="separate"/>
          </w:r>
          <w:r>
            <w:rPr>
              <w:rFonts w:hint="default"/>
              <w:lang w:val="en-US" w:eastAsia="zh-CN"/>
            </w:rPr>
            <w:t>3.3.1. 研发现状</w:t>
          </w:r>
          <w:r>
            <w:tab/>
          </w:r>
          <w:r>
            <w:fldChar w:fldCharType="begin"/>
          </w:r>
          <w:r>
            <w:instrText xml:space="preserve"> PAGEREF _Toc24716 \h </w:instrText>
          </w:r>
          <w:r>
            <w:fldChar w:fldCharType="separate"/>
          </w:r>
          <w:r>
            <w:t>19</w:t>
          </w:r>
          <w:r>
            <w:fldChar w:fldCharType="end"/>
          </w:r>
          <w:r>
            <w:fldChar w:fldCharType="end"/>
          </w:r>
        </w:p>
        <w:p w14:paraId="79034FFE">
          <w:pPr>
            <w:pStyle w:val="14"/>
            <w:tabs>
              <w:tab w:val="right" w:leader="dot" w:pos="8306"/>
            </w:tabs>
          </w:pPr>
          <w:r>
            <w:fldChar w:fldCharType="begin"/>
          </w:r>
          <w:r>
            <w:instrText xml:space="preserve"> HYPERLINK \l _Toc8655 </w:instrText>
          </w:r>
          <w:r>
            <w:fldChar w:fldCharType="separate"/>
          </w:r>
          <w:r>
            <w:rPr>
              <w:rFonts w:hint="default"/>
              <w:lang w:val="en-US" w:eastAsia="zh-CN"/>
            </w:rPr>
            <w:t>3.3.2. 研发目标</w:t>
          </w:r>
          <w:r>
            <w:tab/>
          </w:r>
          <w:r>
            <w:fldChar w:fldCharType="begin"/>
          </w:r>
          <w:r>
            <w:instrText xml:space="preserve"> PAGEREF _Toc8655 \h </w:instrText>
          </w:r>
          <w:r>
            <w:fldChar w:fldCharType="separate"/>
          </w:r>
          <w:r>
            <w:t>19</w:t>
          </w:r>
          <w:r>
            <w:fldChar w:fldCharType="end"/>
          </w:r>
          <w:r>
            <w:fldChar w:fldCharType="end"/>
          </w:r>
        </w:p>
        <w:p w14:paraId="3CBD4173">
          <w:pPr>
            <w:pStyle w:val="14"/>
            <w:tabs>
              <w:tab w:val="right" w:leader="dot" w:pos="8306"/>
            </w:tabs>
          </w:pPr>
          <w:r>
            <w:fldChar w:fldCharType="begin"/>
          </w:r>
          <w:r>
            <w:instrText xml:space="preserve"> HYPERLINK \l _Toc2006 </w:instrText>
          </w:r>
          <w:r>
            <w:fldChar w:fldCharType="separate"/>
          </w:r>
          <w:r>
            <w:rPr>
              <w:rFonts w:hint="default"/>
              <w:lang w:val="en-US" w:eastAsia="zh-CN"/>
            </w:rPr>
            <w:t xml:space="preserve">3.3.3. </w:t>
          </w:r>
          <w:r>
            <w:rPr>
              <w:rFonts w:hint="eastAsia"/>
              <w:lang w:val="en-US" w:eastAsia="zh-CN"/>
            </w:rPr>
            <w:t>研发计划</w:t>
          </w:r>
          <w:r>
            <w:tab/>
          </w:r>
          <w:r>
            <w:fldChar w:fldCharType="begin"/>
          </w:r>
          <w:r>
            <w:instrText xml:space="preserve"> PAGEREF _Toc2006 \h </w:instrText>
          </w:r>
          <w:r>
            <w:fldChar w:fldCharType="separate"/>
          </w:r>
          <w:r>
            <w:t>20</w:t>
          </w:r>
          <w:r>
            <w:fldChar w:fldCharType="end"/>
          </w:r>
          <w:r>
            <w:fldChar w:fldCharType="end"/>
          </w:r>
        </w:p>
        <w:p w14:paraId="76974CEF">
          <w:pPr>
            <w:pStyle w:val="19"/>
            <w:tabs>
              <w:tab w:val="right" w:leader="dot" w:pos="8306"/>
            </w:tabs>
          </w:pPr>
          <w:r>
            <w:fldChar w:fldCharType="begin"/>
          </w:r>
          <w:r>
            <w:instrText xml:space="preserve"> HYPERLINK \l _Toc8253 </w:instrText>
          </w:r>
          <w:r>
            <w:fldChar w:fldCharType="separate"/>
          </w:r>
          <w:r>
            <w:rPr>
              <w:rFonts w:hint="default"/>
              <w:lang w:val="en-US" w:eastAsia="zh-CN"/>
            </w:rPr>
            <w:t xml:space="preserve">3.4. </w:t>
          </w:r>
          <w:r>
            <w:rPr>
              <w:rFonts w:hint="eastAsia"/>
              <w:lang w:val="en-US" w:eastAsia="zh-CN"/>
            </w:rPr>
            <w:t>过程管理规划</w:t>
          </w:r>
          <w:r>
            <w:tab/>
          </w:r>
          <w:r>
            <w:fldChar w:fldCharType="begin"/>
          </w:r>
          <w:r>
            <w:instrText xml:space="preserve"> PAGEREF _Toc8253 \h </w:instrText>
          </w:r>
          <w:r>
            <w:fldChar w:fldCharType="separate"/>
          </w:r>
          <w:r>
            <w:t>20</w:t>
          </w:r>
          <w:r>
            <w:fldChar w:fldCharType="end"/>
          </w:r>
          <w:r>
            <w:fldChar w:fldCharType="end"/>
          </w:r>
        </w:p>
        <w:p w14:paraId="617A856A">
          <w:pPr>
            <w:pStyle w:val="14"/>
            <w:tabs>
              <w:tab w:val="right" w:leader="dot" w:pos="8306"/>
            </w:tabs>
          </w:pPr>
          <w:r>
            <w:fldChar w:fldCharType="begin"/>
          </w:r>
          <w:r>
            <w:instrText xml:space="preserve"> HYPERLINK \l _Toc24514 </w:instrText>
          </w:r>
          <w:r>
            <w:fldChar w:fldCharType="separate"/>
          </w:r>
          <w:r>
            <w:rPr>
              <w:rFonts w:hint="default"/>
              <w:lang w:val="en-US" w:eastAsia="zh-CN"/>
            </w:rPr>
            <w:t xml:space="preserve">3.4.1. </w:t>
          </w:r>
          <w:r>
            <w:rPr>
              <w:rFonts w:hint="eastAsia"/>
              <w:lang w:val="en-US" w:eastAsia="zh-CN"/>
            </w:rPr>
            <w:t>过程框架管理</w:t>
          </w:r>
          <w:r>
            <w:tab/>
          </w:r>
          <w:r>
            <w:fldChar w:fldCharType="begin"/>
          </w:r>
          <w:r>
            <w:instrText xml:space="preserve"> PAGEREF _Toc24514 \h </w:instrText>
          </w:r>
          <w:r>
            <w:fldChar w:fldCharType="separate"/>
          </w:r>
          <w:r>
            <w:t>20</w:t>
          </w:r>
          <w:r>
            <w:fldChar w:fldCharType="end"/>
          </w:r>
          <w:r>
            <w:fldChar w:fldCharType="end"/>
          </w:r>
        </w:p>
        <w:p w14:paraId="5BD02B4D">
          <w:pPr>
            <w:pStyle w:val="14"/>
            <w:tabs>
              <w:tab w:val="right" w:leader="dot" w:pos="8306"/>
            </w:tabs>
          </w:pPr>
          <w:r>
            <w:fldChar w:fldCharType="begin"/>
          </w:r>
          <w:r>
            <w:instrText xml:space="preserve"> HYPERLINK \l _Toc3698 </w:instrText>
          </w:r>
          <w:r>
            <w:fldChar w:fldCharType="separate"/>
          </w:r>
          <w:r>
            <w:rPr>
              <w:rFonts w:hint="default"/>
              <w:lang w:val="en-US" w:eastAsia="zh-CN"/>
            </w:rPr>
            <w:t xml:space="preserve">3.4.2. </w:t>
          </w:r>
          <w:r>
            <w:rPr>
              <w:rFonts w:hint="eastAsia"/>
              <w:lang w:val="en-US" w:eastAsia="zh-CN"/>
            </w:rPr>
            <w:t>服务级别管理</w:t>
          </w:r>
          <w:r>
            <w:tab/>
          </w:r>
          <w:r>
            <w:fldChar w:fldCharType="begin"/>
          </w:r>
          <w:r>
            <w:instrText xml:space="preserve"> PAGEREF _Toc3698 \h </w:instrText>
          </w:r>
          <w:r>
            <w:fldChar w:fldCharType="separate"/>
          </w:r>
          <w:r>
            <w:t>20</w:t>
          </w:r>
          <w:r>
            <w:fldChar w:fldCharType="end"/>
          </w:r>
          <w:r>
            <w:fldChar w:fldCharType="end"/>
          </w:r>
        </w:p>
        <w:p w14:paraId="7C085C65">
          <w:pPr>
            <w:pStyle w:val="14"/>
            <w:tabs>
              <w:tab w:val="right" w:leader="dot" w:pos="8306"/>
            </w:tabs>
          </w:pPr>
          <w:r>
            <w:fldChar w:fldCharType="begin"/>
          </w:r>
          <w:r>
            <w:instrText xml:space="preserve"> HYPERLINK \l _Toc25687 </w:instrText>
          </w:r>
          <w:r>
            <w:fldChar w:fldCharType="separate"/>
          </w:r>
          <w:r>
            <w:rPr>
              <w:rFonts w:hint="default"/>
              <w:lang w:val="en-US" w:eastAsia="zh-CN"/>
            </w:rPr>
            <w:t xml:space="preserve">3.4.3. </w:t>
          </w:r>
          <w:r>
            <w:rPr>
              <w:rFonts w:hint="eastAsia"/>
              <w:lang w:val="en-US" w:eastAsia="zh-CN"/>
            </w:rPr>
            <w:t>服务报告管理</w:t>
          </w:r>
          <w:r>
            <w:tab/>
          </w:r>
          <w:r>
            <w:fldChar w:fldCharType="begin"/>
          </w:r>
          <w:r>
            <w:instrText xml:space="preserve"> PAGEREF _Toc25687 \h </w:instrText>
          </w:r>
          <w:r>
            <w:fldChar w:fldCharType="separate"/>
          </w:r>
          <w:r>
            <w:t>21</w:t>
          </w:r>
          <w:r>
            <w:fldChar w:fldCharType="end"/>
          </w:r>
          <w:r>
            <w:fldChar w:fldCharType="end"/>
          </w:r>
        </w:p>
        <w:p w14:paraId="2632FF5A">
          <w:pPr>
            <w:pStyle w:val="14"/>
            <w:tabs>
              <w:tab w:val="right" w:leader="dot" w:pos="8306"/>
            </w:tabs>
          </w:pPr>
          <w:r>
            <w:fldChar w:fldCharType="begin"/>
          </w:r>
          <w:r>
            <w:instrText xml:space="preserve"> HYPERLINK \l _Toc32699 </w:instrText>
          </w:r>
          <w:r>
            <w:fldChar w:fldCharType="separate"/>
          </w:r>
          <w:r>
            <w:rPr>
              <w:rFonts w:hint="default"/>
              <w:lang w:val="en-US" w:eastAsia="zh-CN"/>
            </w:rPr>
            <w:t xml:space="preserve">3.4.4. </w:t>
          </w:r>
          <w:r>
            <w:rPr>
              <w:rFonts w:hint="eastAsia"/>
              <w:lang w:val="en-US" w:eastAsia="zh-CN"/>
            </w:rPr>
            <w:t>事件管理</w:t>
          </w:r>
          <w:r>
            <w:tab/>
          </w:r>
          <w:r>
            <w:fldChar w:fldCharType="begin"/>
          </w:r>
          <w:r>
            <w:instrText xml:space="preserve"> PAGEREF _Toc32699 \h </w:instrText>
          </w:r>
          <w:r>
            <w:fldChar w:fldCharType="separate"/>
          </w:r>
          <w:r>
            <w:t>22</w:t>
          </w:r>
          <w:r>
            <w:fldChar w:fldCharType="end"/>
          </w:r>
          <w:r>
            <w:fldChar w:fldCharType="end"/>
          </w:r>
        </w:p>
        <w:p w14:paraId="48A906FE">
          <w:pPr>
            <w:pStyle w:val="14"/>
            <w:tabs>
              <w:tab w:val="right" w:leader="dot" w:pos="8306"/>
            </w:tabs>
          </w:pPr>
          <w:r>
            <w:fldChar w:fldCharType="begin"/>
          </w:r>
          <w:r>
            <w:instrText xml:space="preserve"> HYPERLINK \l _Toc19842 </w:instrText>
          </w:r>
          <w:r>
            <w:fldChar w:fldCharType="separate"/>
          </w:r>
          <w:r>
            <w:rPr>
              <w:rFonts w:hint="default"/>
              <w:lang w:val="en-US" w:eastAsia="zh-CN"/>
            </w:rPr>
            <w:t xml:space="preserve">3.4.5. </w:t>
          </w:r>
          <w:r>
            <w:rPr>
              <w:rFonts w:hint="eastAsia"/>
              <w:lang w:val="en-US" w:eastAsia="zh-CN"/>
            </w:rPr>
            <w:t>问题管理</w:t>
          </w:r>
          <w:r>
            <w:tab/>
          </w:r>
          <w:r>
            <w:fldChar w:fldCharType="begin"/>
          </w:r>
          <w:r>
            <w:instrText xml:space="preserve"> PAGEREF _Toc19842 \h </w:instrText>
          </w:r>
          <w:r>
            <w:fldChar w:fldCharType="separate"/>
          </w:r>
          <w:r>
            <w:t>22</w:t>
          </w:r>
          <w:r>
            <w:fldChar w:fldCharType="end"/>
          </w:r>
          <w:r>
            <w:fldChar w:fldCharType="end"/>
          </w:r>
        </w:p>
        <w:p w14:paraId="1E9A953B">
          <w:pPr>
            <w:pStyle w:val="14"/>
            <w:tabs>
              <w:tab w:val="right" w:leader="dot" w:pos="8306"/>
            </w:tabs>
          </w:pPr>
          <w:r>
            <w:fldChar w:fldCharType="begin"/>
          </w:r>
          <w:r>
            <w:instrText xml:space="preserve"> HYPERLINK \l _Toc24258 </w:instrText>
          </w:r>
          <w:r>
            <w:fldChar w:fldCharType="separate"/>
          </w:r>
          <w:r>
            <w:rPr>
              <w:rFonts w:hint="default"/>
              <w:lang w:val="en-US" w:eastAsia="zh-CN"/>
            </w:rPr>
            <w:t xml:space="preserve">3.4.6. </w:t>
          </w:r>
          <w:r>
            <w:rPr>
              <w:rFonts w:hint="eastAsia"/>
              <w:lang w:val="en-US" w:eastAsia="zh-CN"/>
            </w:rPr>
            <w:t>变更管理</w:t>
          </w:r>
          <w:r>
            <w:tab/>
          </w:r>
          <w:r>
            <w:fldChar w:fldCharType="begin"/>
          </w:r>
          <w:r>
            <w:instrText xml:space="preserve"> PAGEREF _Toc24258 \h </w:instrText>
          </w:r>
          <w:r>
            <w:fldChar w:fldCharType="separate"/>
          </w:r>
          <w:r>
            <w:t>23</w:t>
          </w:r>
          <w:r>
            <w:fldChar w:fldCharType="end"/>
          </w:r>
          <w:r>
            <w:fldChar w:fldCharType="end"/>
          </w:r>
        </w:p>
        <w:p w14:paraId="6ACF05F8">
          <w:pPr>
            <w:pStyle w:val="14"/>
            <w:tabs>
              <w:tab w:val="right" w:leader="dot" w:pos="8306"/>
            </w:tabs>
          </w:pPr>
          <w:r>
            <w:fldChar w:fldCharType="begin"/>
          </w:r>
          <w:r>
            <w:instrText xml:space="preserve"> HYPERLINK \l _Toc27638 </w:instrText>
          </w:r>
          <w:r>
            <w:fldChar w:fldCharType="separate"/>
          </w:r>
          <w:r>
            <w:rPr>
              <w:rFonts w:hint="default"/>
              <w:lang w:val="en-US" w:eastAsia="zh-CN"/>
            </w:rPr>
            <w:t xml:space="preserve">3.4.7. </w:t>
          </w:r>
          <w:r>
            <w:rPr>
              <w:rFonts w:hint="eastAsia"/>
              <w:lang w:val="en-US" w:eastAsia="zh-CN"/>
            </w:rPr>
            <w:t>发布管理</w:t>
          </w:r>
          <w:r>
            <w:tab/>
          </w:r>
          <w:r>
            <w:fldChar w:fldCharType="begin"/>
          </w:r>
          <w:r>
            <w:instrText xml:space="preserve"> PAGEREF _Toc27638 \h </w:instrText>
          </w:r>
          <w:r>
            <w:fldChar w:fldCharType="separate"/>
          </w:r>
          <w:r>
            <w:t>23</w:t>
          </w:r>
          <w:r>
            <w:fldChar w:fldCharType="end"/>
          </w:r>
          <w:r>
            <w:fldChar w:fldCharType="end"/>
          </w:r>
        </w:p>
        <w:p w14:paraId="17135BB9">
          <w:pPr>
            <w:pStyle w:val="14"/>
            <w:tabs>
              <w:tab w:val="right" w:leader="dot" w:pos="8306"/>
            </w:tabs>
          </w:pPr>
          <w:r>
            <w:fldChar w:fldCharType="begin"/>
          </w:r>
          <w:r>
            <w:instrText xml:space="preserve"> HYPERLINK \l _Toc12147 </w:instrText>
          </w:r>
          <w:r>
            <w:fldChar w:fldCharType="separate"/>
          </w:r>
          <w:r>
            <w:rPr>
              <w:rFonts w:hint="default"/>
              <w:lang w:val="en-US" w:eastAsia="zh-CN"/>
            </w:rPr>
            <w:t xml:space="preserve">3.4.8. </w:t>
          </w:r>
          <w:r>
            <w:rPr>
              <w:rFonts w:hint="eastAsia"/>
              <w:lang w:val="en-US" w:eastAsia="zh-CN"/>
            </w:rPr>
            <w:t>配置管理</w:t>
          </w:r>
          <w:r>
            <w:tab/>
          </w:r>
          <w:r>
            <w:fldChar w:fldCharType="begin"/>
          </w:r>
          <w:r>
            <w:instrText xml:space="preserve"> PAGEREF _Toc12147 \h </w:instrText>
          </w:r>
          <w:r>
            <w:fldChar w:fldCharType="separate"/>
          </w:r>
          <w:r>
            <w:t>24</w:t>
          </w:r>
          <w:r>
            <w:fldChar w:fldCharType="end"/>
          </w:r>
          <w:r>
            <w:fldChar w:fldCharType="end"/>
          </w:r>
        </w:p>
        <w:p w14:paraId="0401A7DE">
          <w:pPr>
            <w:pStyle w:val="14"/>
            <w:tabs>
              <w:tab w:val="right" w:leader="dot" w:pos="8306"/>
            </w:tabs>
          </w:pPr>
          <w:r>
            <w:fldChar w:fldCharType="begin"/>
          </w:r>
          <w:r>
            <w:instrText xml:space="preserve"> HYPERLINK \l _Toc23011 </w:instrText>
          </w:r>
          <w:r>
            <w:fldChar w:fldCharType="separate"/>
          </w:r>
          <w:r>
            <w:rPr>
              <w:rFonts w:hint="default"/>
              <w:lang w:val="en-US" w:eastAsia="zh-CN"/>
            </w:rPr>
            <w:t xml:space="preserve">3.4.9. </w:t>
          </w:r>
          <w:r>
            <w:rPr>
              <w:rFonts w:hint="eastAsia"/>
              <w:lang w:val="en-US" w:eastAsia="zh-CN"/>
            </w:rPr>
            <w:t>可用性和连续性管理</w:t>
          </w:r>
          <w:r>
            <w:tab/>
          </w:r>
          <w:r>
            <w:fldChar w:fldCharType="begin"/>
          </w:r>
          <w:r>
            <w:instrText xml:space="preserve"> PAGEREF _Toc23011 \h </w:instrText>
          </w:r>
          <w:r>
            <w:fldChar w:fldCharType="separate"/>
          </w:r>
          <w:r>
            <w:t>24</w:t>
          </w:r>
          <w:r>
            <w:fldChar w:fldCharType="end"/>
          </w:r>
          <w:r>
            <w:fldChar w:fldCharType="end"/>
          </w:r>
        </w:p>
        <w:p w14:paraId="72DD77A6">
          <w:pPr>
            <w:pStyle w:val="14"/>
            <w:tabs>
              <w:tab w:val="right" w:leader="dot" w:pos="8306"/>
            </w:tabs>
          </w:pPr>
          <w:r>
            <w:fldChar w:fldCharType="begin"/>
          </w:r>
          <w:r>
            <w:instrText xml:space="preserve"> HYPERLINK \l _Toc6473 </w:instrText>
          </w:r>
          <w:r>
            <w:fldChar w:fldCharType="separate"/>
          </w:r>
          <w:r>
            <w:rPr>
              <w:rFonts w:hint="default"/>
              <w:lang w:val="en-US" w:eastAsia="zh-CN"/>
            </w:rPr>
            <w:t xml:space="preserve">3.4.10. </w:t>
          </w:r>
          <w:r>
            <w:rPr>
              <w:rFonts w:hint="eastAsia"/>
              <w:lang w:val="en-US" w:eastAsia="zh-CN"/>
            </w:rPr>
            <w:t>容量管理</w:t>
          </w:r>
          <w:r>
            <w:tab/>
          </w:r>
          <w:r>
            <w:fldChar w:fldCharType="begin"/>
          </w:r>
          <w:r>
            <w:instrText xml:space="preserve"> PAGEREF _Toc6473 \h </w:instrText>
          </w:r>
          <w:r>
            <w:fldChar w:fldCharType="separate"/>
          </w:r>
          <w:r>
            <w:t>25</w:t>
          </w:r>
          <w:r>
            <w:fldChar w:fldCharType="end"/>
          </w:r>
          <w:r>
            <w:fldChar w:fldCharType="end"/>
          </w:r>
        </w:p>
        <w:p w14:paraId="5BE3CA97">
          <w:pPr>
            <w:pStyle w:val="14"/>
            <w:tabs>
              <w:tab w:val="right" w:leader="dot" w:pos="8306"/>
            </w:tabs>
          </w:pPr>
          <w:r>
            <w:fldChar w:fldCharType="begin"/>
          </w:r>
          <w:r>
            <w:instrText xml:space="preserve"> HYPERLINK \l _Toc1700 </w:instrText>
          </w:r>
          <w:r>
            <w:fldChar w:fldCharType="separate"/>
          </w:r>
          <w:r>
            <w:rPr>
              <w:rFonts w:hint="default"/>
              <w:lang w:val="en-US" w:eastAsia="zh-CN"/>
            </w:rPr>
            <w:t xml:space="preserve">3.4.11. </w:t>
          </w:r>
          <w:r>
            <w:rPr>
              <w:rFonts w:hint="eastAsia"/>
              <w:lang w:val="en-US" w:eastAsia="zh-CN"/>
            </w:rPr>
            <w:t>信息安全管理</w:t>
          </w:r>
          <w:r>
            <w:tab/>
          </w:r>
          <w:r>
            <w:fldChar w:fldCharType="begin"/>
          </w:r>
          <w:r>
            <w:instrText xml:space="preserve"> PAGEREF _Toc1700 \h </w:instrText>
          </w:r>
          <w:r>
            <w:fldChar w:fldCharType="separate"/>
          </w:r>
          <w:r>
            <w:t>26</w:t>
          </w:r>
          <w:r>
            <w:fldChar w:fldCharType="end"/>
          </w:r>
          <w:r>
            <w:fldChar w:fldCharType="end"/>
          </w:r>
        </w:p>
        <w:p w14:paraId="7F25BE3E">
          <w:pPr>
            <w:pStyle w:val="19"/>
            <w:tabs>
              <w:tab w:val="right" w:leader="dot" w:pos="8306"/>
            </w:tabs>
          </w:pPr>
          <w:r>
            <w:fldChar w:fldCharType="begin"/>
          </w:r>
          <w:r>
            <w:instrText xml:space="preserve"> HYPERLINK \l _Toc17627 </w:instrText>
          </w:r>
          <w:r>
            <w:fldChar w:fldCharType="separate"/>
          </w:r>
          <w:r>
            <w:rPr>
              <w:rFonts w:hint="default"/>
              <w:lang w:val="en-US" w:eastAsia="zh-CN"/>
            </w:rPr>
            <w:t xml:space="preserve">3.5. </w:t>
          </w:r>
          <w:r>
            <w:rPr>
              <w:rFonts w:hint="eastAsia"/>
              <w:lang w:val="en-US" w:eastAsia="zh-CN"/>
            </w:rPr>
            <w:t>交付管理规划</w:t>
          </w:r>
          <w:r>
            <w:tab/>
          </w:r>
          <w:r>
            <w:fldChar w:fldCharType="begin"/>
          </w:r>
          <w:r>
            <w:instrText xml:space="preserve"> PAGEREF _Toc17627 \h </w:instrText>
          </w:r>
          <w:r>
            <w:fldChar w:fldCharType="separate"/>
          </w:r>
          <w:r>
            <w:t>26</w:t>
          </w:r>
          <w:r>
            <w:fldChar w:fldCharType="end"/>
          </w:r>
          <w:r>
            <w:fldChar w:fldCharType="end"/>
          </w:r>
        </w:p>
        <w:p w14:paraId="574F434A">
          <w:pPr>
            <w:pStyle w:val="14"/>
            <w:tabs>
              <w:tab w:val="right" w:leader="dot" w:pos="8306"/>
            </w:tabs>
          </w:pPr>
          <w:r>
            <w:fldChar w:fldCharType="begin"/>
          </w:r>
          <w:r>
            <w:instrText xml:space="preserve"> HYPERLINK \l _Toc7312 </w:instrText>
          </w:r>
          <w:r>
            <w:fldChar w:fldCharType="separate"/>
          </w:r>
          <w:r>
            <w:rPr>
              <w:rFonts w:hint="default"/>
              <w:lang w:val="en-US" w:eastAsia="zh-CN"/>
            </w:rPr>
            <w:t xml:space="preserve">3.5.1. </w:t>
          </w:r>
          <w:r>
            <w:rPr>
              <w:rFonts w:hint="eastAsia"/>
              <w:lang w:val="en-US" w:eastAsia="zh-CN"/>
            </w:rPr>
            <w:t>交付策划</w:t>
          </w:r>
          <w:r>
            <w:tab/>
          </w:r>
          <w:r>
            <w:fldChar w:fldCharType="begin"/>
          </w:r>
          <w:r>
            <w:instrText xml:space="preserve"> PAGEREF _Toc7312 \h </w:instrText>
          </w:r>
          <w:r>
            <w:fldChar w:fldCharType="separate"/>
          </w:r>
          <w:r>
            <w:t>26</w:t>
          </w:r>
          <w:r>
            <w:fldChar w:fldCharType="end"/>
          </w:r>
          <w:r>
            <w:fldChar w:fldCharType="end"/>
          </w:r>
        </w:p>
        <w:p w14:paraId="3F94CA05">
          <w:pPr>
            <w:pStyle w:val="14"/>
            <w:tabs>
              <w:tab w:val="right" w:leader="dot" w:pos="8306"/>
            </w:tabs>
          </w:pPr>
          <w:r>
            <w:fldChar w:fldCharType="begin"/>
          </w:r>
          <w:r>
            <w:instrText xml:space="preserve"> HYPERLINK \l _Toc11988 </w:instrText>
          </w:r>
          <w:r>
            <w:fldChar w:fldCharType="separate"/>
          </w:r>
          <w:r>
            <w:rPr>
              <w:rFonts w:hint="default"/>
              <w:lang w:val="en-US" w:eastAsia="zh-CN"/>
            </w:rPr>
            <w:t xml:space="preserve">3.5.2. </w:t>
          </w:r>
          <w:r>
            <w:rPr>
              <w:rFonts w:hint="eastAsia"/>
              <w:lang w:val="en-US" w:eastAsia="zh-CN"/>
            </w:rPr>
            <w:t>交付实施</w:t>
          </w:r>
          <w:r>
            <w:tab/>
          </w:r>
          <w:r>
            <w:fldChar w:fldCharType="begin"/>
          </w:r>
          <w:r>
            <w:instrText xml:space="preserve"> PAGEREF _Toc11988 \h </w:instrText>
          </w:r>
          <w:r>
            <w:fldChar w:fldCharType="separate"/>
          </w:r>
          <w:r>
            <w:t>27</w:t>
          </w:r>
          <w:r>
            <w:fldChar w:fldCharType="end"/>
          </w:r>
          <w:r>
            <w:fldChar w:fldCharType="end"/>
          </w:r>
        </w:p>
        <w:p w14:paraId="673047D6">
          <w:pPr>
            <w:pStyle w:val="14"/>
            <w:tabs>
              <w:tab w:val="right" w:leader="dot" w:pos="8306"/>
            </w:tabs>
          </w:pPr>
          <w:r>
            <w:fldChar w:fldCharType="begin"/>
          </w:r>
          <w:r>
            <w:instrText xml:space="preserve"> HYPERLINK \l _Toc31372 </w:instrText>
          </w:r>
          <w:r>
            <w:fldChar w:fldCharType="separate"/>
          </w:r>
          <w:r>
            <w:rPr>
              <w:rFonts w:hint="default"/>
              <w:lang w:val="en-US" w:eastAsia="zh-CN"/>
            </w:rPr>
            <w:t xml:space="preserve">3.5.3. </w:t>
          </w:r>
          <w:r>
            <w:rPr>
              <w:rFonts w:hint="eastAsia"/>
              <w:lang w:val="en-US" w:eastAsia="zh-CN"/>
            </w:rPr>
            <w:t>交付检查</w:t>
          </w:r>
          <w:r>
            <w:tab/>
          </w:r>
          <w:r>
            <w:fldChar w:fldCharType="begin"/>
          </w:r>
          <w:r>
            <w:instrText xml:space="preserve"> PAGEREF _Toc31372 \h </w:instrText>
          </w:r>
          <w:r>
            <w:fldChar w:fldCharType="separate"/>
          </w:r>
          <w:r>
            <w:t>27</w:t>
          </w:r>
          <w:r>
            <w:fldChar w:fldCharType="end"/>
          </w:r>
          <w:r>
            <w:fldChar w:fldCharType="end"/>
          </w:r>
        </w:p>
        <w:p w14:paraId="679BF4CF">
          <w:pPr>
            <w:pStyle w:val="14"/>
            <w:tabs>
              <w:tab w:val="right" w:leader="dot" w:pos="8306"/>
            </w:tabs>
          </w:pPr>
          <w:r>
            <w:fldChar w:fldCharType="begin"/>
          </w:r>
          <w:r>
            <w:instrText xml:space="preserve"> HYPERLINK \l _Toc25543 </w:instrText>
          </w:r>
          <w:r>
            <w:fldChar w:fldCharType="separate"/>
          </w:r>
          <w:r>
            <w:rPr>
              <w:rFonts w:hint="default"/>
              <w:lang w:val="en-US" w:eastAsia="zh-CN"/>
            </w:rPr>
            <w:t xml:space="preserve">3.5.4. </w:t>
          </w:r>
          <w:r>
            <w:rPr>
              <w:rFonts w:hint="eastAsia"/>
              <w:lang w:val="en-US" w:eastAsia="zh-CN"/>
            </w:rPr>
            <w:t>交付改进</w:t>
          </w:r>
          <w:r>
            <w:tab/>
          </w:r>
          <w:r>
            <w:fldChar w:fldCharType="begin"/>
          </w:r>
          <w:r>
            <w:instrText xml:space="preserve"> PAGEREF _Toc25543 \h </w:instrText>
          </w:r>
          <w:r>
            <w:fldChar w:fldCharType="separate"/>
          </w:r>
          <w:r>
            <w:t>27</w:t>
          </w:r>
          <w:r>
            <w:fldChar w:fldCharType="end"/>
          </w:r>
          <w:r>
            <w:fldChar w:fldCharType="end"/>
          </w:r>
        </w:p>
        <w:p w14:paraId="68AC9CD2">
          <w:pPr>
            <w:pStyle w:val="19"/>
            <w:tabs>
              <w:tab w:val="right" w:leader="dot" w:pos="8306"/>
            </w:tabs>
          </w:pPr>
          <w:r>
            <w:fldChar w:fldCharType="begin"/>
          </w:r>
          <w:r>
            <w:instrText xml:space="preserve"> HYPERLINK \l _Toc1822 </w:instrText>
          </w:r>
          <w:r>
            <w:fldChar w:fldCharType="separate"/>
          </w:r>
          <w:r>
            <w:rPr>
              <w:rFonts w:hint="default"/>
              <w:lang w:val="en-US" w:eastAsia="zh-CN"/>
            </w:rPr>
            <w:t xml:space="preserve">3.6. </w:t>
          </w:r>
          <w:r>
            <w:rPr>
              <w:rFonts w:hint="eastAsia"/>
              <w:lang w:val="en-US" w:eastAsia="zh-CN"/>
            </w:rPr>
            <w:t>应急管理规划</w:t>
          </w:r>
          <w:r>
            <w:tab/>
          </w:r>
          <w:r>
            <w:fldChar w:fldCharType="begin"/>
          </w:r>
          <w:r>
            <w:instrText xml:space="preserve"> PAGEREF _Toc1822 \h </w:instrText>
          </w:r>
          <w:r>
            <w:fldChar w:fldCharType="separate"/>
          </w:r>
          <w:r>
            <w:t>27</w:t>
          </w:r>
          <w:r>
            <w:fldChar w:fldCharType="end"/>
          </w:r>
          <w:r>
            <w:fldChar w:fldCharType="end"/>
          </w:r>
        </w:p>
        <w:p w14:paraId="6CE9B3A4">
          <w:pPr>
            <w:pStyle w:val="19"/>
            <w:tabs>
              <w:tab w:val="right" w:leader="dot" w:pos="8306"/>
            </w:tabs>
          </w:pPr>
          <w:r>
            <w:fldChar w:fldCharType="begin"/>
          </w:r>
          <w:r>
            <w:instrText xml:space="preserve"> HYPERLINK \l _Toc29559 </w:instrText>
          </w:r>
          <w:r>
            <w:fldChar w:fldCharType="separate"/>
          </w:r>
          <w:r>
            <w:rPr>
              <w:rFonts w:hint="default"/>
              <w:lang w:val="en-US" w:eastAsia="zh-CN"/>
            </w:rPr>
            <w:t xml:space="preserve">3.7. </w:t>
          </w:r>
          <w:r>
            <w:rPr>
              <w:rFonts w:hint="eastAsia"/>
              <w:lang w:val="en-US" w:eastAsia="zh-CN"/>
            </w:rPr>
            <w:t>质量管理规划</w:t>
          </w:r>
          <w:r>
            <w:tab/>
          </w:r>
          <w:r>
            <w:fldChar w:fldCharType="begin"/>
          </w:r>
          <w:r>
            <w:instrText xml:space="preserve"> PAGEREF _Toc29559 \h </w:instrText>
          </w:r>
          <w:r>
            <w:fldChar w:fldCharType="separate"/>
          </w:r>
          <w:r>
            <w:t>28</w:t>
          </w:r>
          <w:r>
            <w:fldChar w:fldCharType="end"/>
          </w:r>
          <w:r>
            <w:fldChar w:fldCharType="end"/>
          </w:r>
        </w:p>
        <w:p w14:paraId="2F954E68">
          <w:pPr>
            <w:pStyle w:val="14"/>
            <w:tabs>
              <w:tab w:val="right" w:leader="dot" w:pos="8306"/>
            </w:tabs>
          </w:pPr>
          <w:r>
            <w:fldChar w:fldCharType="begin"/>
          </w:r>
          <w:r>
            <w:instrText xml:space="preserve"> HYPERLINK \l _Toc4354 </w:instrText>
          </w:r>
          <w:r>
            <w:fldChar w:fldCharType="separate"/>
          </w:r>
          <w:r>
            <w:rPr>
              <w:rFonts w:hint="default"/>
              <w:lang w:val="en-US" w:eastAsia="zh-CN"/>
            </w:rPr>
            <w:t xml:space="preserve">3.7.1. </w:t>
          </w:r>
          <w:r>
            <w:rPr>
              <w:rFonts w:hint="eastAsia"/>
              <w:lang w:val="en-US" w:eastAsia="zh-CN"/>
            </w:rPr>
            <w:t>质量管理计划</w:t>
          </w:r>
          <w:r>
            <w:tab/>
          </w:r>
          <w:r>
            <w:fldChar w:fldCharType="begin"/>
          </w:r>
          <w:r>
            <w:instrText xml:space="preserve"> PAGEREF _Toc4354 \h </w:instrText>
          </w:r>
          <w:r>
            <w:fldChar w:fldCharType="separate"/>
          </w:r>
          <w:r>
            <w:t>29</w:t>
          </w:r>
          <w:r>
            <w:fldChar w:fldCharType="end"/>
          </w:r>
          <w:r>
            <w:fldChar w:fldCharType="end"/>
          </w:r>
        </w:p>
        <w:p w14:paraId="1964CB89">
          <w:pPr>
            <w:pStyle w:val="14"/>
            <w:tabs>
              <w:tab w:val="right" w:leader="dot" w:pos="8306"/>
            </w:tabs>
          </w:pPr>
          <w:r>
            <w:fldChar w:fldCharType="begin"/>
          </w:r>
          <w:r>
            <w:instrText xml:space="preserve"> HYPERLINK \l _Toc8076 </w:instrText>
          </w:r>
          <w:r>
            <w:fldChar w:fldCharType="separate"/>
          </w:r>
          <w:r>
            <w:rPr>
              <w:rFonts w:hint="default"/>
              <w:lang w:val="en-US" w:eastAsia="zh-CN"/>
            </w:rPr>
            <w:t xml:space="preserve">3.7.2. </w:t>
          </w:r>
          <w:r>
            <w:rPr>
              <w:rFonts w:hint="eastAsia"/>
              <w:lang w:val="en-US" w:eastAsia="zh-CN"/>
            </w:rPr>
            <w:t>质量检查</w:t>
          </w:r>
          <w:r>
            <w:tab/>
          </w:r>
          <w:r>
            <w:fldChar w:fldCharType="begin"/>
          </w:r>
          <w:r>
            <w:instrText xml:space="preserve"> PAGEREF _Toc8076 \h </w:instrText>
          </w:r>
          <w:r>
            <w:fldChar w:fldCharType="separate"/>
          </w:r>
          <w:r>
            <w:t>29</w:t>
          </w:r>
          <w:r>
            <w:fldChar w:fldCharType="end"/>
          </w:r>
          <w:r>
            <w:fldChar w:fldCharType="end"/>
          </w:r>
        </w:p>
        <w:p w14:paraId="6613B0EF">
          <w:pPr>
            <w:pStyle w:val="14"/>
            <w:tabs>
              <w:tab w:val="right" w:leader="dot" w:pos="8306"/>
            </w:tabs>
          </w:pPr>
          <w:r>
            <w:fldChar w:fldCharType="begin"/>
          </w:r>
          <w:r>
            <w:instrText xml:space="preserve"> HYPERLINK \l _Toc20892 </w:instrText>
          </w:r>
          <w:r>
            <w:fldChar w:fldCharType="separate"/>
          </w:r>
          <w:r>
            <w:rPr>
              <w:rFonts w:hint="default"/>
              <w:lang w:val="en-US" w:eastAsia="zh-CN"/>
            </w:rPr>
            <w:t xml:space="preserve">3.7.3. </w:t>
          </w:r>
          <w:r>
            <w:rPr>
              <w:rFonts w:hint="eastAsia"/>
              <w:lang w:val="en-US" w:eastAsia="zh-CN"/>
            </w:rPr>
            <w:t>内部审核</w:t>
          </w:r>
          <w:r>
            <w:tab/>
          </w:r>
          <w:r>
            <w:fldChar w:fldCharType="begin"/>
          </w:r>
          <w:r>
            <w:instrText xml:space="preserve"> PAGEREF _Toc20892 \h </w:instrText>
          </w:r>
          <w:r>
            <w:fldChar w:fldCharType="separate"/>
          </w:r>
          <w:r>
            <w:t>29</w:t>
          </w:r>
          <w:r>
            <w:fldChar w:fldCharType="end"/>
          </w:r>
          <w:r>
            <w:fldChar w:fldCharType="end"/>
          </w:r>
        </w:p>
        <w:p w14:paraId="0E97693A">
          <w:pPr>
            <w:pStyle w:val="14"/>
            <w:tabs>
              <w:tab w:val="right" w:leader="dot" w:pos="8306"/>
            </w:tabs>
          </w:pPr>
          <w:r>
            <w:fldChar w:fldCharType="begin"/>
          </w:r>
          <w:r>
            <w:instrText xml:space="preserve"> HYPERLINK \l _Toc10449 </w:instrText>
          </w:r>
          <w:r>
            <w:fldChar w:fldCharType="separate"/>
          </w:r>
          <w:r>
            <w:rPr>
              <w:rFonts w:hint="default"/>
              <w:lang w:val="en-US" w:eastAsia="zh-CN"/>
            </w:rPr>
            <w:t xml:space="preserve">3.7.4. </w:t>
          </w:r>
          <w:r>
            <w:rPr>
              <w:rFonts w:hint="eastAsia"/>
              <w:lang w:val="en-US" w:eastAsia="zh-CN"/>
            </w:rPr>
            <w:t>管理评审</w:t>
          </w:r>
          <w:r>
            <w:tab/>
          </w:r>
          <w:r>
            <w:fldChar w:fldCharType="begin"/>
          </w:r>
          <w:r>
            <w:instrText xml:space="preserve"> PAGEREF _Toc10449 \h </w:instrText>
          </w:r>
          <w:r>
            <w:fldChar w:fldCharType="separate"/>
          </w:r>
          <w:r>
            <w:t>29</w:t>
          </w:r>
          <w:r>
            <w:fldChar w:fldCharType="end"/>
          </w:r>
          <w:r>
            <w:fldChar w:fldCharType="end"/>
          </w:r>
        </w:p>
        <w:p w14:paraId="0E23C735">
          <w:pPr>
            <w:pStyle w:val="14"/>
            <w:tabs>
              <w:tab w:val="right" w:leader="dot" w:pos="8306"/>
            </w:tabs>
          </w:pPr>
          <w:r>
            <w:fldChar w:fldCharType="begin"/>
          </w:r>
          <w:r>
            <w:instrText xml:space="preserve"> HYPERLINK \l _Toc1974 </w:instrText>
          </w:r>
          <w:r>
            <w:fldChar w:fldCharType="separate"/>
          </w:r>
          <w:r>
            <w:rPr>
              <w:rFonts w:hint="default"/>
              <w:lang w:val="en-US" w:eastAsia="zh-CN"/>
            </w:rPr>
            <w:t xml:space="preserve">3.7.5. </w:t>
          </w:r>
          <w:r>
            <w:rPr>
              <w:rFonts w:hint="eastAsia"/>
              <w:lang w:val="en-US" w:eastAsia="zh-CN"/>
            </w:rPr>
            <w:t>客户满意度管理</w:t>
          </w:r>
          <w:r>
            <w:tab/>
          </w:r>
          <w:r>
            <w:fldChar w:fldCharType="begin"/>
          </w:r>
          <w:r>
            <w:instrText xml:space="preserve"> PAGEREF _Toc1974 \h </w:instrText>
          </w:r>
          <w:r>
            <w:fldChar w:fldCharType="separate"/>
          </w:r>
          <w:r>
            <w:t>29</w:t>
          </w:r>
          <w:r>
            <w:fldChar w:fldCharType="end"/>
          </w:r>
          <w:r>
            <w:fldChar w:fldCharType="end"/>
          </w:r>
        </w:p>
        <w:p w14:paraId="4A2D12A4">
          <w:r>
            <w:fldChar w:fldCharType="end"/>
          </w:r>
        </w:p>
      </w:sdtContent>
    </w:sdt>
    <w:p w14:paraId="2AF39A91">
      <w:pPr>
        <w:jc w:val="center"/>
        <w:rPr>
          <w:rFonts w:hint="eastAsia" w:eastAsia="宋体"/>
          <w:lang w:val="en-US" w:eastAsia="zh-CN"/>
        </w:rPr>
      </w:pPr>
      <w:r>
        <w:rPr>
          <w:rFonts w:hint="eastAsia"/>
          <w:lang w:val="en-US" w:eastAsia="zh-CN"/>
        </w:rPr>
        <w:t>表目录</w:t>
      </w:r>
    </w:p>
    <w:p w14:paraId="453233BE">
      <w:pPr>
        <w:pStyle w:val="18"/>
        <w:tabs>
          <w:tab w:val="right" w:leader="dot" w:pos="8306"/>
        </w:tabs>
      </w:pPr>
      <w:r>
        <w:fldChar w:fldCharType="begin"/>
      </w:r>
      <w:r>
        <w:instrText xml:space="preserve">TOC \h \c "表"</w:instrText>
      </w:r>
      <w:r>
        <w:fldChar w:fldCharType="separate"/>
      </w:r>
      <w:r>
        <w:fldChar w:fldCharType="begin"/>
      </w:r>
      <w:r>
        <w:instrText xml:space="preserve"> HYPERLINK \l _Toc21311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2025年度人员招聘计划表</w:t>
      </w:r>
      <w:r>
        <w:tab/>
      </w:r>
      <w:r>
        <w:fldChar w:fldCharType="begin"/>
      </w:r>
      <w:r>
        <w:instrText xml:space="preserve"> PAGEREF _Toc21311 \h </w:instrText>
      </w:r>
      <w:r>
        <w:fldChar w:fldCharType="separate"/>
      </w:r>
      <w:r>
        <w:t>8</w:t>
      </w:r>
      <w:r>
        <w:fldChar w:fldCharType="end"/>
      </w:r>
      <w:r>
        <w:fldChar w:fldCharType="end"/>
      </w:r>
    </w:p>
    <w:p w14:paraId="6145E33B">
      <w:pPr>
        <w:pStyle w:val="18"/>
        <w:tabs>
          <w:tab w:val="right" w:leader="dot" w:pos="8306"/>
        </w:tabs>
      </w:pPr>
      <w:r>
        <w:fldChar w:fldCharType="begin"/>
      </w:r>
      <w:r>
        <w:instrText xml:space="preserve"> HYPERLINK \l _Toc12641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2 </w:t>
      </w:r>
      <w:r>
        <w:rPr>
          <w:rFonts w:hint="eastAsia"/>
          <w:lang w:val="en-US" w:eastAsia="zh-CN"/>
        </w:rPr>
        <w:t xml:space="preserve"> 2025年度人员内部储备计划表</w:t>
      </w:r>
      <w:r>
        <w:tab/>
      </w:r>
      <w:r>
        <w:fldChar w:fldCharType="begin"/>
      </w:r>
      <w:r>
        <w:instrText xml:space="preserve"> PAGEREF _Toc12641 \h </w:instrText>
      </w:r>
      <w:r>
        <w:fldChar w:fldCharType="separate"/>
      </w:r>
      <w:r>
        <w:t>9</w:t>
      </w:r>
      <w:r>
        <w:fldChar w:fldCharType="end"/>
      </w:r>
      <w:r>
        <w:fldChar w:fldCharType="end"/>
      </w:r>
    </w:p>
    <w:p w14:paraId="3B3CE595">
      <w:pPr>
        <w:pStyle w:val="18"/>
        <w:tabs>
          <w:tab w:val="right" w:leader="dot" w:pos="8306"/>
        </w:tabs>
      </w:pPr>
      <w:r>
        <w:fldChar w:fldCharType="begin"/>
      </w:r>
      <w:r>
        <w:instrText xml:space="preserve"> HYPERLINK \l _Toc28631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3 </w:t>
      </w:r>
      <w:r>
        <w:rPr>
          <w:rFonts w:hint="eastAsia"/>
          <w:lang w:val="en-US" w:eastAsia="zh-CN"/>
        </w:rPr>
        <w:t xml:space="preserve"> 2025年度人员培训计划表</w:t>
      </w:r>
      <w:r>
        <w:tab/>
      </w:r>
      <w:r>
        <w:fldChar w:fldCharType="begin"/>
      </w:r>
      <w:r>
        <w:instrText xml:space="preserve"> PAGEREF _Toc28631 \h </w:instrText>
      </w:r>
      <w:r>
        <w:fldChar w:fldCharType="separate"/>
      </w:r>
      <w:r>
        <w:t>10</w:t>
      </w:r>
      <w:r>
        <w:fldChar w:fldCharType="end"/>
      </w:r>
      <w:r>
        <w:fldChar w:fldCharType="end"/>
      </w:r>
    </w:p>
    <w:p w14:paraId="1DE6E2CE">
      <w:pPr>
        <w:pStyle w:val="18"/>
        <w:tabs>
          <w:tab w:val="right" w:leader="dot" w:pos="8306"/>
        </w:tabs>
      </w:pPr>
      <w:r>
        <w:fldChar w:fldCharType="begin"/>
      </w:r>
      <w:r>
        <w:instrText xml:space="preserve"> HYPERLINK \l _Toc18978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4 </w:t>
      </w:r>
      <w:r>
        <w:rPr>
          <w:rFonts w:hint="eastAsia"/>
          <w:lang w:val="en-US" w:eastAsia="zh-CN"/>
        </w:rPr>
        <w:t xml:space="preserve"> 2025年度人员培训预算汇总表</w:t>
      </w:r>
      <w:r>
        <w:tab/>
      </w:r>
      <w:r>
        <w:fldChar w:fldCharType="begin"/>
      </w:r>
      <w:r>
        <w:instrText xml:space="preserve"> PAGEREF _Toc18978 \h </w:instrText>
      </w:r>
      <w:r>
        <w:fldChar w:fldCharType="separate"/>
      </w:r>
      <w:r>
        <w:t>12</w:t>
      </w:r>
      <w:r>
        <w:fldChar w:fldCharType="end"/>
      </w:r>
      <w:r>
        <w:fldChar w:fldCharType="end"/>
      </w:r>
    </w:p>
    <w:p w14:paraId="4A330E6E">
      <w:pPr>
        <w:pStyle w:val="18"/>
        <w:tabs>
          <w:tab w:val="right" w:leader="dot" w:pos="8306"/>
        </w:tabs>
      </w:pPr>
      <w:r>
        <w:fldChar w:fldCharType="begin"/>
      </w:r>
      <w:r>
        <w:instrText xml:space="preserve"> HYPERLINK \l _Toc4747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5 </w:t>
      </w:r>
      <w:r>
        <w:rPr>
          <w:rFonts w:hint="eastAsia"/>
          <w:lang w:val="en-US" w:eastAsia="zh-CN"/>
        </w:rPr>
        <w:t xml:space="preserve"> 2025年度人员关键岗位备份计划表</w:t>
      </w:r>
      <w:r>
        <w:tab/>
      </w:r>
      <w:r>
        <w:fldChar w:fldCharType="begin"/>
      </w:r>
      <w:r>
        <w:instrText xml:space="preserve"> PAGEREF _Toc4747 \h </w:instrText>
      </w:r>
      <w:r>
        <w:fldChar w:fldCharType="separate"/>
      </w:r>
      <w:r>
        <w:t>12</w:t>
      </w:r>
      <w:r>
        <w:fldChar w:fldCharType="end"/>
      </w:r>
      <w:r>
        <w:fldChar w:fldCharType="end"/>
      </w:r>
    </w:p>
    <w:p w14:paraId="55FA2446">
      <w:pPr>
        <w:pStyle w:val="18"/>
        <w:tabs>
          <w:tab w:val="right" w:leader="dot" w:pos="8306"/>
        </w:tabs>
      </w:pPr>
      <w:r>
        <w:fldChar w:fldCharType="begin"/>
      </w:r>
      <w:r>
        <w:instrText xml:space="preserve"> HYPERLINK \l _Toc24180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6 </w:t>
      </w:r>
      <w:r>
        <w:rPr>
          <w:rFonts w:hint="eastAsia"/>
          <w:lang w:val="en-US" w:eastAsia="zh-CN"/>
        </w:rPr>
        <w:t xml:space="preserve"> 2025年度人员绩效考核计划表</w:t>
      </w:r>
      <w:r>
        <w:tab/>
      </w:r>
      <w:r>
        <w:fldChar w:fldCharType="begin"/>
      </w:r>
      <w:r>
        <w:instrText xml:space="preserve"> PAGEREF _Toc24180 \h </w:instrText>
      </w:r>
      <w:r>
        <w:fldChar w:fldCharType="separate"/>
      </w:r>
      <w:r>
        <w:t>13</w:t>
      </w:r>
      <w:r>
        <w:fldChar w:fldCharType="end"/>
      </w:r>
      <w:r>
        <w:fldChar w:fldCharType="end"/>
      </w:r>
    </w:p>
    <w:p w14:paraId="319DD812">
      <w:pPr>
        <w:pStyle w:val="18"/>
        <w:tabs>
          <w:tab w:val="right" w:leader="dot" w:pos="8306"/>
        </w:tabs>
      </w:pPr>
      <w:r>
        <w:fldChar w:fldCharType="begin"/>
      </w:r>
      <w:r>
        <w:instrText xml:space="preserve"> HYPERLINK \l _Toc18028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7 </w:t>
      </w:r>
      <w:r>
        <w:rPr>
          <w:rFonts w:hint="eastAsia"/>
          <w:lang w:val="en-US" w:eastAsia="zh-CN"/>
        </w:rPr>
        <w:t xml:space="preserve"> 2025年度人员技能评定周期表</w:t>
      </w:r>
      <w:r>
        <w:tab/>
      </w:r>
      <w:r>
        <w:fldChar w:fldCharType="begin"/>
      </w:r>
      <w:r>
        <w:instrText xml:space="preserve"> PAGEREF _Toc18028 \h </w:instrText>
      </w:r>
      <w:r>
        <w:fldChar w:fldCharType="separate"/>
      </w:r>
      <w:r>
        <w:t>13</w:t>
      </w:r>
      <w:r>
        <w:fldChar w:fldCharType="end"/>
      </w:r>
      <w:r>
        <w:fldChar w:fldCharType="end"/>
      </w:r>
    </w:p>
    <w:p w14:paraId="3B226F05">
      <w:pPr>
        <w:pStyle w:val="18"/>
        <w:tabs>
          <w:tab w:val="right" w:leader="dot" w:pos="8306"/>
        </w:tabs>
      </w:pPr>
      <w:r>
        <w:fldChar w:fldCharType="begin"/>
      </w:r>
      <w:r>
        <w:instrText xml:space="preserve"> HYPERLINK \l _Toc24466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8 </w:t>
      </w:r>
      <w:r>
        <w:rPr>
          <w:rFonts w:hint="eastAsia"/>
          <w:lang w:val="en-US" w:eastAsia="zh-CN"/>
        </w:rPr>
        <w:t xml:space="preserve"> 2025年度人员技能等级划分表</w:t>
      </w:r>
      <w:r>
        <w:tab/>
      </w:r>
      <w:r>
        <w:fldChar w:fldCharType="begin"/>
      </w:r>
      <w:r>
        <w:instrText xml:space="preserve"> PAGEREF _Toc24466 \h </w:instrText>
      </w:r>
      <w:r>
        <w:fldChar w:fldCharType="separate"/>
      </w:r>
      <w:r>
        <w:t>14</w:t>
      </w:r>
      <w:r>
        <w:fldChar w:fldCharType="end"/>
      </w:r>
      <w:r>
        <w:fldChar w:fldCharType="end"/>
      </w:r>
    </w:p>
    <w:p w14:paraId="395991A0">
      <w:pPr>
        <w:pStyle w:val="18"/>
        <w:tabs>
          <w:tab w:val="right" w:leader="dot" w:pos="8306"/>
        </w:tabs>
      </w:pPr>
      <w:r>
        <w:fldChar w:fldCharType="begin"/>
      </w:r>
      <w:r>
        <w:instrText xml:space="preserve"> HYPERLINK \l _Toc326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9 </w:t>
      </w:r>
      <w:r>
        <w:rPr>
          <w:rFonts w:hint="eastAsia"/>
          <w:lang w:val="en-US" w:eastAsia="zh-CN"/>
        </w:rPr>
        <w:t xml:space="preserve"> 2025年度人员技能评定内容表</w:t>
      </w:r>
      <w:r>
        <w:tab/>
      </w:r>
      <w:r>
        <w:fldChar w:fldCharType="begin"/>
      </w:r>
      <w:r>
        <w:instrText xml:space="preserve"> PAGEREF _Toc326 \h </w:instrText>
      </w:r>
      <w:r>
        <w:fldChar w:fldCharType="separate"/>
      </w:r>
      <w:r>
        <w:t>14</w:t>
      </w:r>
      <w:r>
        <w:fldChar w:fldCharType="end"/>
      </w:r>
      <w:r>
        <w:fldChar w:fldCharType="end"/>
      </w:r>
    </w:p>
    <w:p w14:paraId="32C8517C">
      <w:pPr>
        <w:pStyle w:val="18"/>
        <w:tabs>
          <w:tab w:val="right" w:leader="dot" w:pos="8306"/>
        </w:tabs>
      </w:pPr>
      <w:r>
        <w:fldChar w:fldCharType="begin"/>
      </w:r>
      <w:r>
        <w:instrText xml:space="preserve"> HYPERLINK \l _Toc16703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10 </w:t>
      </w:r>
      <w:r>
        <w:rPr>
          <w:rFonts w:hint="eastAsia"/>
          <w:lang w:val="en-US" w:eastAsia="zh-CN"/>
        </w:rPr>
        <w:t xml:space="preserve"> 2025年度人员技能评定结果应用表</w:t>
      </w:r>
      <w:r>
        <w:tab/>
      </w:r>
      <w:r>
        <w:fldChar w:fldCharType="begin"/>
      </w:r>
      <w:r>
        <w:instrText xml:space="preserve"> PAGEREF _Toc16703 \h </w:instrText>
      </w:r>
      <w:r>
        <w:fldChar w:fldCharType="separate"/>
      </w:r>
      <w:r>
        <w:t>14</w:t>
      </w:r>
      <w:r>
        <w:fldChar w:fldCharType="end"/>
      </w:r>
      <w:r>
        <w:fldChar w:fldCharType="end"/>
      </w:r>
    </w:p>
    <w:p w14:paraId="218FE5D5">
      <w:pPr>
        <w:jc w:val="center"/>
      </w:pPr>
      <w:r>
        <w:fldChar w:fldCharType="end"/>
      </w:r>
    </w:p>
    <w:p w14:paraId="5EBF0CD6">
      <w:pPr>
        <w:keepLines w:val="0"/>
        <w:pageBreakBefore w:val="0"/>
        <w:widowControl w:val="0"/>
        <w:kinsoku w:val="0"/>
        <w:wordWrap/>
        <w:overflowPunct/>
        <w:topLinePunct w:val="0"/>
        <w:autoSpaceDE w:val="0"/>
        <w:autoSpaceDN w:val="0"/>
        <w:bidi w:val="0"/>
        <w:adjustRightInd w:val="0"/>
        <w:snapToGrid w:val="0"/>
        <w:textAlignment w:val="baseline"/>
      </w:pPr>
    </w:p>
    <w:p w14:paraId="65BAC8F4">
      <w:pPr>
        <w:pStyle w:val="31"/>
        <w:bidi w:val="0"/>
        <w:rPr>
          <w:rFonts w:hint="default"/>
          <w:lang w:val="en-US" w:eastAsia="zh-CN"/>
        </w:rPr>
      </w:pPr>
      <w:bookmarkStart w:id="1" w:name="_Toc6885"/>
      <w:r>
        <w:rPr>
          <w:rFonts w:hint="default"/>
          <w:lang w:val="en-US" w:eastAsia="zh-CN"/>
        </w:rPr>
        <w:t>公司现状分析</w:t>
      </w:r>
      <w:bookmarkEnd w:id="1"/>
    </w:p>
    <w:p w14:paraId="1CDD9994">
      <w:pPr>
        <w:pStyle w:val="32"/>
        <w:bidi w:val="0"/>
        <w:rPr>
          <w:rFonts w:hint="default"/>
          <w:lang w:val="en-US" w:eastAsia="zh-CN"/>
        </w:rPr>
      </w:pPr>
      <w:r>
        <w:rPr>
          <w:rFonts w:hint="default"/>
          <w:lang w:val="en-US" w:eastAsia="zh-CN"/>
        </w:rPr>
        <w:t>华风数据(深圳)有限公司是一家多元化发展的综合性科技公司，在人工智能、软件开发、汽车服务、金融服务等领域深耕与发展。为支撑公司业务持续拓展和影响力提升，公司建立了清晰的组织架构，明确各部门职责分工。</w:t>
      </w:r>
    </w:p>
    <w:p w14:paraId="76D4EEFA">
      <w:pPr>
        <w:pStyle w:val="32"/>
        <w:bidi w:val="0"/>
        <w:rPr>
          <w:rFonts w:hint="default"/>
          <w:lang w:val="en-US" w:eastAsia="zh-CN"/>
        </w:rPr>
      </w:pPr>
      <w:r>
        <w:rPr>
          <w:rFonts w:hint="default"/>
          <w:lang w:val="en-US" w:eastAsia="zh-CN"/>
        </w:rPr>
        <w:t>公司自成立以来，已承接了多个运维服务项目，积累了丰富的运维服务经验。为进一步提升公司运维服务能力，规范服务流程，公司决定引入ITSS信息技术服务标准体系，按照ITSS三级要求构建运维服务能力管理体系。</w:t>
      </w:r>
    </w:p>
    <w:p w14:paraId="09B9470E">
      <w:pPr>
        <w:pStyle w:val="33"/>
        <w:bidi w:val="0"/>
        <w:rPr>
          <w:rFonts w:hint="default"/>
          <w:lang w:val="en-US" w:eastAsia="zh-CN"/>
        </w:rPr>
      </w:pPr>
      <w:bookmarkStart w:id="2" w:name="_Toc928"/>
      <w:r>
        <w:rPr>
          <w:rFonts w:hint="default"/>
          <w:lang w:val="en-US" w:eastAsia="zh-CN"/>
        </w:rPr>
        <w:t>优势分析</w:t>
      </w:r>
      <w:bookmarkEnd w:id="2"/>
    </w:p>
    <w:p w14:paraId="52815930">
      <w:pPr>
        <w:pStyle w:val="32"/>
        <w:bidi w:val="0"/>
        <w:rPr>
          <w:rFonts w:hint="default"/>
          <w:lang w:val="en-US" w:eastAsia="zh-CN"/>
        </w:rPr>
      </w:pPr>
      <w:r>
        <w:rPr>
          <w:rFonts w:hint="default"/>
          <w:lang w:val="en-US" w:eastAsia="zh-CN"/>
        </w:rPr>
        <w:t>公司已建立较为完善的组织架构，明确了运维部、研发部、产品质量部、综合部等部门的职责分工</w:t>
      </w:r>
    </w:p>
    <w:p w14:paraId="39B10131">
      <w:pPr>
        <w:pStyle w:val="32"/>
        <w:bidi w:val="0"/>
        <w:rPr>
          <w:rFonts w:hint="default"/>
          <w:lang w:val="en-US" w:eastAsia="zh-CN"/>
        </w:rPr>
      </w:pPr>
      <w:r>
        <w:rPr>
          <w:rFonts w:hint="default"/>
          <w:lang w:val="en-US" w:eastAsia="zh-CN"/>
        </w:rPr>
        <w:t>已完成《运维服务能力管理制度》《运维服务能力改进管理制度》等核心制度的制定</w:t>
      </w:r>
    </w:p>
    <w:p w14:paraId="5C765527">
      <w:pPr>
        <w:pStyle w:val="32"/>
        <w:bidi w:val="0"/>
        <w:rPr>
          <w:rFonts w:hint="default"/>
          <w:lang w:val="en-US" w:eastAsia="zh-CN"/>
        </w:rPr>
      </w:pPr>
      <w:r>
        <w:rPr>
          <w:rFonts w:hint="default"/>
          <w:lang w:val="en-US" w:eastAsia="zh-CN"/>
        </w:rPr>
        <w:t>已配备iTop运维管理平台和</w:t>
      </w:r>
      <w:r>
        <w:rPr>
          <w:rFonts w:hint="eastAsia"/>
          <w:lang w:val="en-US" w:eastAsia="zh-CN"/>
        </w:rPr>
        <w:t>华风数据</w:t>
      </w:r>
      <w:r>
        <w:rPr>
          <w:rFonts w:hint="default"/>
          <w:lang w:val="en-US" w:eastAsia="zh-CN"/>
        </w:rPr>
        <w:t>运维监控平台等工具</w:t>
      </w:r>
    </w:p>
    <w:p w14:paraId="0F6CEB1E">
      <w:pPr>
        <w:pStyle w:val="32"/>
        <w:bidi w:val="0"/>
        <w:rPr>
          <w:rFonts w:hint="default"/>
          <w:lang w:val="en-US" w:eastAsia="zh-CN"/>
        </w:rPr>
      </w:pPr>
      <w:r>
        <w:rPr>
          <w:rFonts w:hint="default"/>
          <w:lang w:val="en-US" w:eastAsia="zh-CN"/>
        </w:rPr>
        <w:t>已建立服务台、备件库、服务知识等资源管理机制</w:t>
      </w:r>
    </w:p>
    <w:p w14:paraId="32AB914F">
      <w:pPr>
        <w:pStyle w:val="33"/>
        <w:bidi w:val="0"/>
        <w:rPr>
          <w:rFonts w:hint="default"/>
          <w:lang w:val="en-US" w:eastAsia="zh-CN"/>
        </w:rPr>
      </w:pPr>
      <w:bookmarkStart w:id="3" w:name="_Toc24875"/>
      <w:r>
        <w:rPr>
          <w:rFonts w:hint="default"/>
          <w:lang w:val="en-US" w:eastAsia="zh-CN"/>
        </w:rPr>
        <w:t>待改进方面</w:t>
      </w:r>
      <w:bookmarkEnd w:id="3"/>
    </w:p>
    <w:p w14:paraId="0486FFAC">
      <w:pPr>
        <w:pStyle w:val="32"/>
        <w:bidi w:val="0"/>
        <w:rPr>
          <w:rFonts w:hint="default"/>
          <w:lang w:val="en-US" w:eastAsia="zh-CN"/>
        </w:rPr>
      </w:pPr>
      <w:r>
        <w:rPr>
          <w:rFonts w:hint="default"/>
          <w:lang w:val="en-US" w:eastAsia="zh-CN"/>
        </w:rPr>
        <w:t>人员岗位配置需进一步充实</w:t>
      </w:r>
    </w:p>
    <w:p w14:paraId="241BFE52">
      <w:pPr>
        <w:pStyle w:val="32"/>
        <w:bidi w:val="0"/>
        <w:rPr>
          <w:rFonts w:hint="default"/>
          <w:lang w:val="en-US" w:eastAsia="zh-CN"/>
        </w:rPr>
      </w:pPr>
      <w:r>
        <w:rPr>
          <w:rFonts w:hint="eastAsia"/>
          <w:lang w:val="en-US" w:eastAsia="zh-CN"/>
        </w:rPr>
        <w:t>服务知识</w:t>
      </w:r>
      <w:r>
        <w:rPr>
          <w:rFonts w:hint="default"/>
          <w:lang w:val="en-US" w:eastAsia="zh-CN"/>
        </w:rPr>
        <w:t>管理需持续优化（已明确由运维部负责）</w:t>
      </w:r>
    </w:p>
    <w:p w14:paraId="6507A1E5">
      <w:pPr>
        <w:pStyle w:val="32"/>
        <w:bidi w:val="0"/>
        <w:rPr>
          <w:rFonts w:hint="default"/>
          <w:lang w:val="en-US" w:eastAsia="zh-CN"/>
        </w:rPr>
      </w:pPr>
      <w:r>
        <w:rPr>
          <w:rFonts w:hint="default"/>
          <w:lang w:val="en-US" w:eastAsia="zh-CN"/>
        </w:rPr>
        <w:t>运维工具的自评估机制需完善</w:t>
      </w:r>
    </w:p>
    <w:p w14:paraId="45CE0169">
      <w:pPr>
        <w:pStyle w:val="32"/>
        <w:bidi w:val="0"/>
        <w:rPr>
          <w:rFonts w:hint="default"/>
          <w:lang w:val="en-US" w:eastAsia="zh-CN"/>
        </w:rPr>
      </w:pPr>
      <w:r>
        <w:rPr>
          <w:rFonts w:hint="default"/>
          <w:lang w:val="en-US" w:eastAsia="zh-CN"/>
        </w:rPr>
        <w:t>过程管理的量化指标需持续跟踪</w:t>
      </w:r>
    </w:p>
    <w:p w14:paraId="774143AC">
      <w:pPr>
        <w:pStyle w:val="31"/>
        <w:bidi w:val="0"/>
        <w:rPr>
          <w:rFonts w:hint="default"/>
          <w:lang w:val="en-US" w:eastAsia="zh-CN"/>
        </w:rPr>
      </w:pPr>
      <w:bookmarkStart w:id="4" w:name="_Toc962"/>
      <w:r>
        <w:rPr>
          <w:rFonts w:hint="default"/>
          <w:lang w:val="en-US" w:eastAsia="zh-CN"/>
        </w:rPr>
        <w:t>运维业务分析</w:t>
      </w:r>
      <w:bookmarkEnd w:id="4"/>
    </w:p>
    <w:p w14:paraId="0A7DD988">
      <w:pPr>
        <w:pStyle w:val="33"/>
        <w:bidi w:val="0"/>
        <w:rPr>
          <w:rFonts w:hint="default"/>
          <w:lang w:val="en-US" w:eastAsia="zh-CN"/>
        </w:rPr>
      </w:pPr>
      <w:bookmarkStart w:id="5" w:name="_Toc8971"/>
      <w:r>
        <w:rPr>
          <w:rFonts w:hint="default"/>
          <w:lang w:val="en-US" w:eastAsia="zh-CN"/>
        </w:rPr>
        <w:t>开展运维服务的优势</w:t>
      </w:r>
      <w:bookmarkEnd w:id="5"/>
    </w:p>
    <w:p w14:paraId="0FF35A2D">
      <w:pPr>
        <w:pStyle w:val="32"/>
        <w:bidi w:val="0"/>
        <w:rPr>
          <w:rFonts w:hint="default"/>
          <w:lang w:val="en-US" w:eastAsia="zh-CN"/>
        </w:rPr>
      </w:pPr>
      <w:r>
        <w:rPr>
          <w:rFonts w:hint="default"/>
          <w:lang w:val="en-US" w:eastAsia="zh-CN"/>
        </w:rPr>
        <w:t>组织架构完善：公司已建立与ITSS标准匹配的组织架构，设立运维部、研发部、产品质量部、综合部、采购部、应急管理部等职能部门</w:t>
      </w:r>
    </w:p>
    <w:p w14:paraId="1C24FD6A">
      <w:pPr>
        <w:pStyle w:val="32"/>
        <w:bidi w:val="0"/>
        <w:rPr>
          <w:rFonts w:hint="default"/>
          <w:lang w:val="en-US" w:eastAsia="zh-CN"/>
        </w:rPr>
      </w:pPr>
      <w:r>
        <w:rPr>
          <w:rFonts w:hint="default"/>
          <w:lang w:val="en-US" w:eastAsia="zh-CN"/>
        </w:rPr>
        <w:t>制度体系健全：已完成人员管理、资源管理、过程管理、质量管理等核心制度共40余份文件的编制</w:t>
      </w:r>
    </w:p>
    <w:p w14:paraId="137B2EFD">
      <w:pPr>
        <w:pStyle w:val="32"/>
        <w:bidi w:val="0"/>
        <w:rPr>
          <w:rFonts w:hint="default"/>
          <w:lang w:val="en-US" w:eastAsia="zh-CN"/>
        </w:rPr>
      </w:pPr>
      <w:r>
        <w:rPr>
          <w:rFonts w:hint="default"/>
          <w:lang w:val="en-US" w:eastAsia="zh-CN"/>
        </w:rPr>
        <w:t>工具支撑有力：已部署iTop运维管理平台和</w:t>
      </w:r>
      <w:r>
        <w:rPr>
          <w:rFonts w:hint="eastAsia"/>
          <w:lang w:val="en-US" w:eastAsia="zh-CN"/>
        </w:rPr>
        <w:t>华风数据</w:t>
      </w:r>
      <w:r>
        <w:rPr>
          <w:rFonts w:hint="default"/>
          <w:lang w:val="en-US" w:eastAsia="zh-CN"/>
        </w:rPr>
        <w:t>运维监控平台，实现运维流程的数字化管理</w:t>
      </w:r>
    </w:p>
    <w:p w14:paraId="3CDC8679">
      <w:pPr>
        <w:pStyle w:val="32"/>
        <w:bidi w:val="0"/>
        <w:rPr>
          <w:rFonts w:hint="default"/>
          <w:lang w:val="en-US" w:eastAsia="zh-CN"/>
        </w:rPr>
      </w:pPr>
      <w:r>
        <w:rPr>
          <w:rFonts w:hint="default"/>
          <w:lang w:val="en-US" w:eastAsia="zh-CN"/>
        </w:rPr>
        <w:t>项目经验积累：已承接多个运维项目，积累了丰富的硬件巡检、故障处理、应急响应等实战经验</w:t>
      </w:r>
    </w:p>
    <w:p w14:paraId="7E6C0E50">
      <w:pPr>
        <w:pStyle w:val="33"/>
        <w:bidi w:val="0"/>
        <w:rPr>
          <w:rFonts w:hint="default"/>
          <w:lang w:val="en-US" w:eastAsia="zh-CN"/>
        </w:rPr>
      </w:pPr>
      <w:bookmarkStart w:id="6" w:name="_Toc17913"/>
      <w:r>
        <w:rPr>
          <w:rFonts w:hint="default"/>
          <w:lang w:val="en-US" w:eastAsia="zh-CN"/>
        </w:rPr>
        <w:t>开展运维服务的待改进方面</w:t>
      </w:r>
      <w:bookmarkEnd w:id="6"/>
    </w:p>
    <w:p w14:paraId="05F144AA">
      <w:pPr>
        <w:pStyle w:val="34"/>
        <w:bidi w:val="0"/>
        <w:rPr>
          <w:rFonts w:hint="default"/>
          <w:lang w:val="en-US" w:eastAsia="zh-CN"/>
        </w:rPr>
      </w:pPr>
      <w:bookmarkStart w:id="7" w:name="_Toc22785"/>
      <w:r>
        <w:rPr>
          <w:rFonts w:hint="default"/>
          <w:lang w:val="en-US" w:eastAsia="zh-CN"/>
        </w:rPr>
        <w:t>人员管理方面</w:t>
      </w:r>
      <w:bookmarkEnd w:id="7"/>
    </w:p>
    <w:p w14:paraId="31071EEA">
      <w:pPr>
        <w:pStyle w:val="32"/>
        <w:bidi w:val="0"/>
        <w:rPr>
          <w:rFonts w:hint="default"/>
          <w:lang w:val="en-US" w:eastAsia="zh-CN"/>
        </w:rPr>
      </w:pPr>
      <w:r>
        <w:rPr>
          <w:rFonts w:hint="eastAsia"/>
          <w:lang w:val="en-US" w:eastAsia="zh-CN"/>
        </w:rPr>
        <w:t>技术岗和操作岗人员需要补充。</w:t>
      </w:r>
    </w:p>
    <w:p w14:paraId="0632B494">
      <w:pPr>
        <w:pStyle w:val="32"/>
        <w:bidi w:val="0"/>
        <w:rPr>
          <w:rFonts w:hint="default"/>
          <w:lang w:val="en-US" w:eastAsia="zh-CN"/>
        </w:rPr>
      </w:pPr>
      <w:r>
        <w:rPr>
          <w:rFonts w:hint="default"/>
          <w:lang w:val="en-US" w:eastAsia="zh-CN"/>
        </w:rPr>
        <w:t>关键岗位备份机制已建立，需持续验证备份人员的实际能力</w:t>
      </w:r>
      <w:r>
        <w:rPr>
          <w:rFonts w:hint="eastAsia"/>
          <w:lang w:val="en-US" w:eastAsia="zh-CN"/>
        </w:rPr>
        <w:t>。</w:t>
      </w:r>
    </w:p>
    <w:p w14:paraId="094B3F93">
      <w:pPr>
        <w:pStyle w:val="32"/>
        <w:bidi w:val="0"/>
        <w:rPr>
          <w:rFonts w:hint="default"/>
          <w:lang w:val="en-US" w:eastAsia="zh-CN"/>
        </w:rPr>
      </w:pPr>
      <w:r>
        <w:rPr>
          <w:rFonts w:hint="default"/>
          <w:lang w:val="en-US" w:eastAsia="zh-CN"/>
        </w:rPr>
        <w:t>绩效考核体系需持续优化，确保考核结果与薪酬、晋升有效挂钩</w:t>
      </w:r>
      <w:r>
        <w:rPr>
          <w:rFonts w:hint="eastAsia"/>
          <w:lang w:val="en-US" w:eastAsia="zh-CN"/>
        </w:rPr>
        <w:t>。</w:t>
      </w:r>
    </w:p>
    <w:p w14:paraId="6715FDA0">
      <w:pPr>
        <w:pStyle w:val="34"/>
        <w:bidi w:val="0"/>
        <w:rPr>
          <w:rFonts w:hint="default"/>
          <w:lang w:val="en-US" w:eastAsia="zh-CN"/>
        </w:rPr>
      </w:pPr>
      <w:bookmarkStart w:id="8" w:name="_Toc29153"/>
      <w:r>
        <w:rPr>
          <w:rFonts w:hint="default"/>
          <w:lang w:val="en-US" w:eastAsia="zh-CN"/>
        </w:rPr>
        <w:t>资源管理方面</w:t>
      </w:r>
      <w:bookmarkEnd w:id="8"/>
    </w:p>
    <w:p w14:paraId="72B99477">
      <w:pPr>
        <w:pStyle w:val="32"/>
        <w:bidi w:val="0"/>
        <w:rPr>
          <w:rFonts w:hint="default"/>
          <w:lang w:val="en-US" w:eastAsia="zh-CN"/>
        </w:rPr>
      </w:pPr>
      <w:r>
        <w:rPr>
          <w:rFonts w:hint="default"/>
          <w:lang w:val="en-US" w:eastAsia="zh-CN"/>
        </w:rPr>
        <w:t>运维工具的自评估机制需完善，定期开展使用效果评估</w:t>
      </w:r>
    </w:p>
    <w:p w14:paraId="76B13C06">
      <w:pPr>
        <w:pStyle w:val="32"/>
        <w:bidi w:val="0"/>
        <w:rPr>
          <w:rFonts w:hint="default"/>
          <w:lang w:val="en-US" w:eastAsia="zh-CN"/>
        </w:rPr>
      </w:pPr>
      <w:r>
        <w:rPr>
          <w:rFonts w:hint="eastAsia"/>
          <w:lang w:val="en-US" w:eastAsia="zh-CN"/>
        </w:rPr>
        <w:t>服务知识</w:t>
      </w:r>
      <w:r>
        <w:rPr>
          <w:rFonts w:hint="default"/>
          <w:lang w:val="en-US" w:eastAsia="zh-CN"/>
        </w:rPr>
        <w:t>管理需持续优化，提高知识使用率和采纳率</w:t>
      </w:r>
    </w:p>
    <w:p w14:paraId="7C5C2994">
      <w:pPr>
        <w:pStyle w:val="32"/>
        <w:bidi w:val="0"/>
        <w:rPr>
          <w:rFonts w:hint="default"/>
          <w:lang w:val="en-US" w:eastAsia="zh-CN"/>
        </w:rPr>
      </w:pPr>
      <w:r>
        <w:rPr>
          <w:rFonts w:hint="default"/>
          <w:lang w:val="en-US" w:eastAsia="zh-CN"/>
        </w:rPr>
        <w:t>备件库管理需持续规范，确保备件可用率达标</w:t>
      </w:r>
    </w:p>
    <w:p w14:paraId="2F71613B">
      <w:pPr>
        <w:pStyle w:val="34"/>
        <w:bidi w:val="0"/>
        <w:rPr>
          <w:rFonts w:hint="default"/>
          <w:lang w:val="en-US" w:eastAsia="zh-CN"/>
        </w:rPr>
      </w:pPr>
      <w:bookmarkStart w:id="9" w:name="_Toc8455"/>
      <w:r>
        <w:rPr>
          <w:rFonts w:hint="default"/>
          <w:lang w:val="en-US" w:eastAsia="zh-CN"/>
        </w:rPr>
        <w:t>技术管理方面</w:t>
      </w:r>
      <w:bookmarkEnd w:id="9"/>
    </w:p>
    <w:p w14:paraId="44BAE825">
      <w:pPr>
        <w:pStyle w:val="32"/>
        <w:bidi w:val="0"/>
        <w:rPr>
          <w:rFonts w:hint="default"/>
          <w:lang w:val="en-US" w:eastAsia="zh-CN"/>
        </w:rPr>
      </w:pPr>
      <w:r>
        <w:rPr>
          <w:rFonts w:hint="default"/>
          <w:lang w:val="en-US" w:eastAsia="zh-CN"/>
        </w:rPr>
        <w:t>技术研发团队需充实，2025年计划招聘研发工程师</w:t>
      </w:r>
      <w:r>
        <w:rPr>
          <w:rFonts w:hint="eastAsia"/>
          <w:lang w:val="en-US" w:eastAsia="zh-CN"/>
        </w:rPr>
        <w:t>1人</w:t>
      </w:r>
    </w:p>
    <w:p w14:paraId="7FB3B899">
      <w:pPr>
        <w:pStyle w:val="32"/>
        <w:bidi w:val="0"/>
        <w:rPr>
          <w:rFonts w:hint="default"/>
          <w:lang w:val="en-US" w:eastAsia="zh-CN"/>
        </w:rPr>
      </w:pPr>
      <w:r>
        <w:rPr>
          <w:rFonts w:hint="default"/>
          <w:lang w:val="en-US" w:eastAsia="zh-CN"/>
        </w:rPr>
        <w:t>运维手册需持续完善，计划编写MySQL数据库运维手册等3本手册</w:t>
      </w:r>
    </w:p>
    <w:p w14:paraId="43B4F363">
      <w:pPr>
        <w:pStyle w:val="34"/>
        <w:bidi w:val="0"/>
        <w:rPr>
          <w:rFonts w:hint="default"/>
          <w:lang w:val="en-US" w:eastAsia="zh-CN"/>
        </w:rPr>
      </w:pPr>
      <w:bookmarkStart w:id="10" w:name="_Toc5935"/>
      <w:r>
        <w:rPr>
          <w:rFonts w:hint="default"/>
          <w:lang w:val="en-US" w:eastAsia="zh-CN"/>
        </w:rPr>
        <w:t>过程管理方面</w:t>
      </w:r>
      <w:bookmarkEnd w:id="10"/>
    </w:p>
    <w:p w14:paraId="0092E5CD">
      <w:pPr>
        <w:pStyle w:val="32"/>
        <w:bidi w:val="0"/>
        <w:rPr>
          <w:rFonts w:hint="default"/>
          <w:lang w:val="en-US" w:eastAsia="zh-CN"/>
        </w:rPr>
      </w:pPr>
      <w:r>
        <w:rPr>
          <w:rFonts w:hint="default"/>
          <w:lang w:val="en-US" w:eastAsia="zh-CN"/>
        </w:rPr>
        <w:t>服务级别协议（SLA）达成情况需持续监控</w:t>
      </w:r>
    </w:p>
    <w:p w14:paraId="17C79B59">
      <w:pPr>
        <w:pStyle w:val="32"/>
        <w:bidi w:val="0"/>
        <w:rPr>
          <w:rFonts w:hint="default"/>
          <w:lang w:val="en-US" w:eastAsia="zh-CN"/>
        </w:rPr>
      </w:pPr>
      <w:r>
        <w:rPr>
          <w:rFonts w:hint="default"/>
          <w:lang w:val="en-US" w:eastAsia="zh-CN"/>
        </w:rPr>
        <w:t>事件、问题、变更、配置等过程的数据统计分析需加强</w:t>
      </w:r>
    </w:p>
    <w:p w14:paraId="6EB4D6BA">
      <w:pPr>
        <w:pStyle w:val="32"/>
        <w:bidi w:val="0"/>
        <w:rPr>
          <w:rFonts w:hint="default"/>
          <w:lang w:val="en-US" w:eastAsia="zh-CN"/>
        </w:rPr>
      </w:pPr>
      <w:r>
        <w:rPr>
          <w:rFonts w:hint="default"/>
          <w:lang w:val="en-US" w:eastAsia="zh-CN"/>
        </w:rPr>
        <w:t>服务报告的及时性和准确性需持续提升</w:t>
      </w:r>
    </w:p>
    <w:p w14:paraId="5EEC0262">
      <w:pPr>
        <w:pStyle w:val="31"/>
        <w:bidi w:val="0"/>
        <w:rPr>
          <w:rFonts w:hint="default"/>
          <w:lang w:val="en-US" w:eastAsia="zh-CN"/>
        </w:rPr>
      </w:pPr>
      <w:bookmarkStart w:id="11" w:name="_Toc5916"/>
      <w:r>
        <w:rPr>
          <w:rFonts w:hint="default"/>
          <w:lang w:val="en-US" w:eastAsia="zh-CN"/>
        </w:rPr>
        <w:t>年度运维服务能力计划</w:t>
      </w:r>
      <w:bookmarkEnd w:id="11"/>
    </w:p>
    <w:p w14:paraId="5FFDC85D">
      <w:pPr>
        <w:pStyle w:val="32"/>
        <w:bidi w:val="0"/>
        <w:rPr>
          <w:rFonts w:hint="default"/>
          <w:lang w:val="en-US" w:eastAsia="zh-CN"/>
        </w:rPr>
      </w:pPr>
      <w:r>
        <w:rPr>
          <w:rFonts w:hint="default"/>
          <w:lang w:val="en-US" w:eastAsia="zh-CN"/>
        </w:rPr>
        <w:t>为实现公司运维服务的标准化、规范化，2025年公司将按照ITSS能力成熟度模型三级的要求，从人员、资源、技术、过程、</w:t>
      </w:r>
      <w:r>
        <w:rPr>
          <w:rFonts w:hint="eastAsia"/>
          <w:lang w:val="en-US" w:eastAsia="zh-CN"/>
        </w:rPr>
        <w:t>交付、应急和</w:t>
      </w:r>
      <w:r>
        <w:rPr>
          <w:rFonts w:hint="default"/>
          <w:lang w:val="en-US" w:eastAsia="zh-CN"/>
        </w:rPr>
        <w:t>质量等方面进行全面规划，持续提升运维服务能力。</w:t>
      </w:r>
    </w:p>
    <w:p w14:paraId="412C1057">
      <w:pPr>
        <w:pStyle w:val="33"/>
        <w:bidi w:val="0"/>
        <w:rPr>
          <w:rFonts w:hint="default"/>
          <w:lang w:val="en-US" w:eastAsia="zh-CN"/>
        </w:rPr>
      </w:pPr>
      <w:bookmarkStart w:id="12" w:name="_Toc26777"/>
      <w:r>
        <w:rPr>
          <w:rFonts w:hint="default"/>
          <w:lang w:val="en-US" w:eastAsia="zh-CN"/>
        </w:rPr>
        <w:t>人员管理规划</w:t>
      </w:r>
      <w:bookmarkEnd w:id="12"/>
    </w:p>
    <w:p w14:paraId="1801ABCC">
      <w:pPr>
        <w:pStyle w:val="34"/>
        <w:bidi w:val="0"/>
        <w:rPr>
          <w:rFonts w:hint="eastAsia"/>
          <w:lang w:val="en-US" w:eastAsia="zh-CN"/>
        </w:rPr>
      </w:pPr>
      <w:bookmarkStart w:id="13" w:name="_Toc22274"/>
      <w:r>
        <w:rPr>
          <w:rFonts w:hint="eastAsia"/>
          <w:lang w:val="en-US" w:eastAsia="zh-CN"/>
        </w:rPr>
        <w:t>人员招聘计划</w:t>
      </w:r>
      <w:bookmarkEnd w:id="13"/>
    </w:p>
    <w:p w14:paraId="04D31EDF">
      <w:pPr>
        <w:pStyle w:val="32"/>
        <w:rPr>
          <w:rFonts w:hint="eastAsia"/>
          <w:lang w:val="en-US" w:eastAsia="zh-CN"/>
        </w:rPr>
      </w:pPr>
      <w:r>
        <w:rPr>
          <w:rFonts w:hint="eastAsia"/>
          <w:lang w:val="en-US" w:eastAsia="zh-CN"/>
        </w:rPr>
        <w:t>为保障公司2025年度运维服务业务的正常开展，满足各部门人员配置需求，确保关键岗位及时补充，根据公司战略发展目标和年度人员编制计划，制定本招聘计划。招聘工作遵循“按需招聘、择优录用、人岗匹配”的原则。</w:t>
      </w:r>
    </w:p>
    <w:p w14:paraId="073F71CC">
      <w:pPr>
        <w:pStyle w:val="32"/>
        <w:keepNext/>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4" w:name="_Toc21311"/>
      <w:r>
        <w:rPr>
          <w:rFonts w:hint="eastAsia"/>
          <w:lang w:val="en-US" w:eastAsia="zh-CN"/>
        </w:rPr>
        <w:t xml:space="preserve"> 2025年度人员招聘计划表</w:t>
      </w:r>
      <w:bookmarkEnd w:id="14"/>
    </w:p>
    <w:tbl>
      <w:tblPr>
        <w:tblStyle w:val="23"/>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615"/>
        <w:gridCol w:w="1049"/>
        <w:gridCol w:w="1484"/>
        <w:gridCol w:w="1707"/>
        <w:gridCol w:w="1181"/>
        <w:gridCol w:w="561"/>
        <w:gridCol w:w="561"/>
        <w:gridCol w:w="561"/>
        <w:gridCol w:w="561"/>
      </w:tblGrid>
      <w:tr w14:paraId="2C698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629"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436B505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1108"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3123A13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部门</w:t>
            </w:r>
          </w:p>
        </w:tc>
        <w:tc>
          <w:tcPr>
            <w:tcW w:w="1588"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7217BD5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岗位名称</w:t>
            </w:r>
          </w:p>
        </w:tc>
        <w:tc>
          <w:tcPr>
            <w:tcW w:w="1834"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49A993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计划招聘总人数</w:t>
            </w:r>
          </w:p>
        </w:tc>
        <w:tc>
          <w:tcPr>
            <w:tcW w:w="1253"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7C15A34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招聘方式</w:t>
            </w:r>
          </w:p>
        </w:tc>
        <w:tc>
          <w:tcPr>
            <w:tcW w:w="467"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2D1ADEF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Q1</w:t>
            </w:r>
          </w:p>
        </w:tc>
        <w:tc>
          <w:tcPr>
            <w:tcW w:w="467"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444AE0A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Q2</w:t>
            </w:r>
          </w:p>
        </w:tc>
        <w:tc>
          <w:tcPr>
            <w:tcW w:w="467"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71DDC1D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Q3</w:t>
            </w:r>
          </w:p>
        </w:tc>
        <w:tc>
          <w:tcPr>
            <w:tcW w:w="467"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0D3367C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Q4</w:t>
            </w:r>
          </w:p>
        </w:tc>
      </w:tr>
      <w:tr w14:paraId="4F4FA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DD6DCC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10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5119F4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运维部</w:t>
            </w:r>
          </w:p>
        </w:tc>
        <w:tc>
          <w:tcPr>
            <w:tcW w:w="158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2E0264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运维项目经理</w:t>
            </w:r>
          </w:p>
        </w:tc>
        <w:tc>
          <w:tcPr>
            <w:tcW w:w="183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7361C8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125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9FE665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招聘网站/内部储备</w:t>
            </w:r>
          </w:p>
        </w:tc>
        <w:tc>
          <w:tcPr>
            <w:tcW w:w="46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582A15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1</w:t>
            </w:r>
          </w:p>
        </w:tc>
        <w:tc>
          <w:tcPr>
            <w:tcW w:w="46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57E0ED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0</w:t>
            </w:r>
          </w:p>
        </w:tc>
        <w:tc>
          <w:tcPr>
            <w:tcW w:w="46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F49613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0</w:t>
            </w:r>
          </w:p>
        </w:tc>
        <w:tc>
          <w:tcPr>
            <w:tcW w:w="46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F544C7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r>
      <w:tr w14:paraId="7B3A37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52B296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110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0AD76E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运维部</w:t>
            </w:r>
          </w:p>
        </w:tc>
        <w:tc>
          <w:tcPr>
            <w:tcW w:w="158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D9EB89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硬件运维工程师</w:t>
            </w:r>
          </w:p>
        </w:tc>
        <w:tc>
          <w:tcPr>
            <w:tcW w:w="183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C49C0C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25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C2F22E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招聘网站</w:t>
            </w:r>
          </w:p>
        </w:tc>
        <w:tc>
          <w:tcPr>
            <w:tcW w:w="46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F6023A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1</w:t>
            </w:r>
          </w:p>
        </w:tc>
        <w:tc>
          <w:tcPr>
            <w:tcW w:w="46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9711C9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0</w:t>
            </w:r>
          </w:p>
        </w:tc>
        <w:tc>
          <w:tcPr>
            <w:tcW w:w="46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C17980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0</w:t>
            </w:r>
          </w:p>
        </w:tc>
        <w:tc>
          <w:tcPr>
            <w:tcW w:w="46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4DC68A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0</w:t>
            </w:r>
          </w:p>
        </w:tc>
      </w:tr>
      <w:tr w14:paraId="33D88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610DB3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110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78329C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运维部</w:t>
            </w:r>
          </w:p>
        </w:tc>
        <w:tc>
          <w:tcPr>
            <w:tcW w:w="158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FAD085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服务台专员</w:t>
            </w:r>
          </w:p>
        </w:tc>
        <w:tc>
          <w:tcPr>
            <w:tcW w:w="183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F2500B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25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ABBEB8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招聘网站</w:t>
            </w:r>
          </w:p>
        </w:tc>
        <w:tc>
          <w:tcPr>
            <w:tcW w:w="46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D55F4F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0</w:t>
            </w:r>
          </w:p>
        </w:tc>
        <w:tc>
          <w:tcPr>
            <w:tcW w:w="46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E454E4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0</w:t>
            </w:r>
          </w:p>
        </w:tc>
        <w:tc>
          <w:tcPr>
            <w:tcW w:w="46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0C30B4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46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BE02B4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0</w:t>
            </w:r>
          </w:p>
        </w:tc>
      </w:tr>
      <w:tr w14:paraId="42381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C6A7E8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4</w:t>
            </w:r>
          </w:p>
        </w:tc>
        <w:tc>
          <w:tcPr>
            <w:tcW w:w="110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5A0C29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研发部</w:t>
            </w:r>
          </w:p>
        </w:tc>
        <w:tc>
          <w:tcPr>
            <w:tcW w:w="158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6CD7CF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研发工程师</w:t>
            </w:r>
          </w:p>
        </w:tc>
        <w:tc>
          <w:tcPr>
            <w:tcW w:w="183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EACBDB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25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1E0D6F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招聘网站</w:t>
            </w:r>
          </w:p>
        </w:tc>
        <w:tc>
          <w:tcPr>
            <w:tcW w:w="46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9337B5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0</w:t>
            </w:r>
          </w:p>
        </w:tc>
        <w:tc>
          <w:tcPr>
            <w:tcW w:w="46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536751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46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42D843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0</w:t>
            </w:r>
          </w:p>
        </w:tc>
        <w:tc>
          <w:tcPr>
            <w:tcW w:w="46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3F1AAF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0</w:t>
            </w:r>
          </w:p>
        </w:tc>
      </w:tr>
      <w:tr w14:paraId="33E2E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781E42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5</w:t>
            </w:r>
          </w:p>
        </w:tc>
        <w:tc>
          <w:tcPr>
            <w:tcW w:w="110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78890B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产品质量部</w:t>
            </w:r>
          </w:p>
        </w:tc>
        <w:tc>
          <w:tcPr>
            <w:tcW w:w="158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884653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产品质量部专员</w:t>
            </w:r>
          </w:p>
        </w:tc>
        <w:tc>
          <w:tcPr>
            <w:tcW w:w="183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F3E5AB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25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A3688F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招聘网站</w:t>
            </w:r>
          </w:p>
        </w:tc>
        <w:tc>
          <w:tcPr>
            <w:tcW w:w="46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17CCE0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0</w:t>
            </w:r>
          </w:p>
        </w:tc>
        <w:tc>
          <w:tcPr>
            <w:tcW w:w="46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EE9A5F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0</w:t>
            </w:r>
          </w:p>
        </w:tc>
        <w:tc>
          <w:tcPr>
            <w:tcW w:w="46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0A9C00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46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C4C960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0</w:t>
            </w:r>
          </w:p>
        </w:tc>
      </w:tr>
      <w:tr w14:paraId="00ABD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9"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7F8F2C2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合计</w:t>
            </w:r>
          </w:p>
        </w:tc>
        <w:tc>
          <w:tcPr>
            <w:tcW w:w="1108"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45C29104">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b/>
              </w:rPr>
            </w:pPr>
          </w:p>
        </w:tc>
        <w:tc>
          <w:tcPr>
            <w:tcW w:w="1588"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77A70E2F">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b/>
              </w:rPr>
            </w:pPr>
          </w:p>
        </w:tc>
        <w:tc>
          <w:tcPr>
            <w:tcW w:w="1834"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00E7436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6</w:t>
            </w:r>
          </w:p>
        </w:tc>
        <w:tc>
          <w:tcPr>
            <w:tcW w:w="1253"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78E934C1">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b/>
              </w:rPr>
            </w:pPr>
          </w:p>
        </w:tc>
        <w:tc>
          <w:tcPr>
            <w:tcW w:w="467"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657B015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b/>
              </w:rPr>
            </w:pPr>
            <w:r>
              <w:rPr>
                <w:b/>
              </w:rPr>
              <w:t>2</w:t>
            </w:r>
          </w:p>
        </w:tc>
        <w:tc>
          <w:tcPr>
            <w:tcW w:w="467"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12190E1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1</w:t>
            </w:r>
          </w:p>
        </w:tc>
        <w:tc>
          <w:tcPr>
            <w:tcW w:w="467"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3E2D8B5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2</w:t>
            </w:r>
          </w:p>
        </w:tc>
        <w:tc>
          <w:tcPr>
            <w:tcW w:w="467"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5D84824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1</w:t>
            </w:r>
          </w:p>
        </w:tc>
      </w:tr>
    </w:tbl>
    <w:p w14:paraId="6170D15E">
      <w:pPr>
        <w:pStyle w:val="32"/>
        <w:bidi w:val="0"/>
        <w:rPr>
          <w:rFonts w:hint="default"/>
          <w:lang w:val="en-US" w:eastAsia="zh-CN"/>
        </w:rPr>
      </w:pPr>
      <w:r>
        <w:rPr>
          <w:rFonts w:hint="default"/>
          <w:lang w:val="en-US" w:eastAsia="zh-CN"/>
        </w:rPr>
        <w:t>KPI指标：人员招聘计划达成率</w:t>
      </w:r>
    </w:p>
    <w:p w14:paraId="206B5BB3">
      <w:pPr>
        <w:pStyle w:val="32"/>
        <w:bidi w:val="0"/>
        <w:rPr>
          <w:rFonts w:hint="default"/>
          <w:lang w:val="en-US" w:eastAsia="zh-CN"/>
        </w:rPr>
      </w:pPr>
      <w:r>
        <w:rPr>
          <w:rFonts w:hint="default"/>
          <w:lang w:val="en-US" w:eastAsia="zh-CN"/>
        </w:rPr>
        <w:t>人员招聘计划达成率是反映年度招聘计划完成情况的量化指标，其计算公式为：人员招聘计划达成率 = (实际</w:t>
      </w:r>
      <w:r>
        <w:rPr>
          <w:rFonts w:hint="eastAsia"/>
          <w:lang w:val="en-US" w:eastAsia="zh-CN"/>
        </w:rPr>
        <w:t>招聘</w:t>
      </w:r>
      <w:r>
        <w:rPr>
          <w:rFonts w:hint="default"/>
          <w:lang w:val="en-US" w:eastAsia="zh-CN"/>
        </w:rPr>
        <w:t>人数</w:t>
      </w:r>
      <w:r>
        <w:rPr>
          <w:rFonts w:hint="eastAsia"/>
          <w:lang w:val="en-US" w:eastAsia="zh-CN"/>
        </w:rPr>
        <w:t>/</w:t>
      </w:r>
      <w:r>
        <w:rPr>
          <w:rFonts w:hint="default"/>
          <w:lang w:val="en-US" w:eastAsia="zh-CN"/>
        </w:rPr>
        <w:t>计划招聘人数) × 100%。目标值为 ≥ 80%，按季度进行考核，责任部门为综合部。</w:t>
      </w:r>
    </w:p>
    <w:p w14:paraId="5B9ACA23">
      <w:pPr>
        <w:pStyle w:val="34"/>
        <w:bidi w:val="0"/>
        <w:rPr>
          <w:rFonts w:hint="eastAsia"/>
          <w:lang w:val="en-US" w:eastAsia="zh-CN"/>
        </w:rPr>
      </w:pPr>
      <w:bookmarkStart w:id="15" w:name="_Toc7963"/>
      <w:r>
        <w:rPr>
          <w:rFonts w:hint="eastAsia"/>
          <w:lang w:val="en-US" w:eastAsia="zh-CN"/>
        </w:rPr>
        <w:t>人员储备计划</w:t>
      </w:r>
      <w:bookmarkEnd w:id="15"/>
    </w:p>
    <w:p w14:paraId="7D37C410">
      <w:pPr>
        <w:pStyle w:val="32"/>
        <w:rPr>
          <w:rFonts w:ascii="Segoe UI" w:hAnsi="Segoe UI" w:eastAsia="Segoe UI" w:cs="Segoe UI"/>
          <w:i w:val="0"/>
          <w:iCs w:val="0"/>
          <w:caps w:val="0"/>
          <w:color w:val="0F1115"/>
          <w:spacing w:val="0"/>
          <w:sz w:val="24"/>
          <w:szCs w:val="24"/>
          <w:shd w:val="clear" w:color="auto" w:fill="FFFFFF"/>
        </w:rPr>
      </w:pPr>
      <w:r>
        <w:rPr>
          <w:rFonts w:ascii="Segoe UI" w:hAnsi="Segoe UI" w:eastAsia="Segoe UI" w:cs="Segoe UI"/>
          <w:i w:val="0"/>
          <w:iCs w:val="0"/>
          <w:caps w:val="0"/>
          <w:color w:val="0F1115"/>
          <w:spacing w:val="0"/>
          <w:sz w:val="24"/>
          <w:szCs w:val="24"/>
          <w:shd w:val="clear" w:color="auto" w:fill="FFFFFF"/>
        </w:rPr>
        <w:t>为保障公司关键岗位人员变动的连续性，降低因人员流失、岗位调整带来的业务风险，建立可持续的人才供给机制，特制定本储备计划。储备工作遵循“提前规划、定向培养、动态管理”的原则，通过内部培养与外部引进相结合的方式，为公司运维服务能力建设提供稳定的人才梯队支持，确保关键岗位空缺时能够快速补位。</w:t>
      </w:r>
    </w:p>
    <w:p w14:paraId="0754835D">
      <w:pPr>
        <w:pStyle w:val="32"/>
        <w:keepNext/>
        <w:keepLines w:val="0"/>
        <w:pageBreakBefore w:val="0"/>
        <w:widowControl w:val="0"/>
        <w:kinsoku w:val="0"/>
        <w:wordWrap/>
        <w:overflowPunct/>
        <w:topLinePunct w:val="0"/>
        <w:autoSpaceDE w:val="0"/>
        <w:autoSpaceDN w:val="0"/>
        <w:bidi w:val="0"/>
        <w:adjustRightInd w:val="0"/>
        <w:snapToGrid w:val="0"/>
        <w:jc w:val="center"/>
        <w:textAlignment w:val="baseline"/>
        <w:rPr>
          <w:rFonts w:ascii="Segoe UI" w:hAnsi="Segoe UI" w:eastAsia="Segoe UI" w:cs="Segoe UI"/>
          <w:i w:val="0"/>
          <w:iCs w:val="0"/>
          <w:caps w:val="0"/>
          <w:color w:val="0F1115"/>
          <w:spacing w:val="0"/>
          <w:sz w:val="24"/>
          <w:szCs w:val="24"/>
          <w:shd w:val="clear" w:color="auto" w:fill="FFFFFF"/>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6" w:name="_Toc12641"/>
      <w:r>
        <w:rPr>
          <w:rFonts w:hint="eastAsia"/>
          <w:lang w:val="en-US" w:eastAsia="zh-CN"/>
        </w:rPr>
        <w:t xml:space="preserve"> 2025年度人员内部储备计划表</w:t>
      </w:r>
      <w:bookmarkEnd w:id="16"/>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07"/>
        <w:gridCol w:w="1743"/>
        <w:gridCol w:w="1728"/>
        <w:gridCol w:w="1310"/>
        <w:gridCol w:w="1716"/>
        <w:gridCol w:w="1318"/>
      </w:tblGrid>
      <w:tr w14:paraId="52EB1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707"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1F00B989">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序号</w:t>
            </w:r>
          </w:p>
        </w:tc>
        <w:tc>
          <w:tcPr>
            <w:tcW w:w="1743"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444EBCB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计划完成时间</w:t>
            </w:r>
          </w:p>
        </w:tc>
        <w:tc>
          <w:tcPr>
            <w:tcW w:w="1728"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117CED0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储备岗位</w:t>
            </w:r>
          </w:p>
        </w:tc>
        <w:tc>
          <w:tcPr>
            <w:tcW w:w="1310"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6719E74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储备方式</w:t>
            </w:r>
          </w:p>
        </w:tc>
        <w:tc>
          <w:tcPr>
            <w:tcW w:w="1716"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2254659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储备目标人数</w:t>
            </w:r>
          </w:p>
        </w:tc>
        <w:tc>
          <w:tcPr>
            <w:tcW w:w="1317"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098F883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储备来源</w:t>
            </w:r>
          </w:p>
        </w:tc>
      </w:tr>
      <w:tr w14:paraId="2ECD3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0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1117DE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w:t>
            </w:r>
          </w:p>
        </w:tc>
        <w:tc>
          <w:tcPr>
            <w:tcW w:w="174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126898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2025年6月</w:t>
            </w:r>
          </w:p>
        </w:tc>
        <w:tc>
          <w:tcPr>
            <w:tcW w:w="172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A17152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运维项目经理</w:t>
            </w:r>
          </w:p>
        </w:tc>
        <w:tc>
          <w:tcPr>
            <w:tcW w:w="131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1775D8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内部培养</w:t>
            </w:r>
          </w:p>
        </w:tc>
        <w:tc>
          <w:tcPr>
            <w:tcW w:w="1716"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ABE5AA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1人</w:t>
            </w:r>
          </w:p>
        </w:tc>
        <w:tc>
          <w:tcPr>
            <w:tcW w:w="1317"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5221B4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内部选拔</w:t>
            </w:r>
          </w:p>
        </w:tc>
      </w:tr>
      <w:tr w14:paraId="14E6B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07"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0C5E117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w:t>
            </w:r>
          </w:p>
        </w:tc>
        <w:tc>
          <w:tcPr>
            <w:tcW w:w="1743"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34ADB52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2025年12月</w:t>
            </w:r>
          </w:p>
        </w:tc>
        <w:tc>
          <w:tcPr>
            <w:tcW w:w="1728"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3651CBF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研发工程师</w:t>
            </w:r>
          </w:p>
        </w:tc>
        <w:tc>
          <w:tcPr>
            <w:tcW w:w="1310"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5984DA4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内部培养</w:t>
            </w:r>
          </w:p>
        </w:tc>
        <w:tc>
          <w:tcPr>
            <w:tcW w:w="1716"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3942113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1人</w:t>
            </w:r>
          </w:p>
        </w:tc>
        <w:tc>
          <w:tcPr>
            <w:tcW w:w="1317"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7CD05B1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内部选拔</w:t>
            </w:r>
          </w:p>
        </w:tc>
      </w:tr>
    </w:tbl>
    <w:p w14:paraId="307C5A0E">
      <w:pPr>
        <w:pStyle w:val="32"/>
        <w:rPr>
          <w:rFonts w:hint="eastAsia" w:ascii="Segoe UI" w:hAnsi="Segoe UI" w:eastAsia="Segoe UI" w:cs="Segoe UI"/>
          <w:i w:val="0"/>
          <w:iCs w:val="0"/>
          <w:caps w:val="0"/>
          <w:color w:val="0F1115"/>
          <w:spacing w:val="0"/>
          <w:sz w:val="24"/>
          <w:szCs w:val="24"/>
          <w:shd w:val="clear" w:color="auto" w:fill="FFFFFF"/>
          <w:lang w:val="en-US" w:eastAsia="zh-CN"/>
        </w:rPr>
      </w:pPr>
      <w:r>
        <w:rPr>
          <w:rFonts w:hint="eastAsia" w:ascii="Segoe UI" w:hAnsi="Segoe UI" w:eastAsia="Segoe UI" w:cs="Segoe UI"/>
          <w:i w:val="0"/>
          <w:iCs w:val="0"/>
          <w:caps w:val="0"/>
          <w:color w:val="0F1115"/>
          <w:spacing w:val="0"/>
          <w:sz w:val="24"/>
          <w:szCs w:val="24"/>
          <w:shd w:val="clear" w:color="auto" w:fill="FFFFFF"/>
          <w:lang w:val="en-US" w:eastAsia="zh-CN"/>
        </w:rPr>
        <w:t>KPI指标：人员储备计划达成率</w:t>
      </w:r>
    </w:p>
    <w:p w14:paraId="13C2F27E">
      <w:pPr>
        <w:pStyle w:val="32"/>
        <w:rPr>
          <w:rFonts w:hint="eastAsia" w:ascii="Segoe UI" w:hAnsi="Segoe UI" w:eastAsia="Segoe UI" w:cs="Segoe UI"/>
          <w:i w:val="0"/>
          <w:iCs w:val="0"/>
          <w:caps w:val="0"/>
          <w:color w:val="0F1115"/>
          <w:spacing w:val="0"/>
          <w:sz w:val="24"/>
          <w:szCs w:val="24"/>
          <w:shd w:val="clear" w:color="auto" w:fill="FFFFFF"/>
          <w:lang w:val="en-US" w:eastAsia="zh-CN"/>
        </w:rPr>
      </w:pPr>
      <w:r>
        <w:rPr>
          <w:rFonts w:hint="eastAsia" w:ascii="Segoe UI" w:hAnsi="Segoe UI" w:eastAsia="Segoe UI" w:cs="Segoe UI"/>
          <w:i w:val="0"/>
          <w:iCs w:val="0"/>
          <w:caps w:val="0"/>
          <w:color w:val="0F1115"/>
          <w:spacing w:val="0"/>
          <w:sz w:val="24"/>
          <w:szCs w:val="24"/>
          <w:shd w:val="clear" w:color="auto" w:fill="FFFFFF"/>
          <w:lang w:val="en-US" w:eastAsia="zh-CN"/>
        </w:rPr>
        <w:t>人员储备计划达成率是反映关键岗位内部储备计划完成情况的量化指标，其计算公式为：人员储备计划达成率 = (实际储备人数 / 计划储备人数) × 100%。目标值为 ≥ 80%，按季度进行考核，责任部门为综合部。</w:t>
      </w:r>
    </w:p>
    <w:p w14:paraId="416135E7">
      <w:pPr>
        <w:pStyle w:val="34"/>
        <w:bidi w:val="0"/>
        <w:rPr>
          <w:rFonts w:hint="eastAsia"/>
          <w:lang w:val="en-US" w:eastAsia="zh-CN"/>
        </w:rPr>
      </w:pPr>
      <w:bookmarkStart w:id="17" w:name="_Toc6400"/>
      <w:r>
        <w:rPr>
          <w:rFonts w:hint="eastAsia"/>
          <w:lang w:val="en-US" w:eastAsia="zh-CN"/>
        </w:rPr>
        <w:t>人员培训计划</w:t>
      </w:r>
      <w:bookmarkEnd w:id="17"/>
    </w:p>
    <w:p w14:paraId="7BDD0EDD">
      <w:pPr>
        <w:pStyle w:val="32"/>
        <w:rPr>
          <w:rFonts w:ascii="Segoe UI" w:hAnsi="Segoe UI" w:eastAsia="Segoe UI" w:cs="Segoe UI"/>
          <w:i w:val="0"/>
          <w:iCs w:val="0"/>
          <w:caps w:val="0"/>
          <w:color w:val="0F1115"/>
          <w:spacing w:val="0"/>
          <w:sz w:val="24"/>
          <w:szCs w:val="24"/>
          <w:shd w:val="clear" w:color="auto" w:fill="FFFFFF"/>
        </w:rPr>
      </w:pPr>
      <w:r>
        <w:rPr>
          <w:rFonts w:ascii="Segoe UI" w:hAnsi="Segoe UI" w:eastAsia="Segoe UI" w:cs="Segoe UI"/>
          <w:i w:val="0"/>
          <w:iCs w:val="0"/>
          <w:caps w:val="0"/>
          <w:color w:val="0F1115"/>
          <w:spacing w:val="0"/>
          <w:sz w:val="24"/>
          <w:szCs w:val="24"/>
          <w:shd w:val="clear" w:color="auto" w:fill="FFFFFF"/>
        </w:rPr>
        <w:t>为提升员工的专业技能和综合素质，确保运维服务人员能力满足岗位要求，根据《人员培训管理制度》制定2025年度培训计划。培训主要分为管理、技术、操作三个方向，综合部对培训情况进行汇总并对相关课件进行统一归档。</w:t>
      </w:r>
    </w:p>
    <w:p w14:paraId="3A13A6F3">
      <w:pPr>
        <w:pStyle w:val="32"/>
        <w:rPr>
          <w:rFonts w:hint="eastAsia" w:ascii="Segoe UI" w:hAnsi="Segoe UI" w:eastAsia="Segoe UI" w:cs="Segoe UI"/>
          <w:i w:val="0"/>
          <w:iCs w:val="0"/>
          <w:caps w:val="0"/>
          <w:color w:val="0F1115"/>
          <w:spacing w:val="0"/>
          <w:sz w:val="24"/>
          <w:szCs w:val="24"/>
          <w:shd w:val="clear" w:color="auto" w:fill="FFFFFF"/>
          <w:lang w:val="en-US" w:eastAsia="zh-CN"/>
        </w:rPr>
      </w:pPr>
    </w:p>
    <w:p w14:paraId="4E744679">
      <w:pPr>
        <w:pStyle w:val="32"/>
        <w:rPr>
          <w:rFonts w:hint="eastAsia" w:ascii="Segoe UI" w:hAnsi="Segoe UI" w:eastAsia="Segoe UI" w:cs="Segoe UI"/>
          <w:i w:val="0"/>
          <w:iCs w:val="0"/>
          <w:caps w:val="0"/>
          <w:color w:val="0F1115"/>
          <w:spacing w:val="0"/>
          <w:sz w:val="24"/>
          <w:szCs w:val="24"/>
          <w:shd w:val="clear" w:color="auto" w:fill="FFFFFF"/>
          <w:lang w:val="en-US" w:eastAsia="zh-CN"/>
        </w:rPr>
        <w:sectPr>
          <w:pgSz w:w="11906" w:h="16838"/>
          <w:pgMar w:top="1440" w:right="1800" w:bottom="1440" w:left="1800" w:header="851" w:footer="992" w:gutter="0"/>
          <w:cols w:space="425" w:num="1"/>
          <w:docGrid w:type="lines" w:linePitch="312" w:charSpace="0"/>
        </w:sectPr>
      </w:pPr>
    </w:p>
    <w:p w14:paraId="4953C310">
      <w:pPr>
        <w:pStyle w:val="32"/>
        <w:keepNext/>
        <w:keepLines w:val="0"/>
        <w:pageBreakBefore w:val="0"/>
        <w:widowControl w:val="0"/>
        <w:kinsoku w:val="0"/>
        <w:wordWrap/>
        <w:overflowPunct/>
        <w:topLinePunct w:val="0"/>
        <w:autoSpaceDE w:val="0"/>
        <w:autoSpaceDN w:val="0"/>
        <w:bidi w:val="0"/>
        <w:adjustRightInd w:val="0"/>
        <w:snapToGrid w:val="0"/>
        <w:jc w:val="center"/>
        <w:textAlignment w:val="baseline"/>
        <w:rPr>
          <w:rFonts w:ascii="Segoe UI" w:hAnsi="Segoe UI" w:eastAsia="Segoe UI" w:cs="Segoe UI"/>
          <w:i w:val="0"/>
          <w:iCs w:val="0"/>
          <w:caps w:val="0"/>
          <w:color w:val="0F1115"/>
          <w:spacing w:val="0"/>
          <w:sz w:val="24"/>
          <w:szCs w:val="24"/>
          <w:shd w:val="clear" w:color="auto" w:fill="FFFFFF"/>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18" w:name="_Toc28631"/>
      <w:r>
        <w:rPr>
          <w:rFonts w:hint="eastAsia"/>
          <w:lang w:val="en-US" w:eastAsia="zh-CN"/>
        </w:rPr>
        <w:t xml:space="preserve"> 2025年度人员培训计划表</w:t>
      </w:r>
      <w:bookmarkEnd w:id="18"/>
    </w:p>
    <w:tbl>
      <w:tblPr>
        <w:tblStyle w:val="23"/>
        <w:tblW w:w="1417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07"/>
        <w:gridCol w:w="888"/>
        <w:gridCol w:w="2427"/>
        <w:gridCol w:w="911"/>
        <w:gridCol w:w="1642"/>
        <w:gridCol w:w="1260"/>
        <w:gridCol w:w="885"/>
        <w:gridCol w:w="1532"/>
        <w:gridCol w:w="1258"/>
        <w:gridCol w:w="1453"/>
        <w:gridCol w:w="1211"/>
      </w:tblGrid>
      <w:tr w14:paraId="48DAC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707"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58EF436B">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类型</w:t>
            </w:r>
          </w:p>
        </w:tc>
        <w:tc>
          <w:tcPr>
            <w:tcW w:w="888"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4AC429F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序号</w:t>
            </w:r>
          </w:p>
        </w:tc>
        <w:tc>
          <w:tcPr>
            <w:tcW w:w="2427"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4B1FC93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培训内容</w:t>
            </w:r>
          </w:p>
        </w:tc>
        <w:tc>
          <w:tcPr>
            <w:tcW w:w="911"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5D1B0B4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时长</w:t>
            </w:r>
          </w:p>
        </w:tc>
        <w:tc>
          <w:tcPr>
            <w:tcW w:w="1642"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02732CC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培训对象</w:t>
            </w:r>
          </w:p>
        </w:tc>
        <w:tc>
          <w:tcPr>
            <w:tcW w:w="1260"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2B2923B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培训老师</w:t>
            </w:r>
          </w:p>
        </w:tc>
        <w:tc>
          <w:tcPr>
            <w:tcW w:w="885"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1B59C06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方式</w:t>
            </w:r>
          </w:p>
        </w:tc>
        <w:tc>
          <w:tcPr>
            <w:tcW w:w="1532"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6514261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计划时间</w:t>
            </w:r>
          </w:p>
        </w:tc>
        <w:tc>
          <w:tcPr>
            <w:tcW w:w="1258"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3FA4134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考核方式</w:t>
            </w:r>
          </w:p>
        </w:tc>
        <w:tc>
          <w:tcPr>
            <w:tcW w:w="1453"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34F8A37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负责部门</w:t>
            </w:r>
          </w:p>
        </w:tc>
        <w:tc>
          <w:tcPr>
            <w:tcW w:w="1211"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22A820A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snapToGrid w:val="0"/>
                <w:color w:val="000000"/>
                <w:spacing w:val="0"/>
                <w:kern w:val="0"/>
                <w:sz w:val="22"/>
                <w:szCs w:val="22"/>
                <w:lang w:val="en-US" w:eastAsia="zh-CN"/>
              </w:rPr>
            </w:pPr>
            <w:r>
              <w:rPr>
                <w:rFonts w:hint="default" w:ascii="Segoe UI" w:hAnsi="Segoe UI" w:eastAsia="Segoe UI" w:cs="Segoe UI"/>
                <w:b/>
                <w:i w:val="0"/>
                <w:iCs w:val="0"/>
                <w:caps w:val="0"/>
                <w:snapToGrid w:val="0"/>
                <w:color w:val="000000"/>
                <w:spacing w:val="0"/>
                <w:kern w:val="0"/>
                <w:sz w:val="22"/>
                <w:szCs w:val="22"/>
                <w:lang w:val="en-US" w:eastAsia="zh-CN"/>
              </w:rPr>
              <w:t>预算</w:t>
            </w:r>
          </w:p>
          <w:p w14:paraId="68514C8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(元)</w:t>
            </w:r>
          </w:p>
        </w:tc>
      </w:tr>
      <w:tr w14:paraId="61A67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0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7707775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管理</w:t>
            </w:r>
          </w:p>
        </w:tc>
        <w:tc>
          <w:tcPr>
            <w:tcW w:w="88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43DAE45">
            <w:pPr>
              <w:keepNext w:val="0"/>
              <w:keepLines w:val="0"/>
              <w:widowControl/>
              <w:numPr>
                <w:ilvl w:val="0"/>
                <w:numId w:val="2"/>
              </w:numPr>
              <w:suppressLineNumbers w:val="0"/>
              <w:snapToGrid w:val="0"/>
              <w:spacing w:line="240" w:lineRule="auto"/>
              <w:ind w:left="425" w:leftChars="0" w:right="0" w:rightChars="0" w:hanging="425" w:firstLineChars="0"/>
              <w:jc w:val="center"/>
              <w:rPr>
                <w:rFonts w:hint="default" w:ascii="Segoe UI" w:hAnsi="Segoe UI" w:eastAsia="Segoe UI" w:cs="Segoe UI"/>
                <w:i w:val="0"/>
                <w:iCs w:val="0"/>
                <w:caps w:val="0"/>
                <w:color w:val="0F1115"/>
                <w:spacing w:val="0"/>
                <w:sz w:val="22"/>
                <w:szCs w:val="22"/>
              </w:rPr>
            </w:pPr>
          </w:p>
        </w:tc>
        <w:tc>
          <w:tcPr>
            <w:tcW w:w="242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CA9EE0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新员工入职培训</w:t>
            </w:r>
          </w:p>
        </w:tc>
        <w:tc>
          <w:tcPr>
            <w:tcW w:w="91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EFE954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2.5h</w:t>
            </w:r>
          </w:p>
        </w:tc>
        <w:tc>
          <w:tcPr>
            <w:tcW w:w="164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F37FA2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入职新员工</w:t>
            </w:r>
          </w:p>
        </w:tc>
        <w:tc>
          <w:tcPr>
            <w:tcW w:w="126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336571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黄剑锋</w:t>
            </w:r>
          </w:p>
        </w:tc>
        <w:tc>
          <w:tcPr>
            <w:tcW w:w="88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244F13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内训</w:t>
            </w:r>
          </w:p>
        </w:tc>
        <w:tc>
          <w:tcPr>
            <w:tcW w:w="153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ADA7E6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入职一周内</w:t>
            </w:r>
          </w:p>
        </w:tc>
        <w:tc>
          <w:tcPr>
            <w:tcW w:w="125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E6DB5E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口头提问</w:t>
            </w:r>
          </w:p>
        </w:tc>
        <w:tc>
          <w:tcPr>
            <w:tcW w:w="145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BF2C80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综合部</w:t>
            </w:r>
          </w:p>
        </w:tc>
        <w:tc>
          <w:tcPr>
            <w:tcW w:w="121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72FBC0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500</w:t>
            </w:r>
          </w:p>
        </w:tc>
      </w:tr>
      <w:tr w14:paraId="62992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0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C07DAF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管理</w:t>
            </w:r>
          </w:p>
        </w:tc>
        <w:tc>
          <w:tcPr>
            <w:tcW w:w="88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E618E6F">
            <w:pPr>
              <w:keepNext w:val="0"/>
              <w:keepLines w:val="0"/>
              <w:widowControl/>
              <w:numPr>
                <w:ilvl w:val="0"/>
                <w:numId w:val="2"/>
              </w:numPr>
              <w:suppressLineNumbers w:val="0"/>
              <w:snapToGrid w:val="0"/>
              <w:spacing w:line="240" w:lineRule="auto"/>
              <w:ind w:left="425" w:leftChars="0" w:right="0" w:rightChars="0" w:hanging="425" w:firstLineChars="0"/>
              <w:jc w:val="center"/>
              <w:rPr>
                <w:rFonts w:hint="default" w:ascii="Segoe UI" w:hAnsi="Segoe UI" w:eastAsia="Segoe UI" w:cs="Segoe UI"/>
                <w:i w:val="0"/>
                <w:iCs w:val="0"/>
                <w:caps w:val="0"/>
                <w:color w:val="0F1115"/>
                <w:spacing w:val="0"/>
                <w:sz w:val="22"/>
                <w:szCs w:val="22"/>
              </w:rPr>
            </w:pPr>
          </w:p>
        </w:tc>
        <w:tc>
          <w:tcPr>
            <w:tcW w:w="242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EF0A69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ITSS运维体系培训</w:t>
            </w:r>
          </w:p>
        </w:tc>
        <w:tc>
          <w:tcPr>
            <w:tcW w:w="91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ACD975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4h</w:t>
            </w:r>
          </w:p>
        </w:tc>
        <w:tc>
          <w:tcPr>
            <w:tcW w:w="164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5E4C0A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部门经理</w:t>
            </w:r>
          </w:p>
        </w:tc>
        <w:tc>
          <w:tcPr>
            <w:tcW w:w="126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AF8860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外部专家</w:t>
            </w:r>
          </w:p>
        </w:tc>
        <w:tc>
          <w:tcPr>
            <w:tcW w:w="88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83F0A1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外训</w:t>
            </w:r>
          </w:p>
        </w:tc>
        <w:tc>
          <w:tcPr>
            <w:tcW w:w="153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7EC607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2025年1月</w:t>
            </w:r>
          </w:p>
        </w:tc>
        <w:tc>
          <w:tcPr>
            <w:tcW w:w="125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957C69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现场交流</w:t>
            </w:r>
          </w:p>
        </w:tc>
        <w:tc>
          <w:tcPr>
            <w:tcW w:w="145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3AA2E8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c>
          <w:tcPr>
            <w:tcW w:w="121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72AF57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4000</w:t>
            </w:r>
          </w:p>
        </w:tc>
      </w:tr>
      <w:tr w14:paraId="268ED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0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706331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管理</w:t>
            </w:r>
          </w:p>
        </w:tc>
        <w:tc>
          <w:tcPr>
            <w:tcW w:w="88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08B9CBA">
            <w:pPr>
              <w:keepNext w:val="0"/>
              <w:keepLines w:val="0"/>
              <w:widowControl/>
              <w:numPr>
                <w:ilvl w:val="0"/>
                <w:numId w:val="2"/>
              </w:numPr>
              <w:suppressLineNumbers w:val="0"/>
              <w:snapToGrid w:val="0"/>
              <w:spacing w:line="240" w:lineRule="auto"/>
              <w:ind w:left="425" w:leftChars="0" w:right="0" w:rightChars="0" w:hanging="425" w:firstLineChars="0"/>
              <w:jc w:val="center"/>
              <w:rPr>
                <w:rFonts w:hint="default" w:ascii="Segoe UI" w:hAnsi="Segoe UI" w:eastAsia="Segoe UI" w:cs="Segoe UI"/>
                <w:i w:val="0"/>
                <w:iCs w:val="0"/>
                <w:caps w:val="0"/>
                <w:color w:val="0F1115"/>
                <w:spacing w:val="0"/>
                <w:sz w:val="22"/>
                <w:szCs w:val="22"/>
              </w:rPr>
            </w:pPr>
          </w:p>
        </w:tc>
        <w:tc>
          <w:tcPr>
            <w:tcW w:w="242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094F7C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质量管理培训</w:t>
            </w:r>
          </w:p>
        </w:tc>
        <w:tc>
          <w:tcPr>
            <w:tcW w:w="91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29CC9A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3h</w:t>
            </w:r>
          </w:p>
        </w:tc>
        <w:tc>
          <w:tcPr>
            <w:tcW w:w="164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0974B2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部门经理</w:t>
            </w:r>
          </w:p>
        </w:tc>
        <w:tc>
          <w:tcPr>
            <w:tcW w:w="126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296D96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熊振翔</w:t>
            </w:r>
          </w:p>
        </w:tc>
        <w:tc>
          <w:tcPr>
            <w:tcW w:w="88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28BBEC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内训</w:t>
            </w:r>
          </w:p>
        </w:tc>
        <w:tc>
          <w:tcPr>
            <w:tcW w:w="153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B19E73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2025年2月</w:t>
            </w:r>
          </w:p>
        </w:tc>
        <w:tc>
          <w:tcPr>
            <w:tcW w:w="125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BC040C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现场交流</w:t>
            </w:r>
          </w:p>
        </w:tc>
        <w:tc>
          <w:tcPr>
            <w:tcW w:w="145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615EAE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产品质量部</w:t>
            </w:r>
          </w:p>
        </w:tc>
        <w:tc>
          <w:tcPr>
            <w:tcW w:w="121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5B5B25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1200</w:t>
            </w:r>
          </w:p>
        </w:tc>
      </w:tr>
      <w:tr w14:paraId="59B2A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0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0CCBA4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技术</w:t>
            </w:r>
          </w:p>
        </w:tc>
        <w:tc>
          <w:tcPr>
            <w:tcW w:w="88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2607CB9">
            <w:pPr>
              <w:keepNext w:val="0"/>
              <w:keepLines w:val="0"/>
              <w:widowControl/>
              <w:numPr>
                <w:ilvl w:val="0"/>
                <w:numId w:val="2"/>
              </w:numPr>
              <w:suppressLineNumbers w:val="0"/>
              <w:snapToGrid w:val="0"/>
              <w:spacing w:line="240" w:lineRule="auto"/>
              <w:ind w:left="425" w:leftChars="0" w:right="0" w:rightChars="0" w:hanging="425" w:firstLineChars="0"/>
              <w:jc w:val="center"/>
              <w:rPr>
                <w:rFonts w:hint="default" w:ascii="Segoe UI" w:hAnsi="Segoe UI" w:eastAsia="Segoe UI" w:cs="Segoe UI"/>
                <w:i w:val="0"/>
                <w:iCs w:val="0"/>
                <w:caps w:val="0"/>
                <w:color w:val="0F1115"/>
                <w:spacing w:val="0"/>
                <w:sz w:val="22"/>
                <w:szCs w:val="22"/>
              </w:rPr>
            </w:pPr>
          </w:p>
        </w:tc>
        <w:tc>
          <w:tcPr>
            <w:tcW w:w="242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BD1F80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现场实施规范</w:t>
            </w:r>
          </w:p>
        </w:tc>
        <w:tc>
          <w:tcPr>
            <w:tcW w:w="91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14754A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4h</w:t>
            </w:r>
          </w:p>
        </w:tc>
        <w:tc>
          <w:tcPr>
            <w:tcW w:w="164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57FD84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运维工程师</w:t>
            </w:r>
          </w:p>
        </w:tc>
        <w:tc>
          <w:tcPr>
            <w:tcW w:w="126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9674BB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姚耿桂</w:t>
            </w:r>
          </w:p>
        </w:tc>
        <w:tc>
          <w:tcPr>
            <w:tcW w:w="88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C8E8EA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内训</w:t>
            </w:r>
          </w:p>
        </w:tc>
        <w:tc>
          <w:tcPr>
            <w:tcW w:w="153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FCEF95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2025年3月</w:t>
            </w:r>
          </w:p>
        </w:tc>
        <w:tc>
          <w:tcPr>
            <w:tcW w:w="125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F32C3C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口头提问</w:t>
            </w:r>
          </w:p>
        </w:tc>
        <w:tc>
          <w:tcPr>
            <w:tcW w:w="145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4EE77A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c>
          <w:tcPr>
            <w:tcW w:w="121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E23422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1200</w:t>
            </w:r>
          </w:p>
        </w:tc>
      </w:tr>
      <w:tr w14:paraId="40032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0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391BDA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技术</w:t>
            </w:r>
          </w:p>
        </w:tc>
        <w:tc>
          <w:tcPr>
            <w:tcW w:w="88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EE6289F">
            <w:pPr>
              <w:keepNext w:val="0"/>
              <w:keepLines w:val="0"/>
              <w:widowControl/>
              <w:numPr>
                <w:ilvl w:val="0"/>
                <w:numId w:val="2"/>
              </w:numPr>
              <w:suppressLineNumbers w:val="0"/>
              <w:snapToGrid w:val="0"/>
              <w:spacing w:line="240" w:lineRule="auto"/>
              <w:ind w:left="425" w:leftChars="0" w:right="0" w:rightChars="0" w:hanging="425" w:firstLineChars="0"/>
              <w:jc w:val="center"/>
              <w:rPr>
                <w:rFonts w:hint="default" w:ascii="Segoe UI" w:hAnsi="Segoe UI" w:eastAsia="Segoe UI" w:cs="Segoe UI"/>
                <w:i w:val="0"/>
                <w:iCs w:val="0"/>
                <w:caps w:val="0"/>
                <w:color w:val="0F1115"/>
                <w:spacing w:val="0"/>
                <w:sz w:val="22"/>
                <w:szCs w:val="22"/>
              </w:rPr>
            </w:pPr>
          </w:p>
        </w:tc>
        <w:tc>
          <w:tcPr>
            <w:tcW w:w="242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0A78C7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运维工具培训</w:t>
            </w:r>
          </w:p>
        </w:tc>
        <w:tc>
          <w:tcPr>
            <w:tcW w:w="91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88DFD7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2h</w:t>
            </w:r>
          </w:p>
        </w:tc>
        <w:tc>
          <w:tcPr>
            <w:tcW w:w="164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913F48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运维相关人员</w:t>
            </w:r>
          </w:p>
        </w:tc>
        <w:tc>
          <w:tcPr>
            <w:tcW w:w="126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B6C858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姚耿桂</w:t>
            </w:r>
          </w:p>
        </w:tc>
        <w:tc>
          <w:tcPr>
            <w:tcW w:w="88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56CC4B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内训</w:t>
            </w:r>
          </w:p>
        </w:tc>
        <w:tc>
          <w:tcPr>
            <w:tcW w:w="153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DDDD68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2025年4月</w:t>
            </w:r>
          </w:p>
        </w:tc>
        <w:tc>
          <w:tcPr>
            <w:tcW w:w="125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017F02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心得总结</w:t>
            </w:r>
          </w:p>
        </w:tc>
        <w:tc>
          <w:tcPr>
            <w:tcW w:w="145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ED3F16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c>
          <w:tcPr>
            <w:tcW w:w="121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E5A75B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800</w:t>
            </w:r>
          </w:p>
        </w:tc>
      </w:tr>
      <w:tr w14:paraId="65B8F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0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7C4083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技术</w:t>
            </w:r>
          </w:p>
        </w:tc>
        <w:tc>
          <w:tcPr>
            <w:tcW w:w="88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8896751">
            <w:pPr>
              <w:keepNext w:val="0"/>
              <w:keepLines w:val="0"/>
              <w:widowControl/>
              <w:numPr>
                <w:ilvl w:val="0"/>
                <w:numId w:val="2"/>
              </w:numPr>
              <w:suppressLineNumbers w:val="0"/>
              <w:snapToGrid w:val="0"/>
              <w:spacing w:line="240" w:lineRule="auto"/>
              <w:ind w:left="425" w:leftChars="0" w:right="0" w:rightChars="0" w:hanging="425" w:firstLineChars="0"/>
              <w:jc w:val="center"/>
              <w:rPr>
                <w:rFonts w:hint="default" w:ascii="Segoe UI" w:hAnsi="Segoe UI" w:eastAsia="Segoe UI" w:cs="Segoe UI"/>
                <w:i w:val="0"/>
                <w:iCs w:val="0"/>
                <w:caps w:val="0"/>
                <w:color w:val="0F1115"/>
                <w:spacing w:val="0"/>
                <w:sz w:val="22"/>
                <w:szCs w:val="22"/>
              </w:rPr>
            </w:pPr>
          </w:p>
        </w:tc>
        <w:tc>
          <w:tcPr>
            <w:tcW w:w="242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8849B5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机房常见故障培训</w:t>
            </w:r>
          </w:p>
        </w:tc>
        <w:tc>
          <w:tcPr>
            <w:tcW w:w="91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0E5AB2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3h</w:t>
            </w:r>
          </w:p>
        </w:tc>
        <w:tc>
          <w:tcPr>
            <w:tcW w:w="164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D37981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运维工程师</w:t>
            </w:r>
          </w:p>
        </w:tc>
        <w:tc>
          <w:tcPr>
            <w:tcW w:w="126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709835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姚耿桂</w:t>
            </w:r>
          </w:p>
        </w:tc>
        <w:tc>
          <w:tcPr>
            <w:tcW w:w="88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F968FC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内训</w:t>
            </w:r>
          </w:p>
        </w:tc>
        <w:tc>
          <w:tcPr>
            <w:tcW w:w="153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37E834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2025年6月</w:t>
            </w:r>
          </w:p>
        </w:tc>
        <w:tc>
          <w:tcPr>
            <w:tcW w:w="125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FCE31F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现场交流</w:t>
            </w:r>
          </w:p>
        </w:tc>
        <w:tc>
          <w:tcPr>
            <w:tcW w:w="145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13C3AF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c>
          <w:tcPr>
            <w:tcW w:w="121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ADA7F1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500</w:t>
            </w:r>
          </w:p>
        </w:tc>
      </w:tr>
      <w:tr w14:paraId="34E15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0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05E6B2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技术</w:t>
            </w:r>
          </w:p>
        </w:tc>
        <w:tc>
          <w:tcPr>
            <w:tcW w:w="88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AB3E7AC">
            <w:pPr>
              <w:keepNext w:val="0"/>
              <w:keepLines w:val="0"/>
              <w:widowControl/>
              <w:numPr>
                <w:ilvl w:val="0"/>
                <w:numId w:val="2"/>
              </w:numPr>
              <w:suppressLineNumbers w:val="0"/>
              <w:snapToGrid w:val="0"/>
              <w:spacing w:line="240" w:lineRule="auto"/>
              <w:ind w:left="425" w:leftChars="0" w:right="0" w:rightChars="0" w:hanging="425" w:firstLineChars="0"/>
              <w:jc w:val="center"/>
              <w:rPr>
                <w:rFonts w:hint="default" w:ascii="Segoe UI" w:hAnsi="Segoe UI" w:eastAsia="Segoe UI" w:cs="Segoe UI"/>
                <w:i w:val="0"/>
                <w:iCs w:val="0"/>
                <w:caps w:val="0"/>
                <w:color w:val="0F1115"/>
                <w:spacing w:val="0"/>
                <w:sz w:val="22"/>
                <w:szCs w:val="22"/>
              </w:rPr>
            </w:pPr>
          </w:p>
        </w:tc>
        <w:tc>
          <w:tcPr>
            <w:tcW w:w="242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5F445C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交付规范培训</w:t>
            </w:r>
          </w:p>
        </w:tc>
        <w:tc>
          <w:tcPr>
            <w:tcW w:w="91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F63E52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2h</w:t>
            </w:r>
          </w:p>
        </w:tc>
        <w:tc>
          <w:tcPr>
            <w:tcW w:w="164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BEF874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运维工程师</w:t>
            </w:r>
          </w:p>
        </w:tc>
        <w:tc>
          <w:tcPr>
            <w:tcW w:w="126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7F1400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姚耿桂</w:t>
            </w:r>
          </w:p>
        </w:tc>
        <w:tc>
          <w:tcPr>
            <w:tcW w:w="88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2F75CC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内训</w:t>
            </w:r>
          </w:p>
        </w:tc>
        <w:tc>
          <w:tcPr>
            <w:tcW w:w="153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6CD847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2025年6月</w:t>
            </w:r>
          </w:p>
        </w:tc>
        <w:tc>
          <w:tcPr>
            <w:tcW w:w="125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E34A60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现场交流</w:t>
            </w:r>
          </w:p>
        </w:tc>
        <w:tc>
          <w:tcPr>
            <w:tcW w:w="145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3C31E0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c>
          <w:tcPr>
            <w:tcW w:w="121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EEAFF3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1200</w:t>
            </w:r>
          </w:p>
        </w:tc>
      </w:tr>
      <w:tr w14:paraId="59BCC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0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7B2C43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技术</w:t>
            </w:r>
          </w:p>
        </w:tc>
        <w:tc>
          <w:tcPr>
            <w:tcW w:w="88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F3DDCAC">
            <w:pPr>
              <w:keepNext w:val="0"/>
              <w:keepLines w:val="0"/>
              <w:widowControl/>
              <w:numPr>
                <w:ilvl w:val="0"/>
                <w:numId w:val="2"/>
              </w:numPr>
              <w:suppressLineNumbers w:val="0"/>
              <w:snapToGrid w:val="0"/>
              <w:spacing w:line="240" w:lineRule="auto"/>
              <w:ind w:left="425" w:leftChars="0" w:right="0" w:rightChars="0" w:hanging="425" w:firstLineChars="0"/>
              <w:jc w:val="center"/>
              <w:rPr>
                <w:rFonts w:hint="default" w:ascii="Segoe UI" w:hAnsi="Segoe UI" w:eastAsia="Segoe UI" w:cs="Segoe UI"/>
                <w:i w:val="0"/>
                <w:iCs w:val="0"/>
                <w:caps w:val="0"/>
                <w:color w:val="0F1115"/>
                <w:spacing w:val="0"/>
                <w:sz w:val="22"/>
                <w:szCs w:val="22"/>
              </w:rPr>
            </w:pPr>
          </w:p>
        </w:tc>
        <w:tc>
          <w:tcPr>
            <w:tcW w:w="242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7D9A6F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监控系统培训</w:t>
            </w:r>
          </w:p>
        </w:tc>
        <w:tc>
          <w:tcPr>
            <w:tcW w:w="91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0AD592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8h</w:t>
            </w:r>
          </w:p>
        </w:tc>
        <w:tc>
          <w:tcPr>
            <w:tcW w:w="164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34CC26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运维工程师</w:t>
            </w:r>
          </w:p>
        </w:tc>
        <w:tc>
          <w:tcPr>
            <w:tcW w:w="126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DE5CAE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厂商</w:t>
            </w:r>
          </w:p>
        </w:tc>
        <w:tc>
          <w:tcPr>
            <w:tcW w:w="88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8AC8DB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外训</w:t>
            </w:r>
          </w:p>
        </w:tc>
        <w:tc>
          <w:tcPr>
            <w:tcW w:w="153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4204FD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2025年7月</w:t>
            </w:r>
          </w:p>
        </w:tc>
        <w:tc>
          <w:tcPr>
            <w:tcW w:w="125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597593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现场交流</w:t>
            </w:r>
          </w:p>
        </w:tc>
        <w:tc>
          <w:tcPr>
            <w:tcW w:w="145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261050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c>
          <w:tcPr>
            <w:tcW w:w="121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C0BB79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5200</w:t>
            </w:r>
          </w:p>
        </w:tc>
      </w:tr>
      <w:tr w14:paraId="5D947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0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360108E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操作</w:t>
            </w:r>
          </w:p>
        </w:tc>
        <w:tc>
          <w:tcPr>
            <w:tcW w:w="88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F71E48A">
            <w:pPr>
              <w:keepNext w:val="0"/>
              <w:keepLines w:val="0"/>
              <w:widowControl/>
              <w:numPr>
                <w:ilvl w:val="0"/>
                <w:numId w:val="2"/>
              </w:numPr>
              <w:suppressLineNumbers w:val="0"/>
              <w:snapToGrid w:val="0"/>
              <w:spacing w:line="240" w:lineRule="auto"/>
              <w:ind w:left="425" w:leftChars="0" w:right="0" w:rightChars="0" w:hanging="425" w:firstLineChars="0"/>
              <w:jc w:val="center"/>
              <w:rPr>
                <w:rFonts w:hint="default" w:ascii="Segoe UI" w:hAnsi="Segoe UI" w:eastAsia="Segoe UI" w:cs="Segoe UI"/>
                <w:i w:val="0"/>
                <w:iCs w:val="0"/>
                <w:caps w:val="0"/>
                <w:color w:val="0F1115"/>
                <w:spacing w:val="0"/>
                <w:sz w:val="22"/>
                <w:szCs w:val="22"/>
              </w:rPr>
            </w:pPr>
          </w:p>
        </w:tc>
        <w:tc>
          <w:tcPr>
            <w:tcW w:w="242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855D06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服务</w:t>
            </w:r>
            <w:r>
              <w:rPr>
                <w:rFonts w:hint="eastAsia" w:ascii="Segoe UI" w:hAnsi="Segoe UI" w:eastAsia="Segoe UI" w:cs="Segoe UI"/>
                <w:i w:val="0"/>
                <w:iCs w:val="0"/>
                <w:caps w:val="0"/>
                <w:snapToGrid w:val="0"/>
                <w:color w:val="000000"/>
                <w:spacing w:val="0"/>
                <w:kern w:val="0"/>
                <w:sz w:val="22"/>
                <w:szCs w:val="22"/>
                <w:lang w:val="en-US" w:eastAsia="zh-CN"/>
              </w:rPr>
              <w:t>知识</w:t>
            </w:r>
            <w:r>
              <w:rPr>
                <w:rFonts w:hint="default" w:ascii="Segoe UI" w:hAnsi="Segoe UI" w:eastAsia="Segoe UI" w:cs="Segoe UI"/>
                <w:i w:val="0"/>
                <w:iCs w:val="0"/>
                <w:caps w:val="0"/>
                <w:snapToGrid w:val="0"/>
                <w:color w:val="000000"/>
                <w:spacing w:val="0"/>
                <w:kern w:val="0"/>
                <w:sz w:val="22"/>
                <w:szCs w:val="22"/>
                <w:lang w:val="en-US" w:eastAsia="zh-CN"/>
              </w:rPr>
              <w:t>培训</w:t>
            </w:r>
          </w:p>
        </w:tc>
        <w:tc>
          <w:tcPr>
            <w:tcW w:w="91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F5D0A7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2h</w:t>
            </w:r>
          </w:p>
        </w:tc>
        <w:tc>
          <w:tcPr>
            <w:tcW w:w="164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A319EB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服务台专员</w:t>
            </w:r>
          </w:p>
        </w:tc>
        <w:tc>
          <w:tcPr>
            <w:tcW w:w="126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8A382E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姚耿桂</w:t>
            </w:r>
          </w:p>
        </w:tc>
        <w:tc>
          <w:tcPr>
            <w:tcW w:w="88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FA984D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内训</w:t>
            </w:r>
          </w:p>
        </w:tc>
        <w:tc>
          <w:tcPr>
            <w:tcW w:w="153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37B7D5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2025年8月</w:t>
            </w:r>
          </w:p>
        </w:tc>
        <w:tc>
          <w:tcPr>
            <w:tcW w:w="125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5ED542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口头提问</w:t>
            </w:r>
          </w:p>
        </w:tc>
        <w:tc>
          <w:tcPr>
            <w:tcW w:w="145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BC5B94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c>
          <w:tcPr>
            <w:tcW w:w="121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354BC8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500</w:t>
            </w:r>
          </w:p>
        </w:tc>
      </w:tr>
      <w:tr w14:paraId="79DFF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0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08326E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管理</w:t>
            </w:r>
          </w:p>
        </w:tc>
        <w:tc>
          <w:tcPr>
            <w:tcW w:w="88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EAC5171">
            <w:pPr>
              <w:keepNext w:val="0"/>
              <w:keepLines w:val="0"/>
              <w:widowControl/>
              <w:numPr>
                <w:ilvl w:val="0"/>
                <w:numId w:val="2"/>
              </w:numPr>
              <w:suppressLineNumbers w:val="0"/>
              <w:snapToGrid w:val="0"/>
              <w:spacing w:line="240" w:lineRule="auto"/>
              <w:ind w:left="425" w:leftChars="0" w:right="0" w:rightChars="0" w:hanging="425" w:firstLineChars="0"/>
              <w:jc w:val="center"/>
              <w:rPr>
                <w:rFonts w:hint="default" w:ascii="Segoe UI" w:hAnsi="Segoe UI" w:eastAsia="Segoe UI" w:cs="Segoe UI"/>
                <w:i w:val="0"/>
                <w:iCs w:val="0"/>
                <w:caps w:val="0"/>
                <w:color w:val="0F1115"/>
                <w:spacing w:val="0"/>
                <w:sz w:val="22"/>
                <w:szCs w:val="22"/>
              </w:rPr>
            </w:pPr>
          </w:p>
        </w:tc>
        <w:tc>
          <w:tcPr>
            <w:tcW w:w="242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1E3D59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宋体" w:cs="Segoe UI"/>
                <w:i w:val="0"/>
                <w:iCs w:val="0"/>
                <w:caps w:val="0"/>
                <w:color w:val="0F1115"/>
                <w:spacing w:val="0"/>
                <w:sz w:val="22"/>
                <w:szCs w:val="22"/>
                <w:lang w:val="en-US" w:eastAsia="zh-CN"/>
              </w:rPr>
            </w:pPr>
            <w:r>
              <w:rPr>
                <w:rFonts w:hint="eastAsia" w:ascii="Segoe UI" w:hAnsi="Segoe UI" w:eastAsia="宋体" w:cs="Segoe UI"/>
                <w:i w:val="0"/>
                <w:iCs w:val="0"/>
                <w:caps w:val="0"/>
                <w:color w:val="0F1115"/>
                <w:spacing w:val="0"/>
                <w:sz w:val="22"/>
                <w:szCs w:val="22"/>
                <w:lang w:val="en-US" w:eastAsia="zh-CN"/>
              </w:rPr>
              <w:t>研发管理规范培训</w:t>
            </w:r>
          </w:p>
        </w:tc>
        <w:tc>
          <w:tcPr>
            <w:tcW w:w="91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F67B93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2h</w:t>
            </w:r>
          </w:p>
        </w:tc>
        <w:tc>
          <w:tcPr>
            <w:tcW w:w="164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D4165F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运维相关人员</w:t>
            </w:r>
          </w:p>
        </w:tc>
        <w:tc>
          <w:tcPr>
            <w:tcW w:w="126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8917E4E">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22"/>
                <w:szCs w:val="22"/>
                <w:lang w:val="en-US" w:eastAsia="zh-CN"/>
              </w:rPr>
            </w:pPr>
            <w:r>
              <w:rPr>
                <w:rFonts w:hint="eastAsia" w:ascii="Segoe UI" w:hAnsi="Segoe UI" w:eastAsia="宋体" w:cs="Segoe UI"/>
                <w:i w:val="0"/>
                <w:iCs w:val="0"/>
                <w:caps w:val="0"/>
                <w:color w:val="0F1115"/>
                <w:spacing w:val="0"/>
                <w:sz w:val="22"/>
                <w:szCs w:val="22"/>
                <w:lang w:val="en-US" w:eastAsia="zh-CN"/>
              </w:rPr>
              <w:t>黄正宇</w:t>
            </w:r>
            <w:bookmarkStart w:id="64" w:name="_GoBack"/>
            <w:bookmarkEnd w:id="64"/>
          </w:p>
        </w:tc>
        <w:tc>
          <w:tcPr>
            <w:tcW w:w="88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188D11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内训</w:t>
            </w:r>
          </w:p>
        </w:tc>
        <w:tc>
          <w:tcPr>
            <w:tcW w:w="153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4F1CB7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2025年9月</w:t>
            </w:r>
          </w:p>
        </w:tc>
        <w:tc>
          <w:tcPr>
            <w:tcW w:w="125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E96910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口头提问</w:t>
            </w:r>
          </w:p>
        </w:tc>
        <w:tc>
          <w:tcPr>
            <w:tcW w:w="145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9CBA36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研发部</w:t>
            </w:r>
          </w:p>
        </w:tc>
        <w:tc>
          <w:tcPr>
            <w:tcW w:w="121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183AB5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500</w:t>
            </w:r>
          </w:p>
        </w:tc>
      </w:tr>
      <w:tr w14:paraId="3F154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0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4E65B7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22"/>
                <w:szCs w:val="22"/>
                <w:lang w:val="en-US" w:eastAsia="zh-CN" w:bidi="ar-SA"/>
              </w:rPr>
            </w:pPr>
            <w:r>
              <w:rPr>
                <w:rFonts w:hint="default" w:ascii="Segoe UI" w:hAnsi="Segoe UI" w:eastAsia="Segoe UI" w:cs="Segoe UI"/>
                <w:i w:val="0"/>
                <w:iCs w:val="0"/>
                <w:caps w:val="0"/>
                <w:snapToGrid w:val="0"/>
                <w:color w:val="000000"/>
                <w:spacing w:val="0"/>
                <w:kern w:val="0"/>
                <w:sz w:val="22"/>
                <w:szCs w:val="22"/>
                <w:lang w:val="en-US" w:eastAsia="zh-CN"/>
              </w:rPr>
              <w:t>技术</w:t>
            </w:r>
          </w:p>
        </w:tc>
        <w:tc>
          <w:tcPr>
            <w:tcW w:w="88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80A2707">
            <w:pPr>
              <w:keepNext w:val="0"/>
              <w:keepLines w:val="0"/>
              <w:widowControl/>
              <w:numPr>
                <w:ilvl w:val="0"/>
                <w:numId w:val="2"/>
              </w:numPr>
              <w:suppressLineNumbers w:val="0"/>
              <w:snapToGrid w:val="0"/>
              <w:spacing w:line="240" w:lineRule="auto"/>
              <w:ind w:left="425" w:leftChars="0" w:right="0" w:rightChars="0" w:hanging="425" w:firstLineChars="0"/>
              <w:jc w:val="center"/>
              <w:rPr>
                <w:rFonts w:hint="default" w:ascii="Segoe UI" w:hAnsi="Segoe UI" w:eastAsia="Segoe UI" w:cs="Segoe UI"/>
                <w:i w:val="0"/>
                <w:iCs w:val="0"/>
                <w:caps w:val="0"/>
                <w:snapToGrid w:val="0"/>
                <w:color w:val="0F1115"/>
                <w:spacing w:val="0"/>
                <w:kern w:val="0"/>
                <w:sz w:val="22"/>
                <w:szCs w:val="22"/>
                <w:lang w:val="en-US" w:eastAsia="zh-CN" w:bidi="ar-SA"/>
              </w:rPr>
            </w:pPr>
          </w:p>
        </w:tc>
        <w:tc>
          <w:tcPr>
            <w:tcW w:w="242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381882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22"/>
                <w:szCs w:val="22"/>
                <w:lang w:val="en-US" w:eastAsia="zh-CN" w:bidi="ar-SA"/>
              </w:rPr>
            </w:pPr>
            <w:r>
              <w:rPr>
                <w:rFonts w:hint="default" w:ascii="Segoe UI" w:hAnsi="Segoe UI" w:eastAsia="Segoe UI" w:cs="Segoe UI"/>
                <w:i w:val="0"/>
                <w:iCs w:val="0"/>
                <w:caps w:val="0"/>
                <w:snapToGrid w:val="0"/>
                <w:color w:val="000000"/>
                <w:spacing w:val="0"/>
                <w:kern w:val="0"/>
                <w:sz w:val="22"/>
                <w:szCs w:val="22"/>
                <w:lang w:val="en-US" w:eastAsia="zh-CN"/>
              </w:rPr>
              <w:t>机房设备基础知识培训</w:t>
            </w:r>
          </w:p>
        </w:tc>
        <w:tc>
          <w:tcPr>
            <w:tcW w:w="91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7C2084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F1115"/>
                <w:spacing w:val="0"/>
                <w:kern w:val="0"/>
                <w:sz w:val="22"/>
                <w:szCs w:val="22"/>
                <w:lang w:val="en-US" w:eastAsia="zh-CN" w:bidi="ar-SA"/>
              </w:rPr>
            </w:pPr>
            <w:r>
              <w:rPr>
                <w:rFonts w:hint="default" w:ascii="Segoe UI" w:hAnsi="Segoe UI" w:eastAsia="Segoe UI" w:cs="Segoe UI"/>
                <w:i w:val="0"/>
                <w:iCs w:val="0"/>
                <w:caps w:val="0"/>
                <w:snapToGrid w:val="0"/>
                <w:color w:val="000000"/>
                <w:spacing w:val="0"/>
                <w:kern w:val="0"/>
                <w:sz w:val="22"/>
                <w:szCs w:val="22"/>
                <w:lang w:val="en-US" w:eastAsia="zh-CN"/>
              </w:rPr>
              <w:t>2h</w:t>
            </w:r>
          </w:p>
        </w:tc>
        <w:tc>
          <w:tcPr>
            <w:tcW w:w="164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D8FBFE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F1115"/>
                <w:spacing w:val="0"/>
                <w:kern w:val="0"/>
                <w:sz w:val="22"/>
                <w:szCs w:val="22"/>
                <w:lang w:val="en-US" w:eastAsia="zh-CN" w:bidi="ar-SA"/>
              </w:rPr>
            </w:pPr>
            <w:r>
              <w:rPr>
                <w:rFonts w:hint="default" w:ascii="Segoe UI" w:hAnsi="Segoe UI" w:eastAsia="Segoe UI" w:cs="Segoe UI"/>
                <w:i w:val="0"/>
                <w:iCs w:val="0"/>
                <w:caps w:val="0"/>
                <w:snapToGrid w:val="0"/>
                <w:color w:val="000000"/>
                <w:spacing w:val="0"/>
                <w:kern w:val="0"/>
                <w:sz w:val="22"/>
                <w:szCs w:val="22"/>
                <w:lang w:val="en-US" w:eastAsia="zh-CN"/>
              </w:rPr>
              <w:t>入职新员工</w:t>
            </w:r>
          </w:p>
        </w:tc>
        <w:tc>
          <w:tcPr>
            <w:tcW w:w="126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8B3DB9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22"/>
                <w:szCs w:val="22"/>
                <w:lang w:val="en-US" w:eastAsia="zh-CN" w:bidi="ar-SA"/>
              </w:rPr>
            </w:pPr>
            <w:r>
              <w:rPr>
                <w:rFonts w:hint="default" w:ascii="Segoe UI" w:hAnsi="Segoe UI" w:eastAsia="Segoe UI" w:cs="Segoe UI"/>
                <w:i w:val="0"/>
                <w:iCs w:val="0"/>
                <w:caps w:val="0"/>
                <w:snapToGrid w:val="0"/>
                <w:color w:val="000000"/>
                <w:spacing w:val="0"/>
                <w:kern w:val="0"/>
                <w:sz w:val="22"/>
                <w:szCs w:val="22"/>
                <w:lang w:val="en-US" w:eastAsia="zh-CN"/>
              </w:rPr>
              <w:t>姚耿桂</w:t>
            </w:r>
          </w:p>
        </w:tc>
        <w:tc>
          <w:tcPr>
            <w:tcW w:w="88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3514D7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F1115"/>
                <w:spacing w:val="0"/>
                <w:kern w:val="0"/>
                <w:sz w:val="22"/>
                <w:szCs w:val="22"/>
                <w:lang w:val="en-US" w:eastAsia="zh-CN" w:bidi="ar-SA"/>
              </w:rPr>
            </w:pPr>
            <w:r>
              <w:rPr>
                <w:rFonts w:hint="default" w:ascii="Segoe UI" w:hAnsi="Segoe UI" w:eastAsia="Segoe UI" w:cs="Segoe UI"/>
                <w:i w:val="0"/>
                <w:iCs w:val="0"/>
                <w:caps w:val="0"/>
                <w:snapToGrid w:val="0"/>
                <w:color w:val="000000"/>
                <w:spacing w:val="0"/>
                <w:kern w:val="0"/>
                <w:sz w:val="22"/>
                <w:szCs w:val="22"/>
                <w:lang w:val="en-US" w:eastAsia="zh-CN"/>
              </w:rPr>
              <w:t>内训</w:t>
            </w:r>
          </w:p>
        </w:tc>
        <w:tc>
          <w:tcPr>
            <w:tcW w:w="153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738566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22"/>
                <w:szCs w:val="22"/>
                <w:lang w:val="en-US" w:eastAsia="zh-CN" w:bidi="ar-SA"/>
              </w:rPr>
            </w:pPr>
            <w:r>
              <w:rPr>
                <w:rFonts w:hint="default" w:ascii="Segoe UI" w:hAnsi="Segoe UI" w:eastAsia="Segoe UI" w:cs="Segoe UI"/>
                <w:i w:val="0"/>
                <w:iCs w:val="0"/>
                <w:caps w:val="0"/>
                <w:snapToGrid w:val="0"/>
                <w:color w:val="000000"/>
                <w:spacing w:val="0"/>
                <w:kern w:val="0"/>
                <w:sz w:val="22"/>
                <w:szCs w:val="22"/>
                <w:lang w:val="en-US" w:eastAsia="zh-CN"/>
              </w:rPr>
              <w:t>2025年</w:t>
            </w:r>
            <w:r>
              <w:rPr>
                <w:rFonts w:hint="eastAsia" w:ascii="Segoe UI" w:hAnsi="Segoe UI" w:eastAsia="Segoe UI" w:cs="Segoe UI"/>
                <w:i w:val="0"/>
                <w:iCs w:val="0"/>
                <w:caps w:val="0"/>
                <w:snapToGrid w:val="0"/>
                <w:color w:val="000000"/>
                <w:spacing w:val="0"/>
                <w:kern w:val="0"/>
                <w:sz w:val="22"/>
                <w:szCs w:val="22"/>
                <w:lang w:val="en-US" w:eastAsia="zh-CN"/>
              </w:rPr>
              <w:t>10</w:t>
            </w:r>
            <w:r>
              <w:rPr>
                <w:rFonts w:hint="default" w:ascii="Segoe UI" w:hAnsi="Segoe UI" w:eastAsia="Segoe UI" w:cs="Segoe UI"/>
                <w:i w:val="0"/>
                <w:iCs w:val="0"/>
                <w:caps w:val="0"/>
                <w:snapToGrid w:val="0"/>
                <w:color w:val="000000"/>
                <w:spacing w:val="0"/>
                <w:kern w:val="0"/>
                <w:sz w:val="22"/>
                <w:szCs w:val="22"/>
                <w:lang w:val="en-US" w:eastAsia="zh-CN"/>
              </w:rPr>
              <w:t>月</w:t>
            </w:r>
          </w:p>
        </w:tc>
        <w:tc>
          <w:tcPr>
            <w:tcW w:w="125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541108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22"/>
                <w:szCs w:val="22"/>
                <w:lang w:val="en-US" w:eastAsia="zh-CN" w:bidi="ar-SA"/>
              </w:rPr>
            </w:pPr>
            <w:r>
              <w:rPr>
                <w:rFonts w:hint="default" w:ascii="Segoe UI" w:hAnsi="Segoe UI" w:eastAsia="Segoe UI" w:cs="Segoe UI"/>
                <w:i w:val="0"/>
                <w:iCs w:val="0"/>
                <w:caps w:val="0"/>
                <w:snapToGrid w:val="0"/>
                <w:color w:val="000000"/>
                <w:spacing w:val="0"/>
                <w:kern w:val="0"/>
                <w:sz w:val="22"/>
                <w:szCs w:val="22"/>
                <w:lang w:val="en-US" w:eastAsia="zh-CN"/>
              </w:rPr>
              <w:t>现场交流</w:t>
            </w:r>
          </w:p>
        </w:tc>
        <w:tc>
          <w:tcPr>
            <w:tcW w:w="145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B4CB09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22"/>
                <w:szCs w:val="22"/>
                <w:lang w:val="en-US" w:eastAsia="zh-CN" w:bidi="ar-SA"/>
              </w:rPr>
            </w:pPr>
            <w:r>
              <w:rPr>
                <w:rFonts w:hint="default" w:ascii="Segoe UI" w:hAnsi="Segoe UI" w:eastAsia="Segoe UI" w:cs="Segoe UI"/>
                <w:i w:val="0"/>
                <w:iCs w:val="0"/>
                <w:caps w:val="0"/>
                <w:snapToGrid w:val="0"/>
                <w:color w:val="000000"/>
                <w:spacing w:val="0"/>
                <w:kern w:val="0"/>
                <w:sz w:val="22"/>
                <w:szCs w:val="22"/>
                <w:lang w:val="en-US" w:eastAsia="zh-CN"/>
              </w:rPr>
              <w:t>运维部</w:t>
            </w:r>
          </w:p>
        </w:tc>
        <w:tc>
          <w:tcPr>
            <w:tcW w:w="121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73CECA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F1115"/>
                <w:spacing w:val="0"/>
                <w:kern w:val="0"/>
                <w:sz w:val="22"/>
                <w:szCs w:val="22"/>
                <w:lang w:val="en-US" w:eastAsia="zh-CN" w:bidi="ar-SA"/>
              </w:rPr>
            </w:pPr>
            <w:r>
              <w:rPr>
                <w:rFonts w:hint="default" w:ascii="Segoe UI" w:hAnsi="Segoe UI" w:eastAsia="Segoe UI" w:cs="Segoe UI"/>
                <w:i w:val="0"/>
                <w:iCs w:val="0"/>
                <w:caps w:val="0"/>
                <w:snapToGrid w:val="0"/>
                <w:color w:val="000000"/>
                <w:spacing w:val="0"/>
                <w:kern w:val="0"/>
                <w:sz w:val="22"/>
                <w:szCs w:val="22"/>
                <w:lang w:val="en-US" w:eastAsia="zh-CN"/>
              </w:rPr>
              <w:t>800</w:t>
            </w:r>
          </w:p>
        </w:tc>
      </w:tr>
      <w:tr w14:paraId="792BE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0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574CD0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管理</w:t>
            </w:r>
          </w:p>
        </w:tc>
        <w:tc>
          <w:tcPr>
            <w:tcW w:w="88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2F4C226">
            <w:pPr>
              <w:keepNext w:val="0"/>
              <w:keepLines w:val="0"/>
              <w:widowControl/>
              <w:numPr>
                <w:ilvl w:val="0"/>
                <w:numId w:val="2"/>
              </w:numPr>
              <w:suppressLineNumbers w:val="0"/>
              <w:snapToGrid w:val="0"/>
              <w:spacing w:line="240" w:lineRule="auto"/>
              <w:ind w:left="425" w:leftChars="0" w:right="0" w:rightChars="0" w:hanging="425" w:firstLineChars="0"/>
              <w:jc w:val="center"/>
              <w:rPr>
                <w:rFonts w:hint="default" w:ascii="Segoe UI" w:hAnsi="Segoe UI" w:eastAsia="Segoe UI" w:cs="Segoe UI"/>
                <w:i w:val="0"/>
                <w:iCs w:val="0"/>
                <w:caps w:val="0"/>
                <w:color w:val="0F1115"/>
                <w:spacing w:val="0"/>
                <w:sz w:val="22"/>
                <w:szCs w:val="22"/>
              </w:rPr>
            </w:pPr>
          </w:p>
        </w:tc>
        <w:tc>
          <w:tcPr>
            <w:tcW w:w="242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9D8DD2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信息安全风险培训</w:t>
            </w:r>
          </w:p>
        </w:tc>
        <w:tc>
          <w:tcPr>
            <w:tcW w:w="91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68887E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3h</w:t>
            </w:r>
          </w:p>
        </w:tc>
        <w:tc>
          <w:tcPr>
            <w:tcW w:w="164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7AB16A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运维相关人员</w:t>
            </w:r>
          </w:p>
        </w:tc>
        <w:tc>
          <w:tcPr>
            <w:tcW w:w="126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7C0681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外部专家</w:t>
            </w:r>
          </w:p>
        </w:tc>
        <w:tc>
          <w:tcPr>
            <w:tcW w:w="88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6ACBD2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外训</w:t>
            </w:r>
          </w:p>
        </w:tc>
        <w:tc>
          <w:tcPr>
            <w:tcW w:w="153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804E3A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2025年11月</w:t>
            </w:r>
          </w:p>
        </w:tc>
        <w:tc>
          <w:tcPr>
            <w:tcW w:w="125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522705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现场交流</w:t>
            </w:r>
          </w:p>
        </w:tc>
        <w:tc>
          <w:tcPr>
            <w:tcW w:w="145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DD62FB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c>
          <w:tcPr>
            <w:tcW w:w="121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507E07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4800</w:t>
            </w:r>
          </w:p>
        </w:tc>
      </w:tr>
      <w:tr w14:paraId="0D03B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0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825498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操作</w:t>
            </w:r>
          </w:p>
        </w:tc>
        <w:tc>
          <w:tcPr>
            <w:tcW w:w="88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F71D242">
            <w:pPr>
              <w:keepNext w:val="0"/>
              <w:keepLines w:val="0"/>
              <w:widowControl/>
              <w:numPr>
                <w:ilvl w:val="0"/>
                <w:numId w:val="2"/>
              </w:numPr>
              <w:suppressLineNumbers w:val="0"/>
              <w:snapToGrid w:val="0"/>
              <w:spacing w:line="240" w:lineRule="auto"/>
              <w:ind w:left="425" w:leftChars="0" w:right="0" w:rightChars="0" w:hanging="425" w:firstLineChars="0"/>
              <w:jc w:val="center"/>
              <w:rPr>
                <w:rFonts w:hint="default" w:ascii="Segoe UI" w:hAnsi="Segoe UI" w:eastAsia="Segoe UI" w:cs="Segoe UI"/>
                <w:i w:val="0"/>
                <w:iCs w:val="0"/>
                <w:caps w:val="0"/>
                <w:color w:val="0F1115"/>
                <w:spacing w:val="0"/>
                <w:sz w:val="22"/>
                <w:szCs w:val="22"/>
              </w:rPr>
            </w:pPr>
          </w:p>
        </w:tc>
        <w:tc>
          <w:tcPr>
            <w:tcW w:w="242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663DBF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备件管理制度培训</w:t>
            </w:r>
          </w:p>
        </w:tc>
        <w:tc>
          <w:tcPr>
            <w:tcW w:w="91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0FDC73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1.5h</w:t>
            </w:r>
          </w:p>
        </w:tc>
        <w:tc>
          <w:tcPr>
            <w:tcW w:w="164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2B7409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备件管理人员</w:t>
            </w:r>
          </w:p>
        </w:tc>
        <w:tc>
          <w:tcPr>
            <w:tcW w:w="126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18B665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刘文桂</w:t>
            </w:r>
          </w:p>
        </w:tc>
        <w:tc>
          <w:tcPr>
            <w:tcW w:w="88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19E43F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内训</w:t>
            </w:r>
          </w:p>
        </w:tc>
        <w:tc>
          <w:tcPr>
            <w:tcW w:w="153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5A30FC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2025年12月</w:t>
            </w:r>
          </w:p>
        </w:tc>
        <w:tc>
          <w:tcPr>
            <w:tcW w:w="125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488E9F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口头提问</w:t>
            </w:r>
          </w:p>
        </w:tc>
        <w:tc>
          <w:tcPr>
            <w:tcW w:w="145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EEFD11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备件库</w:t>
            </w:r>
          </w:p>
        </w:tc>
        <w:tc>
          <w:tcPr>
            <w:tcW w:w="121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DDDC18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500</w:t>
            </w:r>
          </w:p>
        </w:tc>
      </w:tr>
      <w:tr w14:paraId="36939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07"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0209F6D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Style w:val="26"/>
                <w:rFonts w:hint="default" w:ascii="Segoe UI" w:hAnsi="Segoe UI" w:eastAsia="Segoe UI" w:cs="Segoe UI"/>
                <w:b/>
                <w:bCs/>
                <w:i w:val="0"/>
                <w:iCs w:val="0"/>
                <w:caps w:val="0"/>
                <w:snapToGrid w:val="0"/>
                <w:color w:val="000000"/>
                <w:spacing w:val="0"/>
                <w:kern w:val="0"/>
                <w:sz w:val="22"/>
                <w:szCs w:val="22"/>
                <w:lang w:val="en-US" w:eastAsia="zh-CN"/>
              </w:rPr>
              <w:t>合计</w:t>
            </w:r>
          </w:p>
        </w:tc>
        <w:tc>
          <w:tcPr>
            <w:tcW w:w="888"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66268C9D">
            <w:pPr>
              <w:snapToGrid w:val="0"/>
              <w:ind w:left="0" w:leftChars="0" w:right="0" w:rightChars="0" w:firstLine="0" w:firstLineChars="0"/>
              <w:jc w:val="center"/>
              <w:rPr>
                <w:rFonts w:hint="default" w:ascii="Segoe UI" w:hAnsi="Segoe UI" w:eastAsia="Segoe UI" w:cs="Segoe UI"/>
                <w:b/>
                <w:i w:val="0"/>
                <w:iCs w:val="0"/>
                <w:caps w:val="0"/>
                <w:color w:val="0F1115"/>
                <w:spacing w:val="0"/>
                <w:sz w:val="22"/>
                <w:szCs w:val="22"/>
              </w:rPr>
            </w:pPr>
          </w:p>
        </w:tc>
        <w:tc>
          <w:tcPr>
            <w:tcW w:w="2427"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1EE10E17">
            <w:pPr>
              <w:snapToGrid w:val="0"/>
              <w:ind w:left="0" w:leftChars="0" w:right="0" w:rightChars="0" w:firstLine="0" w:firstLineChars="0"/>
              <w:jc w:val="center"/>
              <w:rPr>
                <w:rFonts w:hint="default" w:ascii="Segoe UI" w:hAnsi="Segoe UI" w:eastAsia="Segoe UI" w:cs="Segoe UI"/>
                <w:b/>
                <w:i w:val="0"/>
                <w:iCs w:val="0"/>
                <w:caps w:val="0"/>
                <w:color w:val="0F1115"/>
                <w:spacing w:val="0"/>
                <w:sz w:val="22"/>
                <w:szCs w:val="22"/>
              </w:rPr>
            </w:pPr>
          </w:p>
        </w:tc>
        <w:tc>
          <w:tcPr>
            <w:tcW w:w="911"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60229AAA">
            <w:pPr>
              <w:snapToGrid w:val="0"/>
              <w:ind w:left="0" w:leftChars="0" w:right="0" w:rightChars="0" w:firstLine="0" w:firstLineChars="0"/>
              <w:jc w:val="left"/>
              <w:rPr>
                <w:rFonts w:hint="default" w:ascii="Segoe UI" w:hAnsi="Segoe UI" w:eastAsia="Segoe UI" w:cs="Segoe UI"/>
                <w:b/>
                <w:i w:val="0"/>
                <w:iCs w:val="0"/>
                <w:caps w:val="0"/>
                <w:color w:val="0F1115"/>
                <w:spacing w:val="0"/>
                <w:sz w:val="22"/>
                <w:szCs w:val="22"/>
              </w:rPr>
            </w:pPr>
          </w:p>
        </w:tc>
        <w:tc>
          <w:tcPr>
            <w:tcW w:w="1642"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3CD04181">
            <w:pPr>
              <w:snapToGrid w:val="0"/>
              <w:ind w:left="0" w:leftChars="0" w:right="0" w:rightChars="0" w:firstLine="0" w:firstLineChars="0"/>
              <w:jc w:val="left"/>
              <w:rPr>
                <w:rFonts w:hint="default" w:ascii="Segoe UI" w:hAnsi="Segoe UI" w:eastAsia="Segoe UI" w:cs="Segoe UI"/>
                <w:b/>
                <w:i w:val="0"/>
                <w:iCs w:val="0"/>
                <w:caps w:val="0"/>
                <w:color w:val="0F1115"/>
                <w:spacing w:val="0"/>
                <w:sz w:val="22"/>
                <w:szCs w:val="22"/>
              </w:rPr>
            </w:pPr>
          </w:p>
        </w:tc>
        <w:tc>
          <w:tcPr>
            <w:tcW w:w="1260"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63831163">
            <w:pPr>
              <w:snapToGrid w:val="0"/>
              <w:ind w:left="0" w:leftChars="0" w:right="0" w:rightChars="0" w:firstLine="0" w:firstLineChars="0"/>
              <w:jc w:val="center"/>
              <w:rPr>
                <w:rFonts w:hint="default" w:ascii="Segoe UI" w:hAnsi="Segoe UI" w:eastAsia="Segoe UI" w:cs="Segoe UI"/>
                <w:b/>
                <w:i w:val="0"/>
                <w:iCs w:val="0"/>
                <w:caps w:val="0"/>
                <w:color w:val="0F1115"/>
                <w:spacing w:val="0"/>
                <w:sz w:val="22"/>
                <w:szCs w:val="22"/>
              </w:rPr>
            </w:pPr>
          </w:p>
        </w:tc>
        <w:tc>
          <w:tcPr>
            <w:tcW w:w="885"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3F6931B6">
            <w:pPr>
              <w:snapToGrid w:val="0"/>
              <w:ind w:left="0" w:leftChars="0" w:right="0" w:rightChars="0" w:firstLine="0" w:firstLineChars="0"/>
              <w:jc w:val="left"/>
              <w:rPr>
                <w:rFonts w:hint="default" w:ascii="Segoe UI" w:hAnsi="Segoe UI" w:eastAsia="Segoe UI" w:cs="Segoe UI"/>
                <w:b/>
                <w:i w:val="0"/>
                <w:iCs w:val="0"/>
                <w:caps w:val="0"/>
                <w:color w:val="0F1115"/>
                <w:spacing w:val="0"/>
                <w:sz w:val="22"/>
                <w:szCs w:val="22"/>
              </w:rPr>
            </w:pPr>
          </w:p>
        </w:tc>
        <w:tc>
          <w:tcPr>
            <w:tcW w:w="1532"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37512FC9">
            <w:pPr>
              <w:snapToGrid w:val="0"/>
              <w:ind w:left="0" w:leftChars="0" w:right="0" w:rightChars="0" w:firstLine="0" w:firstLineChars="0"/>
              <w:jc w:val="center"/>
              <w:rPr>
                <w:rFonts w:hint="default" w:ascii="Segoe UI" w:hAnsi="Segoe UI" w:eastAsia="Segoe UI" w:cs="Segoe UI"/>
                <w:b/>
                <w:i w:val="0"/>
                <w:iCs w:val="0"/>
                <w:caps w:val="0"/>
                <w:color w:val="0F1115"/>
                <w:spacing w:val="0"/>
                <w:sz w:val="22"/>
                <w:szCs w:val="22"/>
              </w:rPr>
            </w:pPr>
          </w:p>
        </w:tc>
        <w:tc>
          <w:tcPr>
            <w:tcW w:w="1258"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1E9CCAA2">
            <w:pPr>
              <w:snapToGrid w:val="0"/>
              <w:ind w:left="0" w:leftChars="0" w:right="0" w:rightChars="0" w:firstLine="0" w:firstLineChars="0"/>
              <w:jc w:val="center"/>
              <w:rPr>
                <w:rFonts w:hint="default" w:ascii="Segoe UI" w:hAnsi="Segoe UI" w:eastAsia="Segoe UI" w:cs="Segoe UI"/>
                <w:b/>
                <w:i w:val="0"/>
                <w:iCs w:val="0"/>
                <w:caps w:val="0"/>
                <w:color w:val="0F1115"/>
                <w:spacing w:val="0"/>
                <w:sz w:val="22"/>
                <w:szCs w:val="22"/>
              </w:rPr>
            </w:pPr>
          </w:p>
        </w:tc>
        <w:tc>
          <w:tcPr>
            <w:tcW w:w="1453"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568297E2">
            <w:pPr>
              <w:snapToGrid w:val="0"/>
              <w:ind w:left="0" w:leftChars="0" w:right="0" w:rightChars="0" w:firstLine="0" w:firstLineChars="0"/>
              <w:jc w:val="center"/>
              <w:rPr>
                <w:rFonts w:hint="default" w:ascii="Segoe UI" w:hAnsi="Segoe UI" w:eastAsia="Segoe UI" w:cs="Segoe UI"/>
                <w:b/>
                <w:i w:val="0"/>
                <w:iCs w:val="0"/>
                <w:caps w:val="0"/>
                <w:color w:val="0F1115"/>
                <w:spacing w:val="0"/>
                <w:sz w:val="22"/>
                <w:szCs w:val="22"/>
              </w:rPr>
            </w:pPr>
          </w:p>
        </w:tc>
        <w:tc>
          <w:tcPr>
            <w:tcW w:w="1211"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6395869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b/>
                <w:i w:val="0"/>
                <w:iCs w:val="0"/>
                <w:caps w:val="0"/>
                <w:color w:val="0F1115"/>
                <w:spacing w:val="0"/>
                <w:sz w:val="22"/>
                <w:szCs w:val="22"/>
              </w:rPr>
            </w:pPr>
            <w:r>
              <w:rPr>
                <w:rStyle w:val="26"/>
                <w:rFonts w:hint="default" w:ascii="Segoe UI" w:hAnsi="Segoe UI" w:eastAsia="Segoe UI" w:cs="Segoe UI"/>
                <w:b/>
                <w:bCs/>
                <w:i w:val="0"/>
                <w:iCs w:val="0"/>
                <w:caps w:val="0"/>
                <w:snapToGrid w:val="0"/>
                <w:color w:val="000000"/>
                <w:spacing w:val="0"/>
                <w:kern w:val="0"/>
                <w:sz w:val="22"/>
                <w:szCs w:val="22"/>
                <w:lang w:val="en-US" w:eastAsia="zh-CN"/>
              </w:rPr>
              <w:t>21700</w:t>
            </w:r>
          </w:p>
        </w:tc>
      </w:tr>
    </w:tbl>
    <w:p w14:paraId="13A0C11F">
      <w:pPr>
        <w:rPr>
          <w:rFonts w:hint="eastAsia" w:ascii="Segoe UI" w:hAnsi="Segoe UI" w:eastAsia="Segoe UI" w:cs="Segoe UI"/>
          <w:i w:val="0"/>
          <w:iCs w:val="0"/>
          <w:caps w:val="0"/>
          <w:color w:val="0F1115"/>
          <w:spacing w:val="0"/>
          <w:sz w:val="24"/>
          <w:szCs w:val="24"/>
          <w:shd w:val="clear" w:color="auto" w:fill="FFFFFF"/>
          <w:lang w:val="en-US" w:eastAsia="zh-CN"/>
        </w:rPr>
        <w:sectPr>
          <w:pgSz w:w="16838" w:h="11906" w:orient="landscape"/>
          <w:pgMar w:top="1800" w:right="1440" w:bottom="1800" w:left="1440" w:header="851" w:footer="992" w:gutter="0"/>
          <w:cols w:space="425" w:num="1"/>
          <w:docGrid w:type="lines" w:linePitch="312" w:charSpace="0"/>
        </w:sectPr>
      </w:pPr>
      <w:r>
        <w:rPr>
          <w:rFonts w:hint="eastAsia" w:ascii="Segoe UI" w:hAnsi="Segoe UI" w:eastAsia="Segoe UI" w:cs="Segoe UI"/>
          <w:i w:val="0"/>
          <w:iCs w:val="0"/>
          <w:caps w:val="0"/>
          <w:color w:val="0F1115"/>
          <w:spacing w:val="0"/>
          <w:sz w:val="24"/>
          <w:szCs w:val="24"/>
          <w:shd w:val="clear" w:color="auto" w:fill="FFFFFF"/>
          <w:lang w:val="en-US" w:eastAsia="zh-CN"/>
        </w:rPr>
        <w:br w:type="page"/>
      </w:r>
    </w:p>
    <w:p w14:paraId="6C3B34F7">
      <w:pPr>
        <w:pStyle w:val="32"/>
        <w:keepNext/>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19" w:name="_Toc18978"/>
      <w:r>
        <w:rPr>
          <w:rFonts w:hint="eastAsia"/>
          <w:lang w:val="en-US" w:eastAsia="zh-CN"/>
        </w:rPr>
        <w:t xml:space="preserve"> 2025年度人员培训预算汇总表</w:t>
      </w:r>
      <w:bookmarkEnd w:id="19"/>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9"/>
        <w:gridCol w:w="2576"/>
        <w:gridCol w:w="4237"/>
      </w:tblGrid>
      <w:tr w14:paraId="2D436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709"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3BE9886E">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部门</w:t>
            </w:r>
          </w:p>
        </w:tc>
        <w:tc>
          <w:tcPr>
            <w:tcW w:w="2576"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3DBC65F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预算金额（元）</w:t>
            </w:r>
          </w:p>
        </w:tc>
        <w:tc>
          <w:tcPr>
            <w:tcW w:w="4237"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44986DC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说明</w:t>
            </w:r>
          </w:p>
        </w:tc>
      </w:tr>
      <w:tr w14:paraId="4220C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0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3CD7DF9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c>
          <w:tcPr>
            <w:tcW w:w="2576"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FA4FC1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19000</w:t>
            </w:r>
          </w:p>
        </w:tc>
        <w:tc>
          <w:tcPr>
            <w:tcW w:w="4237"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E08665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内训+外训</w:t>
            </w:r>
          </w:p>
        </w:tc>
      </w:tr>
      <w:tr w14:paraId="533D3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0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F636C3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研发部</w:t>
            </w:r>
          </w:p>
        </w:tc>
        <w:tc>
          <w:tcPr>
            <w:tcW w:w="2576"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430291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500</w:t>
            </w:r>
          </w:p>
        </w:tc>
        <w:tc>
          <w:tcPr>
            <w:tcW w:w="4237"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A8A4E4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lang w:val="en-US"/>
              </w:rPr>
            </w:pPr>
            <w:r>
              <w:rPr>
                <w:rFonts w:hint="eastAsia" w:ascii="Segoe UI" w:hAnsi="Segoe UI" w:eastAsia="Segoe UI" w:cs="Segoe UI"/>
                <w:i w:val="0"/>
                <w:iCs w:val="0"/>
                <w:caps w:val="0"/>
                <w:snapToGrid w:val="0"/>
                <w:color w:val="000000"/>
                <w:spacing w:val="0"/>
                <w:kern w:val="0"/>
                <w:sz w:val="22"/>
                <w:szCs w:val="22"/>
                <w:lang w:val="en-US" w:eastAsia="zh-CN"/>
              </w:rPr>
              <w:t>研发管理规范培训</w:t>
            </w:r>
          </w:p>
        </w:tc>
      </w:tr>
      <w:tr w14:paraId="3481FE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0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BEF600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产品质量部</w:t>
            </w:r>
          </w:p>
        </w:tc>
        <w:tc>
          <w:tcPr>
            <w:tcW w:w="2576"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31E29E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1200</w:t>
            </w:r>
          </w:p>
        </w:tc>
        <w:tc>
          <w:tcPr>
            <w:tcW w:w="4237"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2DFE05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质量管理培训</w:t>
            </w:r>
          </w:p>
        </w:tc>
      </w:tr>
      <w:tr w14:paraId="61CBE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0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4BF533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综合部</w:t>
            </w:r>
          </w:p>
        </w:tc>
        <w:tc>
          <w:tcPr>
            <w:tcW w:w="2576"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93A0A5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lang w:val="en-US"/>
              </w:rPr>
            </w:pPr>
            <w:r>
              <w:rPr>
                <w:rFonts w:hint="eastAsia" w:ascii="Segoe UI" w:hAnsi="Segoe UI" w:eastAsia="Segoe UI" w:cs="Segoe UI"/>
                <w:i w:val="0"/>
                <w:iCs w:val="0"/>
                <w:caps w:val="0"/>
                <w:snapToGrid w:val="0"/>
                <w:color w:val="000000"/>
                <w:spacing w:val="0"/>
                <w:kern w:val="0"/>
                <w:sz w:val="22"/>
                <w:szCs w:val="22"/>
                <w:lang w:val="en-US" w:eastAsia="zh-CN"/>
              </w:rPr>
              <w:t>500</w:t>
            </w:r>
          </w:p>
        </w:tc>
        <w:tc>
          <w:tcPr>
            <w:tcW w:w="4237"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1A73E3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新员工入职培训</w:t>
            </w:r>
          </w:p>
        </w:tc>
      </w:tr>
      <w:tr w14:paraId="2EB9F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0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997695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22"/>
                <w:szCs w:val="22"/>
                <w:lang w:val="en-US" w:eastAsia="zh-CN"/>
              </w:rPr>
            </w:pPr>
            <w:r>
              <w:rPr>
                <w:rFonts w:hint="eastAsia" w:ascii="Segoe UI" w:hAnsi="Segoe UI" w:eastAsia="Segoe UI" w:cs="Segoe UI"/>
                <w:i w:val="0"/>
                <w:iCs w:val="0"/>
                <w:caps w:val="0"/>
                <w:snapToGrid w:val="0"/>
                <w:color w:val="000000"/>
                <w:spacing w:val="0"/>
                <w:kern w:val="0"/>
                <w:sz w:val="22"/>
                <w:szCs w:val="22"/>
                <w:lang w:val="en-US" w:eastAsia="zh-CN"/>
              </w:rPr>
              <w:t>备件库</w:t>
            </w:r>
          </w:p>
        </w:tc>
        <w:tc>
          <w:tcPr>
            <w:tcW w:w="2576"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E67E63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22"/>
                <w:szCs w:val="22"/>
                <w:lang w:val="en-US" w:eastAsia="zh-CN"/>
              </w:rPr>
            </w:pPr>
            <w:r>
              <w:rPr>
                <w:rFonts w:hint="eastAsia" w:ascii="Segoe UI" w:hAnsi="Segoe UI" w:eastAsia="Segoe UI" w:cs="Segoe UI"/>
                <w:i w:val="0"/>
                <w:iCs w:val="0"/>
                <w:caps w:val="0"/>
                <w:snapToGrid w:val="0"/>
                <w:color w:val="000000"/>
                <w:spacing w:val="0"/>
                <w:kern w:val="0"/>
                <w:sz w:val="22"/>
                <w:szCs w:val="22"/>
                <w:lang w:val="en-US" w:eastAsia="zh-CN"/>
              </w:rPr>
              <w:t>500</w:t>
            </w:r>
          </w:p>
        </w:tc>
        <w:tc>
          <w:tcPr>
            <w:tcW w:w="4237"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ED58E1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22"/>
                <w:szCs w:val="22"/>
                <w:lang w:val="en-US" w:eastAsia="zh-CN"/>
              </w:rPr>
            </w:pPr>
            <w:r>
              <w:rPr>
                <w:rFonts w:hint="eastAsia" w:ascii="Segoe UI" w:hAnsi="Segoe UI" w:eastAsia="Segoe UI" w:cs="Segoe UI"/>
                <w:i w:val="0"/>
                <w:iCs w:val="0"/>
                <w:caps w:val="0"/>
                <w:snapToGrid w:val="0"/>
                <w:color w:val="000000"/>
                <w:spacing w:val="0"/>
                <w:kern w:val="0"/>
                <w:sz w:val="22"/>
                <w:szCs w:val="22"/>
                <w:lang w:val="en-US" w:eastAsia="zh-CN"/>
              </w:rPr>
              <w:t>备件管理培训</w:t>
            </w:r>
          </w:p>
        </w:tc>
      </w:tr>
      <w:tr w14:paraId="18FD0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09"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547EF5C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Style w:val="26"/>
                <w:rFonts w:hint="default" w:ascii="Segoe UI" w:hAnsi="Segoe UI" w:eastAsia="Segoe UI" w:cs="Segoe UI"/>
                <w:b/>
                <w:bCs/>
                <w:i w:val="0"/>
                <w:iCs w:val="0"/>
                <w:caps w:val="0"/>
                <w:snapToGrid w:val="0"/>
                <w:color w:val="000000"/>
                <w:spacing w:val="0"/>
                <w:kern w:val="0"/>
                <w:sz w:val="22"/>
                <w:szCs w:val="22"/>
                <w:lang w:val="en-US" w:eastAsia="zh-CN"/>
              </w:rPr>
              <w:t>总计</w:t>
            </w:r>
          </w:p>
        </w:tc>
        <w:tc>
          <w:tcPr>
            <w:tcW w:w="2576"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6BC156D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Style w:val="26"/>
                <w:rFonts w:hint="default" w:ascii="Segoe UI" w:hAnsi="Segoe UI" w:eastAsia="Segoe UI" w:cs="Segoe UI"/>
                <w:b/>
                <w:bCs/>
                <w:i w:val="0"/>
                <w:iCs w:val="0"/>
                <w:caps w:val="0"/>
                <w:snapToGrid w:val="0"/>
                <w:color w:val="000000"/>
                <w:spacing w:val="0"/>
                <w:kern w:val="0"/>
                <w:sz w:val="22"/>
                <w:szCs w:val="22"/>
                <w:lang w:val="en-US" w:eastAsia="zh-CN"/>
              </w:rPr>
              <w:t>21700</w:t>
            </w:r>
          </w:p>
        </w:tc>
        <w:tc>
          <w:tcPr>
            <w:tcW w:w="4237"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67B2EFC0">
            <w:pPr>
              <w:snapToGrid w:val="0"/>
              <w:ind w:left="0" w:leftChars="0" w:right="0" w:rightChars="0" w:firstLine="0" w:firstLineChars="0"/>
              <w:jc w:val="right"/>
              <w:rPr>
                <w:rFonts w:hint="default" w:ascii="Segoe UI" w:hAnsi="Segoe UI" w:eastAsia="Segoe UI" w:cs="Segoe UI"/>
                <w:b/>
                <w:i w:val="0"/>
                <w:iCs w:val="0"/>
                <w:caps w:val="0"/>
                <w:color w:val="0F1115"/>
                <w:spacing w:val="0"/>
                <w:sz w:val="22"/>
                <w:szCs w:val="22"/>
              </w:rPr>
            </w:pPr>
          </w:p>
        </w:tc>
      </w:tr>
    </w:tbl>
    <w:p w14:paraId="09B38DE0">
      <w:pPr>
        <w:pStyle w:val="32"/>
        <w:bidi w:val="0"/>
        <w:rPr>
          <w:rFonts w:hint="eastAsia"/>
          <w:lang w:val="en-US" w:eastAsia="zh-CN"/>
        </w:rPr>
      </w:pPr>
      <w:r>
        <w:rPr>
          <w:rFonts w:hint="eastAsia"/>
          <w:lang w:val="en-US" w:eastAsia="zh-CN"/>
        </w:rPr>
        <w:t>KPI指标：人员培训计划达成率</w:t>
      </w:r>
    </w:p>
    <w:p w14:paraId="0C796077">
      <w:pPr>
        <w:pStyle w:val="32"/>
        <w:bidi w:val="0"/>
        <w:rPr>
          <w:rFonts w:hint="eastAsia"/>
          <w:lang w:val="en-US" w:eastAsia="zh-CN"/>
        </w:rPr>
      </w:pPr>
      <w:r>
        <w:rPr>
          <w:rFonts w:hint="eastAsia"/>
          <w:lang w:val="en-US" w:eastAsia="zh-CN"/>
        </w:rPr>
        <w:t xml:space="preserve">人员培训计划达成率是反映年度培训计划执行情况的量化指标，其计算公式为：人员培训计划达成率 = </w:t>
      </w:r>
      <w:r>
        <w:rPr>
          <w:rFonts w:hint="default"/>
          <w:lang w:val="en-US" w:eastAsia="zh-CN"/>
        </w:rPr>
        <w:t>（实际培训完成课程数/计划培训课程数）</w:t>
      </w:r>
      <w:r>
        <w:rPr>
          <w:rFonts w:hint="eastAsia"/>
          <w:lang w:val="en-US" w:eastAsia="zh-CN"/>
        </w:rPr>
        <w:t xml:space="preserve"> × 100%。目标值为 ≥ 90%，按季度进行考核，责任部门为综合部。</w:t>
      </w:r>
    </w:p>
    <w:p w14:paraId="4968E65F">
      <w:pPr>
        <w:pStyle w:val="34"/>
        <w:bidi w:val="0"/>
        <w:rPr>
          <w:rFonts w:hint="eastAsia"/>
          <w:lang w:val="en-US" w:eastAsia="zh-CN"/>
        </w:rPr>
      </w:pPr>
      <w:bookmarkStart w:id="20" w:name="_Toc20530"/>
      <w:r>
        <w:rPr>
          <w:rFonts w:hint="eastAsia"/>
          <w:lang w:val="en-US" w:eastAsia="zh-CN"/>
        </w:rPr>
        <w:t>人员备份计划</w:t>
      </w:r>
      <w:bookmarkEnd w:id="20"/>
    </w:p>
    <w:p w14:paraId="3D19FA25">
      <w:pPr>
        <w:pStyle w:val="32"/>
        <w:rPr>
          <w:rFonts w:ascii="Segoe UI" w:hAnsi="Segoe UI" w:eastAsia="Segoe UI" w:cs="Segoe UI"/>
          <w:i w:val="0"/>
          <w:iCs w:val="0"/>
          <w:caps w:val="0"/>
          <w:color w:val="0F1115"/>
          <w:spacing w:val="0"/>
          <w:sz w:val="24"/>
          <w:szCs w:val="24"/>
          <w:shd w:val="clear" w:color="auto" w:fill="FFFFFF"/>
        </w:rPr>
      </w:pPr>
      <w:r>
        <w:rPr>
          <w:rFonts w:ascii="Segoe UI" w:hAnsi="Segoe UI" w:eastAsia="Segoe UI" w:cs="Segoe UI"/>
          <w:i w:val="0"/>
          <w:iCs w:val="0"/>
          <w:caps w:val="0"/>
          <w:color w:val="0F1115"/>
          <w:spacing w:val="0"/>
          <w:sz w:val="24"/>
          <w:szCs w:val="24"/>
          <w:shd w:val="clear" w:color="auto" w:fill="FFFFFF"/>
        </w:rPr>
        <w:t>按照《人员备份管理制度》要求，对关键岗位进行备份管理，确保关键岗位人员因各种原因无法履职时能够迅速接替，保障业务连续性。</w:t>
      </w:r>
    </w:p>
    <w:p w14:paraId="1E89717A">
      <w:pPr>
        <w:pStyle w:val="32"/>
        <w:keepNext/>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21" w:name="_Toc4747"/>
      <w:r>
        <w:rPr>
          <w:rFonts w:hint="eastAsia"/>
          <w:lang w:val="en-US" w:eastAsia="zh-CN"/>
        </w:rPr>
        <w:t xml:space="preserve"> 2025年度人员关键岗位备份计划表</w:t>
      </w:r>
      <w:bookmarkEnd w:id="21"/>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67"/>
        <w:gridCol w:w="2032"/>
        <w:gridCol w:w="1810"/>
        <w:gridCol w:w="1502"/>
        <w:gridCol w:w="1811"/>
      </w:tblGrid>
      <w:tr w14:paraId="747FD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367"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61B0A023">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部门</w:t>
            </w:r>
          </w:p>
        </w:tc>
        <w:tc>
          <w:tcPr>
            <w:tcW w:w="2032"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076DF16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A岗位</w:t>
            </w:r>
          </w:p>
        </w:tc>
        <w:tc>
          <w:tcPr>
            <w:tcW w:w="1810"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4E27ABF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B岗</w:t>
            </w:r>
          </w:p>
        </w:tc>
        <w:tc>
          <w:tcPr>
            <w:tcW w:w="1502"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15611DE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备份要求</w:t>
            </w:r>
          </w:p>
        </w:tc>
        <w:tc>
          <w:tcPr>
            <w:tcW w:w="1811"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6C9FF62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计划完成时间</w:t>
            </w:r>
          </w:p>
        </w:tc>
      </w:tr>
      <w:tr w14:paraId="17333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3EF222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c>
          <w:tcPr>
            <w:tcW w:w="203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01F524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运维部经理</w:t>
            </w:r>
          </w:p>
        </w:tc>
        <w:tc>
          <w:tcPr>
            <w:tcW w:w="181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EF6D61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运维项目经理</w:t>
            </w:r>
          </w:p>
        </w:tc>
        <w:tc>
          <w:tcPr>
            <w:tcW w:w="150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DEAA43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A/B岗轮岗</w:t>
            </w:r>
          </w:p>
        </w:tc>
        <w:tc>
          <w:tcPr>
            <w:tcW w:w="181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A16A9C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2025年3月</w:t>
            </w:r>
          </w:p>
        </w:tc>
      </w:tr>
      <w:tr w14:paraId="79F61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718F3AC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研发部</w:t>
            </w:r>
          </w:p>
        </w:tc>
        <w:tc>
          <w:tcPr>
            <w:tcW w:w="203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2BABC8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研发部经理</w:t>
            </w:r>
          </w:p>
        </w:tc>
        <w:tc>
          <w:tcPr>
            <w:tcW w:w="181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DF10F6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研发工程师</w:t>
            </w:r>
          </w:p>
        </w:tc>
        <w:tc>
          <w:tcPr>
            <w:tcW w:w="150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CCE924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A/B岗轮岗</w:t>
            </w:r>
          </w:p>
        </w:tc>
        <w:tc>
          <w:tcPr>
            <w:tcW w:w="181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26BBDC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2025年4月</w:t>
            </w:r>
          </w:p>
        </w:tc>
      </w:tr>
      <w:tr w14:paraId="036E8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53B6CC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产品质量部</w:t>
            </w:r>
          </w:p>
        </w:tc>
        <w:tc>
          <w:tcPr>
            <w:tcW w:w="203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2D822D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产品质量部经理</w:t>
            </w:r>
          </w:p>
        </w:tc>
        <w:tc>
          <w:tcPr>
            <w:tcW w:w="181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34844C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产品质量部专员</w:t>
            </w:r>
          </w:p>
        </w:tc>
        <w:tc>
          <w:tcPr>
            <w:tcW w:w="150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9019E6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A/B岗轮岗</w:t>
            </w:r>
          </w:p>
        </w:tc>
        <w:tc>
          <w:tcPr>
            <w:tcW w:w="181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B022FF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2025年9月</w:t>
            </w:r>
          </w:p>
        </w:tc>
      </w:tr>
      <w:tr w14:paraId="707C4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7"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1CEBE9E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综合部</w:t>
            </w:r>
          </w:p>
        </w:tc>
        <w:tc>
          <w:tcPr>
            <w:tcW w:w="2032"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424BDBB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综合部经理</w:t>
            </w:r>
          </w:p>
        </w:tc>
        <w:tc>
          <w:tcPr>
            <w:tcW w:w="1810"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1D6D4D3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人事专员</w:t>
            </w:r>
          </w:p>
        </w:tc>
        <w:tc>
          <w:tcPr>
            <w:tcW w:w="1502"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2A2DD1A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A/B岗轮岗</w:t>
            </w:r>
          </w:p>
        </w:tc>
        <w:tc>
          <w:tcPr>
            <w:tcW w:w="1811"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3E5BD4D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2025年10月</w:t>
            </w:r>
          </w:p>
        </w:tc>
      </w:tr>
    </w:tbl>
    <w:p w14:paraId="13C84359">
      <w:pPr>
        <w:pStyle w:val="32"/>
        <w:bidi w:val="0"/>
        <w:rPr>
          <w:rFonts w:hint="eastAsia"/>
          <w:lang w:val="en-US" w:eastAsia="zh-CN"/>
        </w:rPr>
      </w:pPr>
      <w:r>
        <w:rPr>
          <w:rFonts w:hint="eastAsia"/>
          <w:lang w:val="en-US" w:eastAsia="zh-CN"/>
        </w:rPr>
        <w:t>KPI指标：备份人员能力达标率</w:t>
      </w:r>
    </w:p>
    <w:p w14:paraId="35889A42">
      <w:pPr>
        <w:pStyle w:val="32"/>
        <w:bidi w:val="0"/>
        <w:rPr>
          <w:rFonts w:hint="eastAsia"/>
          <w:lang w:val="en-US" w:eastAsia="zh-CN"/>
        </w:rPr>
      </w:pPr>
      <w:r>
        <w:rPr>
          <w:rFonts w:hint="eastAsia"/>
          <w:lang w:val="en-US" w:eastAsia="zh-CN"/>
        </w:rPr>
        <w:t>备份人员能力达标率是反映关键岗位备份人员实际履职能力的量化指标，其计算公式为：备份人员能力达标率 = (能力验证合格的备份人员数 / 备份人员总数) × 100%。目标值为 ≥ 90%，按季度进行考核，责任部门为综合部。</w:t>
      </w:r>
    </w:p>
    <w:p w14:paraId="0E324CDF">
      <w:pPr>
        <w:pStyle w:val="34"/>
        <w:bidi w:val="0"/>
        <w:rPr>
          <w:rFonts w:hint="eastAsia"/>
          <w:lang w:val="en-US" w:eastAsia="zh-CN"/>
        </w:rPr>
      </w:pPr>
      <w:bookmarkStart w:id="22" w:name="_Toc10668"/>
      <w:r>
        <w:rPr>
          <w:rFonts w:hint="eastAsia"/>
          <w:lang w:val="en-US" w:eastAsia="zh-CN"/>
        </w:rPr>
        <w:t>人员绩效考核计划</w:t>
      </w:r>
      <w:bookmarkEnd w:id="22"/>
    </w:p>
    <w:p w14:paraId="01174416">
      <w:pPr>
        <w:pStyle w:val="32"/>
        <w:rPr>
          <w:rFonts w:ascii="Segoe UI" w:hAnsi="Segoe UI" w:eastAsia="Segoe UI" w:cs="Segoe UI"/>
          <w:i w:val="0"/>
          <w:iCs w:val="0"/>
          <w:caps w:val="0"/>
          <w:color w:val="0F1115"/>
          <w:spacing w:val="0"/>
          <w:sz w:val="24"/>
          <w:szCs w:val="24"/>
          <w:shd w:val="clear" w:color="auto" w:fill="FFFFFF"/>
        </w:rPr>
      </w:pPr>
      <w:r>
        <w:rPr>
          <w:rFonts w:ascii="Segoe UI" w:hAnsi="Segoe UI" w:eastAsia="Segoe UI" w:cs="Segoe UI"/>
          <w:i w:val="0"/>
          <w:iCs w:val="0"/>
          <w:caps w:val="0"/>
          <w:color w:val="0F1115"/>
          <w:spacing w:val="0"/>
          <w:sz w:val="24"/>
          <w:szCs w:val="24"/>
          <w:shd w:val="clear" w:color="auto" w:fill="FFFFFF"/>
        </w:rPr>
        <w:t>按照《人员绩效考核及技能评价管理制度》，对全体员工进行绩效考核，确保考核公平、公正、及时完成，考核结果与薪酬调整、岗位晋升、培训需求识别等挂钩。</w:t>
      </w:r>
    </w:p>
    <w:p w14:paraId="62D1DE53">
      <w:pPr>
        <w:pStyle w:val="32"/>
        <w:keepNext/>
        <w:keepLines w:val="0"/>
        <w:pageBreakBefore w:val="0"/>
        <w:widowControl w:val="0"/>
        <w:kinsoku w:val="0"/>
        <w:wordWrap/>
        <w:overflowPunct/>
        <w:topLinePunct w:val="0"/>
        <w:autoSpaceDE w:val="0"/>
        <w:autoSpaceDN w:val="0"/>
        <w:bidi w:val="0"/>
        <w:adjustRightInd w:val="0"/>
        <w:snapToGrid w:val="0"/>
        <w:ind w:left="0" w:leftChars="0" w:firstLine="0" w:firstLineChars="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bookmarkStart w:id="23" w:name="_Toc24180"/>
      <w:r>
        <w:rPr>
          <w:rFonts w:hint="eastAsia"/>
          <w:lang w:val="en-US" w:eastAsia="zh-CN"/>
        </w:rPr>
        <w:t xml:space="preserve"> 2025年度人员绩效考核计划表</w:t>
      </w:r>
      <w:bookmarkEnd w:id="23"/>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3"/>
        <w:gridCol w:w="1952"/>
        <w:gridCol w:w="1679"/>
        <w:gridCol w:w="1827"/>
        <w:gridCol w:w="1681"/>
      </w:tblGrid>
      <w:tr w14:paraId="39ECE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383"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6310ECAF">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考核类型</w:t>
            </w:r>
          </w:p>
        </w:tc>
        <w:tc>
          <w:tcPr>
            <w:tcW w:w="1952"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08A85E7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考核周期</w:t>
            </w:r>
          </w:p>
        </w:tc>
        <w:tc>
          <w:tcPr>
            <w:tcW w:w="1679"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29964D3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考核对象</w:t>
            </w:r>
          </w:p>
        </w:tc>
        <w:tc>
          <w:tcPr>
            <w:tcW w:w="1827"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2B4D174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考核时间</w:t>
            </w:r>
          </w:p>
        </w:tc>
        <w:tc>
          <w:tcPr>
            <w:tcW w:w="1681"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53DCCC2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责任部门</w:t>
            </w:r>
          </w:p>
        </w:tc>
      </w:tr>
      <w:tr w14:paraId="3187D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83"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7E8368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月度考核</w:t>
            </w:r>
          </w:p>
        </w:tc>
        <w:tc>
          <w:tcPr>
            <w:tcW w:w="195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7FADAA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每月一次</w:t>
            </w:r>
          </w:p>
        </w:tc>
        <w:tc>
          <w:tcPr>
            <w:tcW w:w="167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DF57AD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全体员工</w:t>
            </w:r>
          </w:p>
        </w:tc>
        <w:tc>
          <w:tcPr>
            <w:tcW w:w="182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757387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每月5日前</w:t>
            </w:r>
          </w:p>
        </w:tc>
        <w:tc>
          <w:tcPr>
            <w:tcW w:w="168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27777A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综合部</w:t>
            </w:r>
          </w:p>
        </w:tc>
      </w:tr>
      <w:tr w14:paraId="1C8E3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83"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3FD7377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季度考核</w:t>
            </w:r>
          </w:p>
        </w:tc>
        <w:tc>
          <w:tcPr>
            <w:tcW w:w="195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E9575C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每季度一次</w:t>
            </w:r>
          </w:p>
        </w:tc>
        <w:tc>
          <w:tcPr>
            <w:tcW w:w="167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391909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全体员工</w:t>
            </w:r>
          </w:p>
        </w:tc>
        <w:tc>
          <w:tcPr>
            <w:tcW w:w="182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81DC88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每季度末</w:t>
            </w:r>
          </w:p>
        </w:tc>
        <w:tc>
          <w:tcPr>
            <w:tcW w:w="168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172B9C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综合部</w:t>
            </w:r>
          </w:p>
        </w:tc>
      </w:tr>
      <w:tr w14:paraId="62270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83"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7D38D0C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年度考核</w:t>
            </w:r>
          </w:p>
        </w:tc>
        <w:tc>
          <w:tcPr>
            <w:tcW w:w="1952"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0CE9C06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每年一次</w:t>
            </w:r>
          </w:p>
        </w:tc>
        <w:tc>
          <w:tcPr>
            <w:tcW w:w="1679"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1E8EBAF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全体员工</w:t>
            </w:r>
          </w:p>
        </w:tc>
        <w:tc>
          <w:tcPr>
            <w:tcW w:w="1827"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46F0922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12月</w:t>
            </w:r>
          </w:p>
        </w:tc>
        <w:tc>
          <w:tcPr>
            <w:tcW w:w="1681"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063261B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综合部</w:t>
            </w:r>
          </w:p>
        </w:tc>
      </w:tr>
    </w:tbl>
    <w:p w14:paraId="72962713">
      <w:pPr>
        <w:pStyle w:val="32"/>
        <w:rPr>
          <w:rFonts w:hint="eastAsia" w:ascii="Segoe UI" w:hAnsi="Segoe UI" w:eastAsia="Segoe UI" w:cs="Segoe UI"/>
          <w:i w:val="0"/>
          <w:iCs w:val="0"/>
          <w:caps w:val="0"/>
          <w:color w:val="0F1115"/>
          <w:spacing w:val="0"/>
          <w:sz w:val="24"/>
          <w:szCs w:val="24"/>
          <w:shd w:val="clear" w:color="auto" w:fill="FFFFFF"/>
          <w:lang w:val="en-US" w:eastAsia="zh-CN"/>
        </w:rPr>
      </w:pPr>
      <w:r>
        <w:rPr>
          <w:rFonts w:hint="eastAsia" w:ascii="Segoe UI" w:hAnsi="Segoe UI" w:eastAsia="Segoe UI" w:cs="Segoe UI"/>
          <w:i w:val="0"/>
          <w:iCs w:val="0"/>
          <w:caps w:val="0"/>
          <w:color w:val="0F1115"/>
          <w:spacing w:val="0"/>
          <w:sz w:val="24"/>
          <w:szCs w:val="24"/>
          <w:shd w:val="clear" w:color="auto" w:fill="FFFFFF"/>
          <w:lang w:val="en-US" w:eastAsia="zh-CN"/>
        </w:rPr>
        <w:t>KPI指标：绩效考核及时完成率</w:t>
      </w:r>
    </w:p>
    <w:p w14:paraId="4778D9F6">
      <w:pPr>
        <w:pStyle w:val="32"/>
        <w:rPr>
          <w:rFonts w:hint="eastAsia" w:ascii="Segoe UI" w:hAnsi="Segoe UI" w:eastAsia="Segoe UI" w:cs="Segoe UI"/>
          <w:i w:val="0"/>
          <w:iCs w:val="0"/>
          <w:caps w:val="0"/>
          <w:color w:val="0F1115"/>
          <w:spacing w:val="0"/>
          <w:sz w:val="24"/>
          <w:szCs w:val="24"/>
          <w:shd w:val="clear" w:color="auto" w:fill="FFFFFF"/>
          <w:lang w:val="en-US" w:eastAsia="zh-CN"/>
        </w:rPr>
      </w:pPr>
      <w:r>
        <w:rPr>
          <w:rFonts w:hint="eastAsia" w:ascii="Segoe UI" w:hAnsi="Segoe UI" w:eastAsia="Segoe UI" w:cs="Segoe UI"/>
          <w:i w:val="0"/>
          <w:iCs w:val="0"/>
          <w:caps w:val="0"/>
          <w:color w:val="0F1115"/>
          <w:spacing w:val="0"/>
          <w:sz w:val="24"/>
          <w:szCs w:val="24"/>
          <w:shd w:val="clear" w:color="auto" w:fill="FFFFFF"/>
          <w:lang w:val="en-US" w:eastAsia="zh-CN"/>
        </w:rPr>
        <w:t>绩效考核及时完成率是反映绩效考核工作按时完成情况的量化指标，其计算公式为：绩效考核及时完成率 = (按时完成绩效考核的员工数 / 应参加绩效考核总人数) × 100%。目标值为 100%，按月度进行考核，责任部门为综合部。</w:t>
      </w:r>
    </w:p>
    <w:p w14:paraId="6268F421">
      <w:pPr>
        <w:pStyle w:val="34"/>
        <w:bidi w:val="0"/>
        <w:rPr>
          <w:rFonts w:hint="eastAsia"/>
          <w:lang w:val="en-US" w:eastAsia="zh-CN"/>
        </w:rPr>
      </w:pPr>
      <w:bookmarkStart w:id="24" w:name="_Toc5882"/>
      <w:r>
        <w:rPr>
          <w:rFonts w:hint="eastAsia"/>
          <w:lang w:val="en-US" w:eastAsia="zh-CN"/>
        </w:rPr>
        <w:t>人员技能评定计划</w:t>
      </w:r>
      <w:bookmarkEnd w:id="24"/>
    </w:p>
    <w:p w14:paraId="7B121FFB">
      <w:pPr>
        <w:pStyle w:val="32"/>
        <w:rPr>
          <w:rFonts w:ascii="Segoe UI" w:hAnsi="Segoe UI" w:eastAsia="Segoe UI" w:cs="Segoe UI"/>
          <w:i w:val="0"/>
          <w:iCs w:val="0"/>
          <w:caps w:val="0"/>
          <w:color w:val="0F1115"/>
          <w:spacing w:val="0"/>
          <w:sz w:val="24"/>
          <w:szCs w:val="24"/>
          <w:shd w:val="clear" w:color="auto" w:fill="FFFFFF"/>
        </w:rPr>
      </w:pPr>
      <w:r>
        <w:rPr>
          <w:rFonts w:ascii="Segoe UI" w:hAnsi="Segoe UI" w:eastAsia="Segoe UI" w:cs="Segoe UI"/>
          <w:i w:val="0"/>
          <w:iCs w:val="0"/>
          <w:caps w:val="0"/>
          <w:color w:val="0F1115"/>
          <w:spacing w:val="0"/>
          <w:sz w:val="24"/>
          <w:szCs w:val="24"/>
          <w:shd w:val="clear" w:color="auto" w:fill="FFFFFF"/>
        </w:rPr>
        <w:t>为科学评估员工专业技能水平，识别能力短板，为岗位任职、晋升调薪、培训需求提供依据，特制定本技能评定计划。评定工作遵循“客观公正、注重实效、持续改进”的原则，采用笔试、实操、案例答辩相结合的方式进行。</w:t>
      </w:r>
    </w:p>
    <w:p w14:paraId="6F681D7F">
      <w:pPr>
        <w:pStyle w:val="32"/>
        <w:keepNext/>
        <w:keepLines w:val="0"/>
        <w:pageBreakBefore w:val="0"/>
        <w:widowControl w:val="0"/>
        <w:kinsoku w:val="0"/>
        <w:wordWrap/>
        <w:overflowPunct/>
        <w:topLinePunct w:val="0"/>
        <w:autoSpaceDE w:val="0"/>
        <w:autoSpaceDN w:val="0"/>
        <w:bidi w:val="0"/>
        <w:adjustRightInd w:val="0"/>
        <w:snapToGrid w:val="0"/>
        <w:ind w:left="0" w:leftChars="0" w:firstLine="0" w:firstLineChars="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bookmarkStart w:id="25" w:name="_Toc18028"/>
      <w:r>
        <w:rPr>
          <w:rFonts w:hint="eastAsia"/>
          <w:lang w:val="en-US" w:eastAsia="zh-CN"/>
        </w:rPr>
        <w:t xml:space="preserve"> 2025年度人员技能评定周期表</w:t>
      </w:r>
      <w:bookmarkEnd w:id="25"/>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6"/>
        <w:gridCol w:w="1590"/>
        <w:gridCol w:w="1813"/>
        <w:gridCol w:w="1949"/>
        <w:gridCol w:w="1374"/>
      </w:tblGrid>
      <w:tr w14:paraId="334CA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796"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3C4697B8">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评定类型</w:t>
            </w:r>
          </w:p>
        </w:tc>
        <w:tc>
          <w:tcPr>
            <w:tcW w:w="1590"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60A8723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评定周期</w:t>
            </w:r>
          </w:p>
        </w:tc>
        <w:tc>
          <w:tcPr>
            <w:tcW w:w="1813"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665F86E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评定对象</w:t>
            </w:r>
          </w:p>
        </w:tc>
        <w:tc>
          <w:tcPr>
            <w:tcW w:w="1949"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66A8D14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评定时间</w:t>
            </w:r>
          </w:p>
        </w:tc>
        <w:tc>
          <w:tcPr>
            <w:tcW w:w="1373"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30DBB31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责任部门</w:t>
            </w:r>
          </w:p>
        </w:tc>
      </w:tr>
      <w:tr w14:paraId="4BEA6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9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827F7A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半年度技能评定</w:t>
            </w:r>
          </w:p>
        </w:tc>
        <w:tc>
          <w:tcPr>
            <w:tcW w:w="159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E95AA2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每半年一次</w:t>
            </w:r>
          </w:p>
        </w:tc>
        <w:tc>
          <w:tcPr>
            <w:tcW w:w="181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70B261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全体员工</w:t>
            </w:r>
          </w:p>
        </w:tc>
        <w:tc>
          <w:tcPr>
            <w:tcW w:w="194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D3B975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每年6月、12月</w:t>
            </w:r>
          </w:p>
        </w:tc>
        <w:tc>
          <w:tcPr>
            <w:tcW w:w="1373"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7B7F24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lang w:val="en-US"/>
              </w:rPr>
            </w:pPr>
            <w:r>
              <w:rPr>
                <w:rFonts w:hint="eastAsia" w:ascii="Segoe UI" w:hAnsi="Segoe UI" w:eastAsia="Segoe UI" w:cs="Segoe UI"/>
                <w:i w:val="0"/>
                <w:iCs w:val="0"/>
                <w:caps w:val="0"/>
                <w:snapToGrid w:val="0"/>
                <w:color w:val="000000"/>
                <w:spacing w:val="0"/>
                <w:kern w:val="0"/>
                <w:sz w:val="22"/>
                <w:szCs w:val="22"/>
                <w:lang w:val="en-US" w:eastAsia="zh-CN"/>
              </w:rPr>
              <w:t>综合部</w:t>
            </w:r>
          </w:p>
        </w:tc>
      </w:tr>
      <w:tr w14:paraId="002DD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9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787F71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入职技能评定</w:t>
            </w:r>
          </w:p>
        </w:tc>
        <w:tc>
          <w:tcPr>
            <w:tcW w:w="159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EA1A9A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入职时</w:t>
            </w:r>
          </w:p>
        </w:tc>
        <w:tc>
          <w:tcPr>
            <w:tcW w:w="181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2F5610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新员工</w:t>
            </w:r>
          </w:p>
        </w:tc>
        <w:tc>
          <w:tcPr>
            <w:tcW w:w="194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1EB2D7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试用期内</w:t>
            </w:r>
          </w:p>
        </w:tc>
        <w:tc>
          <w:tcPr>
            <w:tcW w:w="1373"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676307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r>
      <w:tr w14:paraId="3F9CB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96"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6004F06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晋升技能评定</w:t>
            </w:r>
          </w:p>
        </w:tc>
        <w:tc>
          <w:tcPr>
            <w:tcW w:w="1590"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6E47896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晋升前</w:t>
            </w:r>
          </w:p>
        </w:tc>
        <w:tc>
          <w:tcPr>
            <w:tcW w:w="1813"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6199DA1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申请晋升人员</w:t>
            </w:r>
          </w:p>
        </w:tc>
        <w:tc>
          <w:tcPr>
            <w:tcW w:w="1949"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5E8D84A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晋升评审前</w:t>
            </w:r>
          </w:p>
        </w:tc>
        <w:tc>
          <w:tcPr>
            <w:tcW w:w="1373"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1955B68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综合部</w:t>
            </w:r>
          </w:p>
        </w:tc>
      </w:tr>
    </w:tbl>
    <w:p w14:paraId="12BA938A">
      <w:pPr>
        <w:pStyle w:val="32"/>
        <w:keepNext/>
        <w:keepLines w:val="0"/>
        <w:pageBreakBefore w:val="0"/>
        <w:widowControl w:val="0"/>
        <w:kinsoku w:val="0"/>
        <w:wordWrap/>
        <w:overflowPunct/>
        <w:topLinePunct w:val="0"/>
        <w:autoSpaceDE w:val="0"/>
        <w:autoSpaceDN w:val="0"/>
        <w:bidi w:val="0"/>
        <w:adjustRightInd w:val="0"/>
        <w:snapToGrid w:val="0"/>
        <w:ind w:left="0" w:leftChars="0" w:firstLine="0" w:firstLineChars="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8</w:t>
      </w:r>
      <w:r>
        <w:rPr>
          <w:rFonts w:hint="eastAsia"/>
          <w:lang w:val="en-US" w:eastAsia="zh-CN"/>
        </w:rPr>
        <w:fldChar w:fldCharType="end"/>
      </w:r>
      <w:bookmarkStart w:id="26" w:name="_Toc24466"/>
      <w:r>
        <w:rPr>
          <w:rFonts w:hint="eastAsia"/>
          <w:lang w:val="en-US" w:eastAsia="zh-CN"/>
        </w:rPr>
        <w:t xml:space="preserve"> 2025年度人员技能等级划分表</w:t>
      </w:r>
      <w:bookmarkEnd w:id="26"/>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8"/>
        <w:gridCol w:w="1330"/>
        <w:gridCol w:w="5674"/>
      </w:tblGrid>
      <w:tr w14:paraId="497FD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518"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2A194F9E">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技能等级</w:t>
            </w:r>
          </w:p>
        </w:tc>
        <w:tc>
          <w:tcPr>
            <w:tcW w:w="1330"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13B5B8B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评估分数</w:t>
            </w:r>
          </w:p>
        </w:tc>
        <w:tc>
          <w:tcPr>
            <w:tcW w:w="5674"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282DE2D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定义</w:t>
            </w:r>
          </w:p>
        </w:tc>
      </w:tr>
      <w:tr w14:paraId="6E848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18"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89D7EB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A级（专家）</w:t>
            </w:r>
          </w:p>
        </w:tc>
        <w:tc>
          <w:tcPr>
            <w:tcW w:w="133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A5D79B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90-100分</w:t>
            </w:r>
          </w:p>
        </w:tc>
        <w:tc>
          <w:tcPr>
            <w:tcW w:w="567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73C336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能够引领技术方向，技术创新；技能优秀，可担任导师或备份人员</w:t>
            </w:r>
          </w:p>
        </w:tc>
      </w:tr>
      <w:tr w14:paraId="78F66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18"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9646D5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B级（高级）</w:t>
            </w:r>
          </w:p>
        </w:tc>
        <w:tc>
          <w:tcPr>
            <w:tcW w:w="133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D7C47E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80-89分</w:t>
            </w:r>
          </w:p>
        </w:tc>
        <w:tc>
          <w:tcPr>
            <w:tcW w:w="567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B71099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能够解决疑难问题，指导他人；技能良好，可独立承担岗位工作</w:t>
            </w:r>
          </w:p>
        </w:tc>
      </w:tr>
      <w:tr w14:paraId="640C89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18"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314E13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C级（中级）</w:t>
            </w:r>
          </w:p>
        </w:tc>
        <w:tc>
          <w:tcPr>
            <w:tcW w:w="133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E8DD64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60-79分</w:t>
            </w:r>
          </w:p>
        </w:tc>
        <w:tc>
          <w:tcPr>
            <w:tcW w:w="567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CC4DF1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能够独立处理复杂问题；技能合格，需持续提升</w:t>
            </w:r>
          </w:p>
        </w:tc>
      </w:tr>
      <w:tr w14:paraId="2E9F8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18"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3071891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D级（初级）</w:t>
            </w:r>
          </w:p>
        </w:tc>
        <w:tc>
          <w:tcPr>
            <w:tcW w:w="1330"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11B7CC6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60分以下</w:t>
            </w:r>
          </w:p>
        </w:tc>
        <w:tc>
          <w:tcPr>
            <w:tcW w:w="5674"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221A6BC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能够独立完成基础运维工作；技能不足，需参加专项培训</w:t>
            </w:r>
          </w:p>
        </w:tc>
      </w:tr>
    </w:tbl>
    <w:p w14:paraId="4411FC66">
      <w:pPr>
        <w:pStyle w:val="32"/>
        <w:keepNext/>
        <w:keepLines w:val="0"/>
        <w:pageBreakBefore w:val="0"/>
        <w:widowControl w:val="0"/>
        <w:kinsoku w:val="0"/>
        <w:wordWrap/>
        <w:overflowPunct/>
        <w:topLinePunct w:val="0"/>
        <w:autoSpaceDE w:val="0"/>
        <w:autoSpaceDN w:val="0"/>
        <w:bidi w:val="0"/>
        <w:adjustRightInd w:val="0"/>
        <w:snapToGrid w:val="0"/>
        <w:ind w:left="0" w:leftChars="0" w:firstLine="0" w:firstLineChars="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9</w:t>
      </w:r>
      <w:r>
        <w:rPr>
          <w:rFonts w:hint="eastAsia"/>
          <w:lang w:val="en-US" w:eastAsia="zh-CN"/>
        </w:rPr>
        <w:fldChar w:fldCharType="end"/>
      </w:r>
      <w:bookmarkStart w:id="27" w:name="_Toc326"/>
      <w:r>
        <w:rPr>
          <w:rFonts w:hint="eastAsia"/>
          <w:lang w:val="en-US" w:eastAsia="zh-CN"/>
        </w:rPr>
        <w:t xml:space="preserve"> 2025年度人员技能评定内容表</w:t>
      </w:r>
      <w:bookmarkEnd w:id="27"/>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19"/>
        <w:gridCol w:w="999"/>
        <w:gridCol w:w="3641"/>
        <w:gridCol w:w="2663"/>
      </w:tblGrid>
      <w:tr w14:paraId="104F4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219"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767CD6EF">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评定维度</w:t>
            </w:r>
          </w:p>
        </w:tc>
        <w:tc>
          <w:tcPr>
            <w:tcW w:w="999"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4D60C1E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权重</w:t>
            </w:r>
          </w:p>
        </w:tc>
        <w:tc>
          <w:tcPr>
            <w:tcW w:w="3641"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3D27FEB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评定内容</w:t>
            </w:r>
          </w:p>
        </w:tc>
        <w:tc>
          <w:tcPr>
            <w:tcW w:w="2662"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2B2A51F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评定方式</w:t>
            </w:r>
          </w:p>
        </w:tc>
      </w:tr>
      <w:tr w14:paraId="4E05B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1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7490ED2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专业知识</w:t>
            </w:r>
          </w:p>
        </w:tc>
        <w:tc>
          <w:tcPr>
            <w:tcW w:w="99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FE11C4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30%</w:t>
            </w:r>
          </w:p>
        </w:tc>
        <w:tc>
          <w:tcPr>
            <w:tcW w:w="364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4F7AFC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岗位相关技术理论知识</w:t>
            </w:r>
          </w:p>
        </w:tc>
        <w:tc>
          <w:tcPr>
            <w:tcW w:w="2662"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D98D8E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笔试、面试</w:t>
            </w:r>
          </w:p>
        </w:tc>
      </w:tr>
      <w:tr w14:paraId="238B6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1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2E78A0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操作技能</w:t>
            </w:r>
          </w:p>
        </w:tc>
        <w:tc>
          <w:tcPr>
            <w:tcW w:w="99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280FBF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40%</w:t>
            </w:r>
          </w:p>
        </w:tc>
        <w:tc>
          <w:tcPr>
            <w:tcW w:w="364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DAEFBB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实际操作能力、故障处理能力</w:t>
            </w:r>
          </w:p>
        </w:tc>
        <w:tc>
          <w:tcPr>
            <w:tcW w:w="2662"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3C6209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实操考核、案例演练</w:t>
            </w:r>
          </w:p>
        </w:tc>
      </w:tr>
      <w:tr w14:paraId="29E33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1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7FFF08A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问题解决</w:t>
            </w:r>
          </w:p>
        </w:tc>
        <w:tc>
          <w:tcPr>
            <w:tcW w:w="99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06B654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w:t>
            </w:r>
          </w:p>
        </w:tc>
        <w:tc>
          <w:tcPr>
            <w:tcW w:w="364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9A4376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复杂问题分析、解决能力</w:t>
            </w:r>
          </w:p>
        </w:tc>
        <w:tc>
          <w:tcPr>
            <w:tcW w:w="2662"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3E7BC6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案例答辩、工作成果</w:t>
            </w:r>
          </w:p>
        </w:tc>
      </w:tr>
      <w:tr w14:paraId="422E6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19"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0DE6766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知识贡献</w:t>
            </w:r>
          </w:p>
        </w:tc>
        <w:tc>
          <w:tcPr>
            <w:tcW w:w="999"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1082593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10%</w:t>
            </w:r>
          </w:p>
        </w:tc>
        <w:tc>
          <w:tcPr>
            <w:tcW w:w="3641"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5A6DA36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知识库贡献、培训授课</w:t>
            </w:r>
          </w:p>
        </w:tc>
        <w:tc>
          <w:tcPr>
            <w:tcW w:w="2662"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7D29231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知识库记录、培训记录</w:t>
            </w:r>
          </w:p>
        </w:tc>
      </w:tr>
    </w:tbl>
    <w:p w14:paraId="00E89985">
      <w:pPr>
        <w:pStyle w:val="32"/>
        <w:keepNext/>
        <w:keepLines w:val="0"/>
        <w:pageBreakBefore w:val="0"/>
        <w:widowControl w:val="0"/>
        <w:kinsoku w:val="0"/>
        <w:wordWrap/>
        <w:overflowPunct/>
        <w:topLinePunct w:val="0"/>
        <w:autoSpaceDE w:val="0"/>
        <w:autoSpaceDN w:val="0"/>
        <w:bidi w:val="0"/>
        <w:adjustRightInd w:val="0"/>
        <w:snapToGrid w:val="0"/>
        <w:ind w:left="0" w:leftChars="0" w:firstLine="0" w:firstLineChars="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10</w:t>
      </w:r>
      <w:r>
        <w:rPr>
          <w:rFonts w:hint="eastAsia"/>
          <w:lang w:val="en-US" w:eastAsia="zh-CN"/>
        </w:rPr>
        <w:fldChar w:fldCharType="end"/>
      </w:r>
      <w:bookmarkStart w:id="28" w:name="_Toc16703"/>
      <w:r>
        <w:rPr>
          <w:rFonts w:hint="eastAsia"/>
          <w:lang w:val="en-US" w:eastAsia="zh-CN"/>
        </w:rPr>
        <w:t xml:space="preserve"> 2025年度人员技能评定结果应用表</w:t>
      </w:r>
      <w:bookmarkEnd w:id="28"/>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81"/>
        <w:gridCol w:w="6241"/>
      </w:tblGrid>
      <w:tr w14:paraId="5E452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2281"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6E69B282">
            <w:pPr>
              <w:keepNext/>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应用方向</w:t>
            </w:r>
          </w:p>
        </w:tc>
        <w:tc>
          <w:tcPr>
            <w:tcW w:w="6241"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0698D4F2">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具体方式</w:t>
            </w:r>
          </w:p>
        </w:tc>
      </w:tr>
      <w:tr w14:paraId="53D5C6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28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7569BD1D">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岗位任职资格</w:t>
            </w:r>
          </w:p>
        </w:tc>
        <w:tc>
          <w:tcPr>
            <w:tcW w:w="624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72D0136">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A/B级可担任关键岗位，C/D级需持续提升</w:t>
            </w:r>
          </w:p>
        </w:tc>
      </w:tr>
      <w:tr w14:paraId="13E1F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28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C471B9D">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绩效奖金调节</w:t>
            </w:r>
          </w:p>
        </w:tc>
        <w:tc>
          <w:tcPr>
            <w:tcW w:w="624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616510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技能等级与绩效奖金系数挂钩</w:t>
            </w:r>
          </w:p>
        </w:tc>
      </w:tr>
      <w:tr w14:paraId="632A1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28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00BBEC5">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培训需求识别</w:t>
            </w:r>
          </w:p>
        </w:tc>
        <w:tc>
          <w:tcPr>
            <w:tcW w:w="624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BE6ACC1">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D级人员需参加专项培训</w:t>
            </w:r>
          </w:p>
        </w:tc>
      </w:tr>
      <w:tr w14:paraId="335612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281"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70276B3A">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备份人员选拔</w:t>
            </w:r>
          </w:p>
        </w:tc>
        <w:tc>
          <w:tcPr>
            <w:tcW w:w="6241"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0AFF11B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A/B级人员优先作为关键岗位备份</w:t>
            </w:r>
          </w:p>
        </w:tc>
      </w:tr>
    </w:tbl>
    <w:p w14:paraId="40207DD3">
      <w:pPr>
        <w:pStyle w:val="32"/>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技能评价覆盖率是反映员工技能评定工作覆盖广度的量化指标，其计算公式为：技能评价覆盖率 = (实际参加技能评价的员工数 / 应参加技能评价员工总数) × 100%。目标值为 100%，按半年度进行考核（每年6月、12月），责任部门为</w:t>
      </w:r>
      <w:r>
        <w:rPr>
          <w:rFonts w:hint="eastAsia" w:ascii="Segoe UI" w:hAnsi="Segoe UI" w:eastAsia="Segoe UI" w:cs="Segoe UI"/>
          <w:i w:val="0"/>
          <w:iCs w:val="0"/>
          <w:caps w:val="0"/>
          <w:color w:val="0F1115"/>
          <w:spacing w:val="0"/>
          <w:sz w:val="24"/>
          <w:szCs w:val="24"/>
          <w:shd w:val="clear" w:color="auto" w:fill="FFFFFF"/>
          <w:lang w:val="en-US" w:eastAsia="zh-CN"/>
        </w:rPr>
        <w:t>综合部</w:t>
      </w:r>
      <w:r>
        <w:rPr>
          <w:rFonts w:hint="default" w:ascii="Segoe UI" w:hAnsi="Segoe UI" w:eastAsia="Segoe UI" w:cs="Segoe UI"/>
          <w:i w:val="0"/>
          <w:iCs w:val="0"/>
          <w:caps w:val="0"/>
          <w:color w:val="0F1115"/>
          <w:spacing w:val="0"/>
          <w:sz w:val="24"/>
          <w:szCs w:val="24"/>
          <w:shd w:val="clear" w:color="auto" w:fill="FFFFFF"/>
          <w:lang w:val="en-US" w:eastAsia="zh-CN"/>
        </w:rPr>
        <w:t>。新员工入职技能评定、晋升技能评定另行统计，不计入半年度覆盖率考核。</w:t>
      </w:r>
    </w:p>
    <w:p w14:paraId="5890AF84">
      <w:pPr>
        <w:pStyle w:val="33"/>
        <w:bidi w:val="0"/>
        <w:rPr>
          <w:rFonts w:hint="default"/>
          <w:lang w:val="en-US" w:eastAsia="zh-CN"/>
        </w:rPr>
      </w:pPr>
      <w:bookmarkStart w:id="29" w:name="_Toc15625"/>
      <w:r>
        <w:rPr>
          <w:rFonts w:hint="eastAsia"/>
          <w:lang w:val="en-US" w:eastAsia="zh-CN"/>
        </w:rPr>
        <w:t>资源管理规划</w:t>
      </w:r>
      <w:bookmarkEnd w:id="29"/>
    </w:p>
    <w:p w14:paraId="3BE3B7FF">
      <w:pPr>
        <w:pStyle w:val="32"/>
        <w:rPr>
          <w:rFonts w:hint="default"/>
          <w:lang w:val="en-US" w:eastAsia="zh-CN"/>
        </w:rPr>
      </w:pPr>
      <w:r>
        <w:rPr>
          <w:rFonts w:hint="default"/>
          <w:lang w:val="en-US" w:eastAsia="zh-CN"/>
        </w:rPr>
        <w:t>为确保运维服务能力的持续提升，2025年公司将从运维工具、服务知识、服务台、备件库、最终软件库、服务数据六个方面加强资源管理，为运维服务提供坚实的资源保障。</w:t>
      </w:r>
    </w:p>
    <w:p w14:paraId="31BF3A47">
      <w:pPr>
        <w:pStyle w:val="34"/>
        <w:bidi w:val="0"/>
        <w:rPr>
          <w:rFonts w:hint="default"/>
          <w:lang w:val="en-US" w:eastAsia="zh-CN"/>
        </w:rPr>
      </w:pPr>
      <w:bookmarkStart w:id="30" w:name="_Toc12131"/>
      <w:r>
        <w:rPr>
          <w:rFonts w:hint="default"/>
          <w:lang w:val="en-US" w:eastAsia="zh-CN"/>
        </w:rPr>
        <w:t>运维工具管理</w:t>
      </w:r>
      <w:bookmarkEnd w:id="30"/>
    </w:p>
    <w:p w14:paraId="7AED7BA2">
      <w:pPr>
        <w:pStyle w:val="32"/>
        <w:rPr>
          <w:rFonts w:hint="default"/>
          <w:lang w:val="en-US" w:eastAsia="zh-CN"/>
        </w:rPr>
      </w:pPr>
      <w:r>
        <w:rPr>
          <w:rFonts w:hint="default"/>
          <w:lang w:val="en-US" w:eastAsia="zh-CN"/>
        </w:rPr>
        <w:t>根据《运维服务工具管理制度》，公司目前使用的运维工具主要包括iTop运维管理平台和</w:t>
      </w:r>
      <w:r>
        <w:rPr>
          <w:rFonts w:hint="eastAsia"/>
          <w:lang w:val="en-US" w:eastAsia="zh-CN"/>
        </w:rPr>
        <w:t>华风数据</w:t>
      </w:r>
      <w:r>
        <w:rPr>
          <w:rFonts w:hint="default"/>
          <w:lang w:val="en-US" w:eastAsia="zh-CN"/>
        </w:rPr>
        <w:t>运维监控平台。iTop平台集成了服务台、事件管理、问题管理、变更管理、配置管理、服务知识等功能模块，实现了运维流程的数字化管理；</w:t>
      </w:r>
      <w:r>
        <w:rPr>
          <w:rFonts w:hint="eastAsia"/>
          <w:lang w:val="en-US" w:eastAsia="zh-CN"/>
        </w:rPr>
        <w:t>华风数据</w:t>
      </w:r>
      <w:r>
        <w:rPr>
          <w:rFonts w:hint="default"/>
          <w:lang w:val="en-US" w:eastAsia="zh-CN"/>
        </w:rPr>
        <w:t>运维监控平台实现了对服务器、网络设备、数据库、应用性能等的全面监控。</w:t>
      </w:r>
    </w:p>
    <w:p w14:paraId="4580D7D7">
      <w:pPr>
        <w:pStyle w:val="32"/>
        <w:rPr>
          <w:rFonts w:hint="default"/>
          <w:lang w:val="en-US" w:eastAsia="zh-CN"/>
        </w:rPr>
      </w:pPr>
      <w:r>
        <w:rPr>
          <w:rFonts w:hint="default"/>
          <w:lang w:val="en-US" w:eastAsia="zh-CN"/>
        </w:rPr>
        <w:t>2025年运维工具管理的主要工作包括：研发部负责根据运维业务需求，持续优化监控平台功能，2025年重点完成数据库监控模块的研发，实现对MySQL、Redis等数据库的全面监控及慢SQL分析功能；运维部经理每年度组织一次运维工具使用效果评估，形成《运维工具</w:t>
      </w:r>
      <w:r>
        <w:rPr>
          <w:rFonts w:hint="eastAsia"/>
          <w:lang w:val="en-US" w:eastAsia="zh-CN"/>
        </w:rPr>
        <w:t>自评估</w:t>
      </w:r>
      <w:r>
        <w:rPr>
          <w:rFonts w:hint="default"/>
          <w:lang w:val="en-US" w:eastAsia="zh-CN"/>
        </w:rPr>
        <w:t>报告》，从工具覆盖度、使用效率、用户满意度等方面进行评估，识别改进点并推动优化；研发部负责编制和维护运维工具操作手册，确保操作人员熟练掌握工具使用方法，新工具上线或版本升级时，及时组织使用培训；通过工具使用数据的统计分析，评估工具对运维效率的实际提升效果，为工具优化和选型提供数据支撑。</w:t>
      </w:r>
    </w:p>
    <w:p w14:paraId="3FDC3D70">
      <w:pPr>
        <w:pStyle w:val="32"/>
        <w:rPr>
          <w:rFonts w:hint="default"/>
          <w:lang w:val="en-US" w:eastAsia="zh-CN"/>
        </w:rPr>
      </w:pPr>
      <w:r>
        <w:rPr>
          <w:rFonts w:hint="default"/>
          <w:lang w:val="en-US" w:eastAsia="zh-CN"/>
        </w:rPr>
        <w:t>KPI指标：运维工具评审次数</w:t>
      </w:r>
    </w:p>
    <w:p w14:paraId="51D28EC8">
      <w:pPr>
        <w:pStyle w:val="32"/>
        <w:rPr>
          <w:rFonts w:hint="default"/>
          <w:lang w:val="en-US" w:eastAsia="zh-CN"/>
        </w:rPr>
      </w:pPr>
      <w:r>
        <w:rPr>
          <w:rFonts w:hint="default"/>
          <w:lang w:val="en-US" w:eastAsia="zh-CN"/>
        </w:rPr>
        <w:t>运维工具评审次数是反映运维工具使用效果定期评估执行情况的量化指标。</w:t>
      </w:r>
      <w:r>
        <w:rPr>
          <w:rFonts w:hint="eastAsia"/>
          <w:lang w:val="en-US" w:eastAsia="zh-CN"/>
        </w:rPr>
        <w:t>计算方式为：</w:t>
      </w:r>
      <w:r>
        <w:t>对运维工具使用效果的评审次数</w:t>
      </w:r>
      <w:r>
        <w:rPr>
          <w:rFonts w:hint="eastAsia"/>
          <w:lang w:eastAsia="zh-CN"/>
        </w:rPr>
        <w:t>。</w:t>
      </w:r>
      <w:r>
        <w:rPr>
          <w:rFonts w:hint="default"/>
          <w:lang w:val="en-US" w:eastAsia="zh-CN"/>
        </w:rPr>
        <w:t>目标值为 ≥ 1次，按年度进行考核，责任部门为运维部。</w:t>
      </w:r>
    </w:p>
    <w:p w14:paraId="23B284DA">
      <w:pPr>
        <w:pStyle w:val="34"/>
        <w:bidi w:val="0"/>
        <w:rPr>
          <w:rFonts w:hint="default"/>
          <w:lang w:val="en-US" w:eastAsia="zh-CN"/>
        </w:rPr>
      </w:pPr>
      <w:bookmarkStart w:id="31" w:name="_Toc24438"/>
      <w:r>
        <w:rPr>
          <w:rFonts w:hint="default"/>
          <w:lang w:val="en-US" w:eastAsia="zh-CN"/>
        </w:rPr>
        <w:t>服务知识管理</w:t>
      </w:r>
      <w:bookmarkEnd w:id="31"/>
    </w:p>
    <w:p w14:paraId="59BDD070">
      <w:pPr>
        <w:pStyle w:val="32"/>
        <w:rPr>
          <w:rFonts w:hint="default"/>
          <w:lang w:val="en-US" w:eastAsia="zh-CN"/>
        </w:rPr>
      </w:pPr>
      <w:r>
        <w:rPr>
          <w:rFonts w:hint="default"/>
          <w:lang w:val="en-US" w:eastAsia="zh-CN"/>
        </w:rPr>
        <w:t>根据《运维服务服务知识管理制度》，公司服务知识由运维部主导管理，负责知识入库审批、知识质量监督与权限管理。</w:t>
      </w:r>
    </w:p>
    <w:p w14:paraId="1221EBC3">
      <w:pPr>
        <w:pStyle w:val="32"/>
        <w:rPr>
          <w:rFonts w:hint="default"/>
          <w:lang w:val="en-US" w:eastAsia="zh-CN"/>
        </w:rPr>
      </w:pPr>
      <w:r>
        <w:rPr>
          <w:rFonts w:hint="default"/>
          <w:lang w:val="en-US" w:eastAsia="zh-CN"/>
        </w:rPr>
        <w:t>2025年服务知识管理的主要工作包括：建立知识的全生命周期管理机制，严格执行知识提交、审批、发布、更新、删除的标准化流程；将事件处理、问题分析中的典型解决方案录入服务知识库，形成“事件→问题→知识”的闭环管理，服务台在处理事件时可快速检索知识库，提高一线解决率；按照服务知识管理制度的激励措施，对积极贡献知识的员工给予积分奖励和年度评优倾斜，鼓励员工主动沉淀经验、分享知识；每年度组织一次服务知识使用培训，提高运维人员对知识库的使用熟练度，确保知识库得到充分利用。</w:t>
      </w:r>
    </w:p>
    <w:p w14:paraId="429349B9">
      <w:pPr>
        <w:pStyle w:val="32"/>
        <w:rPr>
          <w:rFonts w:hint="default"/>
          <w:lang w:val="en-US" w:eastAsia="zh-CN"/>
        </w:rPr>
      </w:pPr>
      <w:r>
        <w:rPr>
          <w:rFonts w:hint="default"/>
          <w:lang w:val="en-US" w:eastAsia="zh-CN"/>
        </w:rPr>
        <w:t>KPI指标：</w:t>
      </w:r>
    </w:p>
    <w:p w14:paraId="6F839CB3">
      <w:pPr>
        <w:pStyle w:val="32"/>
        <w:numPr>
          <w:ilvl w:val="0"/>
          <w:numId w:val="3"/>
        </w:numPr>
        <w:ind w:left="425" w:leftChars="0" w:hanging="425" w:firstLineChars="0"/>
        <w:rPr>
          <w:rFonts w:hint="default"/>
          <w:lang w:val="en-US" w:eastAsia="zh-CN"/>
        </w:rPr>
      </w:pPr>
      <w:r>
        <w:rPr>
          <w:rFonts w:hint="default"/>
          <w:lang w:val="en-US" w:eastAsia="zh-CN"/>
        </w:rPr>
        <w:t>新增知识条目</w:t>
      </w:r>
    </w:p>
    <w:p w14:paraId="15D0C2F7">
      <w:pPr>
        <w:pStyle w:val="32"/>
        <w:rPr>
          <w:rFonts w:hint="default"/>
          <w:lang w:val="en-US" w:eastAsia="zh-CN"/>
        </w:rPr>
      </w:pPr>
      <w:r>
        <w:rPr>
          <w:rFonts w:hint="default"/>
          <w:lang w:val="en-US" w:eastAsia="zh-CN"/>
        </w:rPr>
        <w:t>新增知识条目是反映知识库内容更新和积累情况的量化指标。</w:t>
      </w:r>
      <w:r>
        <w:rPr>
          <w:rFonts w:hint="eastAsia"/>
          <w:lang w:val="en-US" w:eastAsia="zh-CN"/>
        </w:rPr>
        <w:t>计算方式为：</w:t>
      </w:r>
      <w:r>
        <w:rPr>
          <w:rFonts w:hint="default"/>
          <w:lang w:val="en-US" w:eastAsia="zh-CN"/>
        </w:rPr>
        <w:t>每月度知识库中新增有效知识条目数</w:t>
      </w:r>
      <w:r>
        <w:rPr>
          <w:rFonts w:hint="eastAsia"/>
          <w:lang w:val="en-US" w:eastAsia="zh-CN"/>
        </w:rPr>
        <w:t>。</w:t>
      </w:r>
      <w:r>
        <w:rPr>
          <w:rFonts w:hint="default"/>
          <w:lang w:val="en-US" w:eastAsia="zh-CN"/>
        </w:rPr>
        <w:t>目标值为 ≥ 5条，按月度进行考核，责任部门为运维部，。</w:t>
      </w:r>
    </w:p>
    <w:p w14:paraId="6964D783">
      <w:pPr>
        <w:pStyle w:val="32"/>
        <w:numPr>
          <w:ilvl w:val="0"/>
          <w:numId w:val="3"/>
        </w:numPr>
        <w:ind w:left="425" w:leftChars="0" w:hanging="425" w:firstLineChars="0"/>
        <w:rPr>
          <w:rFonts w:hint="default"/>
          <w:lang w:val="en-US" w:eastAsia="zh-CN"/>
        </w:rPr>
      </w:pPr>
      <w:r>
        <w:rPr>
          <w:rFonts w:hint="default"/>
          <w:lang w:val="en-US" w:eastAsia="zh-CN"/>
        </w:rPr>
        <w:t>服务知识使用率</w:t>
      </w:r>
    </w:p>
    <w:p w14:paraId="4E101764">
      <w:pPr>
        <w:pStyle w:val="32"/>
        <w:rPr>
          <w:rFonts w:hint="default"/>
          <w:lang w:val="en-US" w:eastAsia="zh-CN"/>
        </w:rPr>
      </w:pPr>
      <w:r>
        <w:rPr>
          <w:rFonts w:hint="default"/>
          <w:lang w:val="en-US" w:eastAsia="zh-CN"/>
        </w:rPr>
        <w:t>服务知识使用率是反映知识库被运维人员使用频率的量化指标，其计算公式为：服务知识使用率 = (使用</w:t>
      </w:r>
      <w:r>
        <w:rPr>
          <w:rFonts w:hint="eastAsia"/>
          <w:lang w:val="en-US" w:eastAsia="zh-CN"/>
        </w:rPr>
        <w:t>人数</w:t>
      </w:r>
      <w:r>
        <w:rPr>
          <w:rFonts w:hint="default"/>
          <w:lang w:val="en-US" w:eastAsia="zh-CN"/>
        </w:rPr>
        <w:t xml:space="preserve"> / 应</w:t>
      </w:r>
      <w:r>
        <w:rPr>
          <w:rFonts w:hint="eastAsia"/>
          <w:lang w:val="en-US" w:eastAsia="zh-CN"/>
        </w:rPr>
        <w:t>使用人数</w:t>
      </w:r>
      <w:r>
        <w:rPr>
          <w:rFonts w:hint="default"/>
          <w:lang w:val="en-US" w:eastAsia="zh-CN"/>
        </w:rPr>
        <w:t>) × 100%。目标值为 ≥ 80%，按季度进行考核，责任部门为运维部。</w:t>
      </w:r>
    </w:p>
    <w:p w14:paraId="1F8624D4">
      <w:pPr>
        <w:pStyle w:val="32"/>
        <w:numPr>
          <w:ilvl w:val="0"/>
          <w:numId w:val="3"/>
        </w:numPr>
        <w:ind w:left="425" w:leftChars="0" w:hanging="425" w:firstLineChars="0"/>
        <w:rPr>
          <w:rFonts w:hint="default"/>
          <w:lang w:val="en-US" w:eastAsia="zh-CN"/>
        </w:rPr>
      </w:pPr>
      <w:r>
        <w:rPr>
          <w:rFonts w:hint="default"/>
          <w:lang w:val="en-US" w:eastAsia="zh-CN"/>
        </w:rPr>
        <w:t>知识采纳率</w:t>
      </w:r>
    </w:p>
    <w:p w14:paraId="51379D53">
      <w:pPr>
        <w:pStyle w:val="32"/>
        <w:rPr>
          <w:rFonts w:hint="default"/>
          <w:lang w:val="en-US" w:eastAsia="zh-CN"/>
        </w:rPr>
      </w:pPr>
      <w:r>
        <w:rPr>
          <w:rFonts w:hint="default"/>
          <w:lang w:val="en-US" w:eastAsia="zh-CN"/>
        </w:rPr>
        <w:t>知识采纳率是反映知识库内容质量和实用性的量化指标，其计算公式为：知识采纳率 = (采纳知识数 / 提交知识数) × 100%。目标值为 ≥ 70%，按季度进行考核，责任部门为运维部。</w:t>
      </w:r>
    </w:p>
    <w:p w14:paraId="757F29AC">
      <w:pPr>
        <w:pStyle w:val="34"/>
        <w:bidi w:val="0"/>
        <w:rPr>
          <w:rFonts w:hint="default"/>
          <w:lang w:val="en-US" w:eastAsia="zh-CN"/>
        </w:rPr>
      </w:pPr>
      <w:bookmarkStart w:id="32" w:name="_Toc23500"/>
      <w:r>
        <w:rPr>
          <w:rFonts w:hint="default"/>
          <w:lang w:val="en-US" w:eastAsia="zh-CN"/>
        </w:rPr>
        <w:t>服务台管理</w:t>
      </w:r>
      <w:bookmarkEnd w:id="32"/>
    </w:p>
    <w:p w14:paraId="787D86F4">
      <w:pPr>
        <w:pStyle w:val="32"/>
        <w:rPr>
          <w:rFonts w:hint="default"/>
          <w:lang w:val="en-US" w:eastAsia="zh-CN"/>
        </w:rPr>
      </w:pPr>
      <w:r>
        <w:rPr>
          <w:rFonts w:hint="default"/>
          <w:lang w:val="en-US" w:eastAsia="zh-CN"/>
        </w:rPr>
        <w:t>根据《运维服务服务台管理制度》，服务台是公司运维服务的统一入口，设立统一服务热线，提供7×24小时不间断服务。</w:t>
      </w:r>
    </w:p>
    <w:p w14:paraId="53BBD731">
      <w:pPr>
        <w:pStyle w:val="32"/>
        <w:rPr>
          <w:rFonts w:hint="default"/>
          <w:lang w:val="en-US" w:eastAsia="zh-CN"/>
        </w:rPr>
      </w:pPr>
      <w:r>
        <w:rPr>
          <w:rFonts w:hint="default"/>
          <w:lang w:val="en-US" w:eastAsia="zh-CN"/>
        </w:rPr>
        <w:t>2025年服务台管理的主要工作包括：所有客户服务请求、故障报修、咨询投诉均通过服务台统一受理，杜绝客户直接联系现场工程师的情况，确保服务过程可记录、可追溯；严格按照“报障受理→分析判断→解决事件→工单关闭→录入服务知识→客户回访”的标准化流程执行，确保每个事件从受理到关闭的全过程闭环管理；每年度组织服务台专项培训，提升服务台人员的沟通技巧和问题判断能力；运维部经理定期填写《服务台服务质量考核表》，从响应及时性、服务态度、交付物质量三个维度进行考核，考核结果计入个人绩效；每月统计服务台请求关闭率、接通率、客户满意度等关键指标，分析服务台运行情况，发现异常及时改进。</w:t>
      </w:r>
    </w:p>
    <w:p w14:paraId="41F7E3E2">
      <w:pPr>
        <w:pStyle w:val="32"/>
        <w:rPr>
          <w:rFonts w:hint="default"/>
          <w:lang w:val="en-US" w:eastAsia="zh-CN"/>
        </w:rPr>
      </w:pPr>
      <w:r>
        <w:rPr>
          <w:rFonts w:hint="default"/>
          <w:lang w:val="en-US" w:eastAsia="zh-CN"/>
        </w:rPr>
        <w:t>KPI指标</w:t>
      </w:r>
      <w:r>
        <w:rPr>
          <w:rFonts w:hint="eastAsia"/>
          <w:lang w:val="en-US" w:eastAsia="zh-CN"/>
        </w:rPr>
        <w:t>：</w:t>
      </w:r>
    </w:p>
    <w:p w14:paraId="28AE11F4">
      <w:pPr>
        <w:pStyle w:val="32"/>
        <w:numPr>
          <w:ilvl w:val="0"/>
          <w:numId w:val="4"/>
        </w:numPr>
        <w:ind w:left="425" w:leftChars="0" w:hanging="425" w:firstLineChars="0"/>
        <w:rPr>
          <w:rFonts w:hint="default"/>
          <w:lang w:val="en-US" w:eastAsia="zh-CN"/>
        </w:rPr>
      </w:pPr>
      <w:r>
        <w:rPr>
          <w:rFonts w:hint="default"/>
          <w:lang w:val="en-US" w:eastAsia="zh-CN"/>
        </w:rPr>
        <w:t>服务台请求关闭率</w:t>
      </w:r>
    </w:p>
    <w:p w14:paraId="482F3A70">
      <w:pPr>
        <w:pStyle w:val="32"/>
        <w:rPr>
          <w:rFonts w:hint="default"/>
          <w:lang w:val="en-US" w:eastAsia="zh-CN"/>
        </w:rPr>
      </w:pPr>
      <w:r>
        <w:rPr>
          <w:rFonts w:hint="default"/>
          <w:lang w:val="en-US" w:eastAsia="zh-CN"/>
        </w:rPr>
        <w:t>服务台请求关闭率是反映服务台事件处理能力的量化指标，其计算公式为：服务台请求关闭率 = (服务台请求关闭数量 / 服务记录服务请求数量) × 100%。目标值为 ≥ 95%，按月度进行考核，责任部门为运维部。</w:t>
      </w:r>
    </w:p>
    <w:p w14:paraId="532E9A02">
      <w:pPr>
        <w:pStyle w:val="32"/>
        <w:numPr>
          <w:ilvl w:val="0"/>
          <w:numId w:val="4"/>
        </w:numPr>
        <w:ind w:left="425" w:leftChars="0" w:hanging="425" w:firstLineChars="0"/>
        <w:rPr>
          <w:rFonts w:hint="default"/>
          <w:lang w:val="en-US" w:eastAsia="zh-CN"/>
        </w:rPr>
      </w:pPr>
      <w:r>
        <w:rPr>
          <w:rFonts w:hint="default"/>
          <w:lang w:val="en-US" w:eastAsia="zh-CN"/>
        </w:rPr>
        <w:t>服务台接通率</w:t>
      </w:r>
    </w:p>
    <w:p w14:paraId="5027F044">
      <w:pPr>
        <w:pStyle w:val="32"/>
        <w:rPr>
          <w:rFonts w:hint="default"/>
          <w:lang w:val="en-US" w:eastAsia="zh-CN"/>
        </w:rPr>
      </w:pPr>
      <w:r>
        <w:rPr>
          <w:rFonts w:hint="default"/>
          <w:lang w:val="en-US" w:eastAsia="zh-CN"/>
        </w:rPr>
        <w:t>服务台接通率是反映服务台电话服务可用性的量化指标，其计算公式为：服务台接通率 = (接通电话数 / 总来电数) × 100%。目标值为 ≥ 98%，按月度进行考核，责任部门为运维部。</w:t>
      </w:r>
    </w:p>
    <w:p w14:paraId="0BAE560E">
      <w:pPr>
        <w:pStyle w:val="34"/>
        <w:bidi w:val="0"/>
        <w:rPr>
          <w:rFonts w:hint="default"/>
          <w:lang w:val="en-US" w:eastAsia="zh-CN"/>
        </w:rPr>
      </w:pPr>
      <w:bookmarkStart w:id="33" w:name="_Toc6983"/>
      <w:r>
        <w:rPr>
          <w:rFonts w:hint="default"/>
          <w:lang w:val="en-US" w:eastAsia="zh-CN"/>
        </w:rPr>
        <w:t>备件库管理</w:t>
      </w:r>
      <w:bookmarkEnd w:id="33"/>
    </w:p>
    <w:p w14:paraId="6251167D">
      <w:pPr>
        <w:pStyle w:val="32"/>
        <w:rPr>
          <w:rFonts w:hint="default"/>
          <w:lang w:val="en-US" w:eastAsia="zh-CN"/>
        </w:rPr>
      </w:pPr>
      <w:r>
        <w:rPr>
          <w:rFonts w:hint="default"/>
          <w:lang w:val="en-US" w:eastAsia="zh-CN"/>
        </w:rPr>
        <w:t>根据《运维服务备件库管理制度》，公司备件库由</w:t>
      </w:r>
      <w:r>
        <w:rPr>
          <w:rFonts w:hint="eastAsia"/>
          <w:lang w:val="en-US" w:eastAsia="zh-CN"/>
        </w:rPr>
        <w:t>备件库</w:t>
      </w:r>
      <w:r>
        <w:rPr>
          <w:rFonts w:hint="default"/>
          <w:lang w:val="en-US" w:eastAsia="zh-CN"/>
        </w:rPr>
        <w:t>负责管理，遵循“统一管理、集中调配”的原则。</w:t>
      </w:r>
    </w:p>
    <w:p w14:paraId="2A27D71A">
      <w:pPr>
        <w:pStyle w:val="32"/>
        <w:rPr>
          <w:rFonts w:hint="default"/>
          <w:lang w:val="en-US" w:eastAsia="zh-CN"/>
        </w:rPr>
      </w:pPr>
      <w:r>
        <w:rPr>
          <w:rFonts w:hint="default"/>
          <w:lang w:val="en-US" w:eastAsia="zh-CN"/>
        </w:rPr>
        <w:t>2025年备件库管理的主要工作包括：根据运维服务目录和SLA要求，制定备件储备规划，明确关键备件的安全库存数量，对于常用备件建立最低库存预警机制，低于安全库存时及时补库；所有备件入库前均需经过验收和功能性测试，确保备件质量合格，出库需凭审批单办理，确保账实相符，备件库专员每月对库存进行盘点，确保库存准确率；每月对库存备件按30%比例进行抽检，确保备件性能符合要求，对检测中发现问题的备件，及时送修或报废处理；根据SLA要求建立备件响应分级机制，确保在故障发生时能够快速调配备件。</w:t>
      </w:r>
    </w:p>
    <w:p w14:paraId="5FB6B21B">
      <w:pPr>
        <w:pStyle w:val="32"/>
        <w:rPr>
          <w:rFonts w:hint="default"/>
          <w:lang w:val="en-US" w:eastAsia="zh-CN"/>
        </w:rPr>
      </w:pPr>
      <w:r>
        <w:rPr>
          <w:rFonts w:hint="default"/>
          <w:lang w:val="en-US" w:eastAsia="zh-CN"/>
        </w:rPr>
        <w:t>KPI指标：</w:t>
      </w:r>
    </w:p>
    <w:p w14:paraId="58C3AE54">
      <w:pPr>
        <w:pStyle w:val="32"/>
        <w:numPr>
          <w:ilvl w:val="0"/>
          <w:numId w:val="5"/>
        </w:numPr>
        <w:ind w:left="425" w:leftChars="0" w:hanging="425" w:firstLineChars="0"/>
        <w:rPr>
          <w:rFonts w:hint="default"/>
          <w:lang w:val="en-US" w:eastAsia="zh-CN"/>
        </w:rPr>
      </w:pPr>
      <w:r>
        <w:rPr>
          <w:rFonts w:hint="default"/>
          <w:lang w:val="en-US" w:eastAsia="zh-CN"/>
        </w:rPr>
        <w:t>备件可用率</w:t>
      </w:r>
    </w:p>
    <w:p w14:paraId="0EE4FAF1">
      <w:pPr>
        <w:pStyle w:val="32"/>
        <w:rPr>
          <w:rFonts w:hint="default"/>
          <w:lang w:val="en-US" w:eastAsia="zh-CN"/>
        </w:rPr>
      </w:pPr>
      <w:r>
        <w:rPr>
          <w:rFonts w:hint="default"/>
          <w:lang w:val="en-US" w:eastAsia="zh-CN"/>
        </w:rPr>
        <w:t>备件可用率是反映库存备件质量状况的量化指标，其计算公式为：备件可用率 = (合格可用备件数量 / 总数量) × 100%。目标值为 ≥ 95%，按季度进行考核，责任部门为</w:t>
      </w:r>
      <w:r>
        <w:rPr>
          <w:rFonts w:hint="eastAsia"/>
          <w:lang w:val="en-US" w:eastAsia="zh-CN"/>
        </w:rPr>
        <w:t>运维部</w:t>
      </w:r>
      <w:r>
        <w:rPr>
          <w:rFonts w:hint="default"/>
          <w:lang w:val="en-US" w:eastAsia="zh-CN"/>
        </w:rPr>
        <w:t>。</w:t>
      </w:r>
    </w:p>
    <w:p w14:paraId="29060251">
      <w:pPr>
        <w:pStyle w:val="32"/>
        <w:numPr>
          <w:ilvl w:val="0"/>
          <w:numId w:val="5"/>
        </w:numPr>
        <w:ind w:left="425" w:leftChars="0" w:hanging="425" w:firstLineChars="0"/>
        <w:rPr>
          <w:rFonts w:hint="default"/>
          <w:lang w:val="en-US" w:eastAsia="zh-CN"/>
        </w:rPr>
      </w:pPr>
      <w:r>
        <w:rPr>
          <w:rFonts w:hint="default"/>
          <w:lang w:val="en-US" w:eastAsia="zh-CN"/>
        </w:rPr>
        <w:t>备件库存准确率</w:t>
      </w:r>
    </w:p>
    <w:p w14:paraId="08E0A58E">
      <w:pPr>
        <w:pStyle w:val="32"/>
        <w:rPr>
          <w:rFonts w:hint="default"/>
          <w:lang w:val="en-US" w:eastAsia="zh-CN"/>
        </w:rPr>
      </w:pPr>
      <w:r>
        <w:rPr>
          <w:rFonts w:hint="default"/>
          <w:lang w:val="en-US" w:eastAsia="zh-CN"/>
        </w:rPr>
        <w:t>备件库存准确率是反映备件库存账实一致性的量化指标，其计算公式为：备件库存准确率 = (账实相符数量 / 盘点数量) × 100%。目标值为 100%，按月度进行考核，责任部门为</w:t>
      </w:r>
      <w:r>
        <w:rPr>
          <w:rFonts w:hint="eastAsia"/>
          <w:lang w:val="en-US" w:eastAsia="zh-CN"/>
        </w:rPr>
        <w:t>运维部</w:t>
      </w:r>
      <w:r>
        <w:rPr>
          <w:rFonts w:hint="default"/>
          <w:lang w:val="en-US" w:eastAsia="zh-CN"/>
        </w:rPr>
        <w:t>。</w:t>
      </w:r>
    </w:p>
    <w:p w14:paraId="1975759D">
      <w:pPr>
        <w:pStyle w:val="34"/>
        <w:bidi w:val="0"/>
        <w:rPr>
          <w:rFonts w:hint="default"/>
          <w:lang w:val="en-US" w:eastAsia="zh-CN"/>
        </w:rPr>
      </w:pPr>
      <w:bookmarkStart w:id="34" w:name="_Toc28879"/>
      <w:r>
        <w:rPr>
          <w:rFonts w:hint="default"/>
          <w:lang w:val="en-US" w:eastAsia="zh-CN"/>
        </w:rPr>
        <w:t>最终软件库管理</w:t>
      </w:r>
      <w:bookmarkEnd w:id="34"/>
    </w:p>
    <w:p w14:paraId="7CE770C6">
      <w:pPr>
        <w:pStyle w:val="32"/>
        <w:rPr>
          <w:rFonts w:hint="default"/>
          <w:lang w:val="en-US" w:eastAsia="zh-CN"/>
        </w:rPr>
      </w:pPr>
      <w:r>
        <w:rPr>
          <w:rFonts w:hint="default"/>
          <w:lang w:val="en-US" w:eastAsia="zh-CN"/>
        </w:rPr>
        <w:t>根据《运维服务最终软件库管理制度》，公司软件库由研发部负责管理，对运维过程中使用的各类软件进行统一存储、版本管理和授权管控。</w:t>
      </w:r>
    </w:p>
    <w:p w14:paraId="640D5C59">
      <w:pPr>
        <w:pStyle w:val="32"/>
        <w:rPr>
          <w:rFonts w:hint="default"/>
          <w:lang w:val="en-US" w:eastAsia="zh-CN"/>
        </w:rPr>
      </w:pPr>
      <w:r>
        <w:rPr>
          <w:rFonts w:hint="default"/>
          <w:lang w:val="en-US" w:eastAsia="zh-CN"/>
        </w:rPr>
        <w:t>2025年最终软件库管理的主要工作包括：所有软件入库前需经过安全检测和完整性验证，确保软件来源可靠、内容完整，软件安装包、授权文件、技术文档统一归档存放；建立软件版本基线，对正式版本、测试版本进行分类管理，版本更新需经过测试验证后方可入库，确保生产环境使用的软件版本与软件库保持一致；所有商业软件授权在软件库中统一登记，按照授权数量和使用范围进行管控，每季度对授权使用情况进行审计，确保软件使用合规；每月对软件库进行盘点，核对软件资产清单，确保软件入库完整率达标。</w:t>
      </w:r>
    </w:p>
    <w:p w14:paraId="0E944CF2">
      <w:pPr>
        <w:pStyle w:val="32"/>
        <w:rPr>
          <w:rFonts w:hint="default"/>
          <w:lang w:val="en-US" w:eastAsia="zh-CN"/>
        </w:rPr>
      </w:pPr>
      <w:r>
        <w:rPr>
          <w:rFonts w:hint="default"/>
          <w:lang w:val="en-US" w:eastAsia="zh-CN"/>
        </w:rPr>
        <w:t>KPI指标：软件入库完整率</w:t>
      </w:r>
    </w:p>
    <w:p w14:paraId="0CBD936F">
      <w:pPr>
        <w:pStyle w:val="32"/>
        <w:rPr>
          <w:rFonts w:hint="default"/>
          <w:lang w:val="en-US" w:eastAsia="zh-CN"/>
        </w:rPr>
      </w:pPr>
      <w:r>
        <w:rPr>
          <w:rFonts w:hint="default"/>
          <w:lang w:val="en-US" w:eastAsia="zh-CN"/>
        </w:rPr>
        <w:t>软件入库完整率是反映软件资产登记完整性的量化指标，其计算公式为：软件入库完整率 = (已登记入库的软件数 / 应登记入库的软件总数) × 100%。目标值为 100%，按半年度进行考核，责任部门为研发部。</w:t>
      </w:r>
    </w:p>
    <w:p w14:paraId="66B1740A">
      <w:pPr>
        <w:pStyle w:val="34"/>
        <w:bidi w:val="0"/>
        <w:rPr>
          <w:rFonts w:hint="default"/>
          <w:lang w:val="en-US" w:eastAsia="zh-CN"/>
        </w:rPr>
      </w:pPr>
      <w:bookmarkStart w:id="35" w:name="_Toc24577"/>
      <w:r>
        <w:rPr>
          <w:rFonts w:hint="default"/>
          <w:lang w:val="en-US" w:eastAsia="zh-CN"/>
        </w:rPr>
        <w:t>服务数据管理</w:t>
      </w:r>
      <w:bookmarkEnd w:id="35"/>
    </w:p>
    <w:p w14:paraId="514B2B93">
      <w:pPr>
        <w:pStyle w:val="32"/>
        <w:rPr>
          <w:rFonts w:hint="default"/>
          <w:lang w:val="en-US" w:eastAsia="zh-CN"/>
        </w:rPr>
      </w:pPr>
      <w:r>
        <w:rPr>
          <w:rFonts w:hint="default"/>
          <w:lang w:val="en-US" w:eastAsia="zh-CN"/>
        </w:rPr>
        <w:t>根据《运维服务服务数据管理制度》，公司服务数据由运维部主导管理，覆盖服务数据的分类、收集、备份、加密、恢复的全生命周期。</w:t>
      </w:r>
    </w:p>
    <w:p w14:paraId="6F7CBBCB">
      <w:pPr>
        <w:pStyle w:val="32"/>
        <w:rPr>
          <w:rFonts w:hint="default"/>
          <w:lang w:val="en-US" w:eastAsia="zh-CN"/>
        </w:rPr>
      </w:pPr>
      <w:r>
        <w:rPr>
          <w:rFonts w:hint="default"/>
          <w:lang w:val="en-US" w:eastAsia="zh-CN"/>
        </w:rPr>
        <w:t>2025年服务数据管理的主要工作包括：运维工单数据每日全量备份，配置管理数据每周全量备份，监控数据每月增量备份，备份数据本地和云端双存储，确保数据安全；每半年组织一次数据恢复试验，验证备份数据的可用性和完整性，确保在数据丢失时能够快速恢复；对客户敏感数据、系统核心配置等高密级数据实施存储加密和传输加密，使用经国家密码管理部门认可的加密产品，确保数据安全；定期对运维工单数据、监控数据等进行分析，识别服务趋势和潜在问题，为服务改进提供数据支撑。</w:t>
      </w:r>
    </w:p>
    <w:p w14:paraId="55A8F8AC">
      <w:pPr>
        <w:pStyle w:val="32"/>
        <w:rPr>
          <w:rFonts w:hint="default"/>
          <w:lang w:val="en-US" w:eastAsia="zh-CN"/>
        </w:rPr>
      </w:pPr>
      <w:r>
        <w:rPr>
          <w:rFonts w:hint="default"/>
          <w:lang w:val="en-US" w:eastAsia="zh-CN"/>
        </w:rPr>
        <w:t>KPI指标：</w:t>
      </w:r>
    </w:p>
    <w:p w14:paraId="18520CA7">
      <w:pPr>
        <w:pStyle w:val="32"/>
        <w:numPr>
          <w:ilvl w:val="0"/>
          <w:numId w:val="6"/>
        </w:numPr>
        <w:ind w:left="425" w:leftChars="0" w:hanging="425" w:firstLineChars="0"/>
        <w:rPr>
          <w:rFonts w:hint="default"/>
          <w:lang w:val="en-US" w:eastAsia="zh-CN"/>
        </w:rPr>
      </w:pPr>
      <w:r>
        <w:rPr>
          <w:rFonts w:hint="default"/>
          <w:lang w:val="en-US" w:eastAsia="zh-CN"/>
        </w:rPr>
        <w:t>数据备份成功率</w:t>
      </w:r>
    </w:p>
    <w:p w14:paraId="1168E058">
      <w:pPr>
        <w:pStyle w:val="32"/>
        <w:rPr>
          <w:rFonts w:hint="default"/>
          <w:lang w:val="en-US" w:eastAsia="zh-CN"/>
        </w:rPr>
      </w:pPr>
      <w:r>
        <w:rPr>
          <w:rFonts w:hint="default"/>
          <w:lang w:val="en-US" w:eastAsia="zh-CN"/>
        </w:rPr>
        <w:t>数据备份成功率是反映数据备份执行有效性的量化指标，其计算公式为：数据备份成功率 = (成功备份次数 / 计划备份次数) × 100%。目标值为 ≥ 99%，按月度进行考核，责任部门为</w:t>
      </w:r>
      <w:r>
        <w:rPr>
          <w:rFonts w:hint="eastAsia"/>
          <w:lang w:val="en-US" w:eastAsia="zh-CN"/>
        </w:rPr>
        <w:t>研发部</w:t>
      </w:r>
      <w:r>
        <w:rPr>
          <w:rFonts w:hint="default"/>
          <w:lang w:val="en-US" w:eastAsia="zh-CN"/>
        </w:rPr>
        <w:t>。</w:t>
      </w:r>
    </w:p>
    <w:p w14:paraId="66961AD6">
      <w:pPr>
        <w:pStyle w:val="32"/>
        <w:numPr>
          <w:ilvl w:val="0"/>
          <w:numId w:val="6"/>
        </w:numPr>
        <w:ind w:left="425" w:leftChars="0" w:hanging="425" w:firstLineChars="0"/>
        <w:rPr>
          <w:rFonts w:hint="default"/>
          <w:lang w:val="en-US" w:eastAsia="zh-CN"/>
        </w:rPr>
      </w:pPr>
      <w:r>
        <w:rPr>
          <w:rFonts w:hint="default"/>
          <w:lang w:val="en-US" w:eastAsia="zh-CN"/>
        </w:rPr>
        <w:t>数据恢复成功率</w:t>
      </w:r>
    </w:p>
    <w:p w14:paraId="3678F5EB">
      <w:pPr>
        <w:pStyle w:val="32"/>
        <w:rPr>
          <w:rFonts w:hint="eastAsia"/>
          <w:lang w:val="en-US" w:eastAsia="zh-CN"/>
        </w:rPr>
      </w:pPr>
      <w:r>
        <w:rPr>
          <w:rFonts w:hint="default"/>
          <w:lang w:val="en-US" w:eastAsia="zh-CN"/>
        </w:rPr>
        <w:t>数据恢复成功率是反映备份数据可用性的量化指标，其计算公式为：数据恢复成功率 = (成功恢复次数 / 恢复</w:t>
      </w:r>
      <w:r>
        <w:rPr>
          <w:rFonts w:hint="eastAsia"/>
          <w:lang w:val="en-US" w:eastAsia="zh-CN"/>
        </w:rPr>
        <w:t>演练</w:t>
      </w:r>
      <w:r>
        <w:rPr>
          <w:rFonts w:hint="default"/>
          <w:lang w:val="en-US" w:eastAsia="zh-CN"/>
        </w:rPr>
        <w:t>次数) × 100%。目标值为 ≥ 95%，按半年度进行考核。</w:t>
      </w:r>
      <w:r>
        <w:rPr>
          <w:rFonts w:hint="eastAsia"/>
          <w:lang w:val="en-US" w:eastAsia="zh-CN"/>
        </w:rPr>
        <w:t>责任部门为研发部。</w:t>
      </w:r>
    </w:p>
    <w:p w14:paraId="0C572975">
      <w:pPr>
        <w:pStyle w:val="32"/>
        <w:numPr>
          <w:ilvl w:val="0"/>
          <w:numId w:val="6"/>
        </w:numPr>
        <w:ind w:left="425" w:leftChars="0" w:hanging="425" w:firstLineChars="0"/>
        <w:rPr>
          <w:rFonts w:hint="default"/>
          <w:lang w:val="en-US" w:eastAsia="zh-CN"/>
        </w:rPr>
      </w:pPr>
      <w:r>
        <w:rPr>
          <w:rFonts w:hint="eastAsia"/>
          <w:lang w:val="en-US" w:eastAsia="zh-CN"/>
        </w:rPr>
        <w:t>数据完整性</w:t>
      </w:r>
    </w:p>
    <w:p w14:paraId="4B6BC15A">
      <w:pPr>
        <w:pStyle w:val="32"/>
        <w:bidi w:val="0"/>
        <w:rPr>
          <w:rFonts w:hint="default"/>
          <w:lang w:val="en-US" w:eastAsia="zh-CN"/>
        </w:rPr>
      </w:pPr>
      <w:r>
        <w:rPr>
          <w:rFonts w:hint="default"/>
          <w:lang w:val="en-US" w:eastAsia="zh-CN"/>
        </w:rPr>
        <w:t>数据完整性是反映备份数据可恢复后数据完整可用的量化指标，其计算公式为：数据完整性 = (抽样校验通过的数据记录数</w:t>
      </w:r>
      <w:r>
        <w:rPr>
          <w:rFonts w:hint="eastAsia"/>
          <w:lang w:val="en-US" w:eastAsia="zh-CN"/>
        </w:rPr>
        <w:t xml:space="preserve"> / </w:t>
      </w:r>
      <w:r>
        <w:rPr>
          <w:rFonts w:hint="default"/>
          <w:lang w:val="en-US" w:eastAsia="zh-CN"/>
        </w:rPr>
        <w:t>抽样校验的总数据记录数) × 100%</w:t>
      </w:r>
      <w:r>
        <w:rPr>
          <w:rFonts w:hint="eastAsia"/>
          <w:lang w:val="en-US" w:eastAsia="zh-CN"/>
        </w:rPr>
        <w:t>。</w:t>
      </w:r>
      <w:r>
        <w:rPr>
          <w:rFonts w:hint="default"/>
          <w:lang w:val="en-US" w:eastAsia="zh-CN"/>
        </w:rPr>
        <w:t>目标值为 ≥ 99%，按</w:t>
      </w:r>
      <w:r>
        <w:rPr>
          <w:rFonts w:hint="eastAsia"/>
          <w:lang w:val="en-US" w:eastAsia="zh-CN"/>
        </w:rPr>
        <w:t>季</w:t>
      </w:r>
      <w:r>
        <w:rPr>
          <w:rFonts w:hint="default"/>
          <w:lang w:val="en-US" w:eastAsia="zh-CN"/>
        </w:rPr>
        <w:t>度进行考核。责任部门为</w:t>
      </w:r>
      <w:r>
        <w:rPr>
          <w:rFonts w:hint="eastAsia"/>
          <w:lang w:val="en-US" w:eastAsia="zh-CN"/>
        </w:rPr>
        <w:t>产品质量部</w:t>
      </w:r>
      <w:r>
        <w:rPr>
          <w:rFonts w:hint="default"/>
          <w:lang w:val="en-US" w:eastAsia="zh-CN"/>
        </w:rPr>
        <w:t>。</w:t>
      </w:r>
    </w:p>
    <w:p w14:paraId="76039B27">
      <w:pPr>
        <w:pStyle w:val="33"/>
        <w:bidi w:val="0"/>
        <w:rPr>
          <w:rFonts w:hint="default"/>
          <w:lang w:val="en-US" w:eastAsia="zh-CN"/>
        </w:rPr>
      </w:pPr>
      <w:bookmarkStart w:id="36" w:name="_Toc32763"/>
      <w:r>
        <w:rPr>
          <w:rFonts w:hint="eastAsia"/>
          <w:lang w:val="en-US" w:eastAsia="zh-CN"/>
        </w:rPr>
        <w:t>技术研发规划</w:t>
      </w:r>
      <w:bookmarkEnd w:id="36"/>
    </w:p>
    <w:p w14:paraId="2DF92C8B">
      <w:pPr>
        <w:pStyle w:val="34"/>
        <w:bidi w:val="0"/>
        <w:rPr>
          <w:rFonts w:hint="default"/>
          <w:lang w:val="en-US" w:eastAsia="zh-CN"/>
        </w:rPr>
      </w:pPr>
      <w:bookmarkStart w:id="37" w:name="_Toc24716"/>
      <w:r>
        <w:rPr>
          <w:rFonts w:hint="default"/>
          <w:lang w:val="en-US" w:eastAsia="zh-CN"/>
        </w:rPr>
        <w:t>研发现状</w:t>
      </w:r>
      <w:bookmarkEnd w:id="37"/>
    </w:p>
    <w:p w14:paraId="0CBC2D59">
      <w:pPr>
        <w:pStyle w:val="32"/>
        <w:rPr>
          <w:rFonts w:hint="default"/>
          <w:lang w:val="en-US" w:eastAsia="zh-CN"/>
        </w:rPr>
      </w:pPr>
      <w:r>
        <w:rPr>
          <w:rFonts w:hint="default"/>
          <w:lang w:val="en-US" w:eastAsia="zh-CN"/>
        </w:rPr>
        <w:t>公司研发部已建立研发管理制度，配备研发团队及开发测试环境。目前自研的</w:t>
      </w:r>
      <w:r>
        <w:rPr>
          <w:rFonts w:hint="eastAsia"/>
          <w:lang w:val="en-US" w:eastAsia="zh-CN"/>
        </w:rPr>
        <w:t>华风数据</w:t>
      </w:r>
      <w:r>
        <w:rPr>
          <w:rFonts w:hint="default"/>
          <w:lang w:val="en-US" w:eastAsia="zh-CN"/>
        </w:rPr>
        <w:t>运维监控平台已应用于企业门店ERP统一管理系统、大化投发服务等项目，实现了对服务器、网络设备、前端设备等基础环境的监控。</w:t>
      </w:r>
    </w:p>
    <w:p w14:paraId="4A03B844">
      <w:pPr>
        <w:pStyle w:val="32"/>
        <w:rPr>
          <w:rFonts w:hint="default"/>
          <w:lang w:val="en-US" w:eastAsia="zh-CN"/>
        </w:rPr>
      </w:pPr>
      <w:r>
        <w:rPr>
          <w:rFonts w:hint="default"/>
          <w:lang w:val="en-US" w:eastAsia="zh-CN"/>
        </w:rPr>
        <w:t>但在数据库监控方面存在明显短板：无法实时监控数据库关键性能指标，慢查询定位困难，缺乏索引优化建议，Redis监控缺失。随着运维项目增加，客户对数据库监控的需求日益迫切，亟需补齐这一能力短板。</w:t>
      </w:r>
    </w:p>
    <w:p w14:paraId="165EF677">
      <w:pPr>
        <w:pStyle w:val="34"/>
        <w:bidi w:val="0"/>
        <w:rPr>
          <w:rFonts w:hint="default"/>
          <w:lang w:val="en-US" w:eastAsia="zh-CN"/>
        </w:rPr>
      </w:pPr>
      <w:bookmarkStart w:id="38" w:name="_Toc8655"/>
      <w:r>
        <w:rPr>
          <w:rFonts w:hint="default"/>
          <w:lang w:val="en-US" w:eastAsia="zh-CN"/>
        </w:rPr>
        <w:t>研发目标</w:t>
      </w:r>
      <w:bookmarkEnd w:id="38"/>
    </w:p>
    <w:p w14:paraId="1E69B0FA">
      <w:pPr>
        <w:pStyle w:val="32"/>
        <w:rPr>
          <w:rFonts w:hint="default"/>
          <w:lang w:val="en-US" w:eastAsia="zh-CN"/>
        </w:rPr>
      </w:pPr>
      <w:r>
        <w:rPr>
          <w:rFonts w:hint="default"/>
          <w:lang w:val="en-US" w:eastAsia="zh-CN"/>
        </w:rPr>
        <w:t>2025年技术研发聚焦于数据库监控能力提升，总体目标为：完成数据库监控模块研发，实现对MySQL、Redis等主流数据库的全面监控，具备慢SQL采集分析和索引优化建议能力，并同步完成相关运维手册编写和新技术研究。</w:t>
      </w:r>
    </w:p>
    <w:p w14:paraId="38341476">
      <w:pPr>
        <w:pStyle w:val="34"/>
        <w:bidi w:val="0"/>
        <w:rPr>
          <w:rFonts w:hint="default"/>
          <w:lang w:val="en-US" w:eastAsia="zh-CN"/>
        </w:rPr>
      </w:pPr>
      <w:bookmarkStart w:id="39" w:name="_Toc2006"/>
      <w:r>
        <w:rPr>
          <w:rFonts w:hint="eastAsia"/>
          <w:lang w:val="en-US" w:eastAsia="zh-CN"/>
        </w:rPr>
        <w:t>研发计划</w:t>
      </w:r>
      <w:bookmarkEnd w:id="39"/>
    </w:p>
    <w:p w14:paraId="643AFE6D">
      <w:pPr>
        <w:pStyle w:val="32"/>
        <w:bidi w:val="0"/>
        <w:rPr>
          <w:rFonts w:hint="default"/>
          <w:lang w:val="en-US" w:eastAsia="zh-CN"/>
        </w:rPr>
      </w:pPr>
      <w:r>
        <w:t>本次研发将依据《运维服务技术研发规划》系统推进，围绕需求细化、功能设计、迭代开发、测试上线及培训推广等关键阶段展开，确保开发成果能有效落地并服务于运维团队的实际工作。详细的任务排期、资源分配与技术方案请参见该规划文档。</w:t>
      </w:r>
    </w:p>
    <w:p w14:paraId="60B70903">
      <w:pPr>
        <w:pStyle w:val="33"/>
        <w:bidi w:val="0"/>
        <w:rPr>
          <w:rFonts w:hint="eastAsia"/>
          <w:lang w:val="en-US" w:eastAsia="zh-CN"/>
        </w:rPr>
      </w:pPr>
      <w:bookmarkStart w:id="40" w:name="_Toc8253"/>
      <w:r>
        <w:rPr>
          <w:rFonts w:hint="eastAsia"/>
          <w:lang w:val="en-US" w:eastAsia="zh-CN"/>
        </w:rPr>
        <w:t>过程管理规划</w:t>
      </w:r>
      <w:bookmarkEnd w:id="40"/>
    </w:p>
    <w:p w14:paraId="56ED479D">
      <w:pPr>
        <w:pStyle w:val="32"/>
        <w:rPr>
          <w:rFonts w:hint="eastAsia"/>
          <w:lang w:val="en-US" w:eastAsia="zh-CN"/>
        </w:rPr>
      </w:pPr>
      <w:r>
        <w:rPr>
          <w:rFonts w:hint="eastAsia"/>
          <w:lang w:val="en-US" w:eastAsia="zh-CN"/>
        </w:rPr>
        <w:t>为确保运维服务过程的规范性、一致性和可追溯性，2025年公司将按照ITSS标准要求，建立并持续优化运维服务过程管理体系。</w:t>
      </w:r>
    </w:p>
    <w:p w14:paraId="0762B6B8">
      <w:pPr>
        <w:pStyle w:val="34"/>
        <w:bidi w:val="0"/>
        <w:rPr>
          <w:rFonts w:hint="eastAsia"/>
          <w:lang w:val="en-US" w:eastAsia="zh-CN"/>
        </w:rPr>
      </w:pPr>
      <w:bookmarkStart w:id="41" w:name="_Toc24514"/>
      <w:r>
        <w:rPr>
          <w:rFonts w:hint="eastAsia"/>
          <w:lang w:val="en-US" w:eastAsia="zh-CN"/>
        </w:rPr>
        <w:t>过程框架管理</w:t>
      </w:r>
      <w:bookmarkEnd w:id="41"/>
    </w:p>
    <w:p w14:paraId="7278E678">
      <w:pPr>
        <w:pStyle w:val="32"/>
        <w:rPr>
          <w:rFonts w:hint="eastAsia"/>
          <w:lang w:val="en-US" w:eastAsia="zh-CN"/>
        </w:rPr>
      </w:pPr>
      <w:r>
        <w:rPr>
          <w:rFonts w:hint="eastAsia"/>
          <w:lang w:val="en-US" w:eastAsia="zh-CN"/>
        </w:rPr>
        <w:t>根据《运维服务过程框架管理制度》，公司运维服务过程框架分为服务规划与设计、服务部署与实施、服务运营与管理、服务监控与改进四个核心阶段，形成完整的PDCA闭环。</w:t>
      </w:r>
    </w:p>
    <w:p w14:paraId="2C354FCE">
      <w:pPr>
        <w:pStyle w:val="32"/>
        <w:rPr>
          <w:rFonts w:hint="eastAsia"/>
          <w:lang w:val="en-US" w:eastAsia="zh-CN"/>
        </w:rPr>
      </w:pPr>
      <w:r>
        <w:rPr>
          <w:rFonts w:hint="eastAsia"/>
          <w:lang w:val="en-US" w:eastAsia="zh-CN"/>
        </w:rPr>
        <w:t>2025年过程框架管理的主要工作包括：运维部负责制定并持续完善运维服务过程框架相关管理制度，牵头组织服务规划设计、部署实施、运营管理、监控改进等核心活动；产品质量部每年度组织一次过程框架评价，评估各过程执行的符合性和有效性，形成《过程框架评价报告》，识别改进机会并推动落实；各过程的执行情况纳入月度服务报告，定期向管理层汇报。</w:t>
      </w:r>
    </w:p>
    <w:p w14:paraId="54EE50D5">
      <w:pPr>
        <w:pStyle w:val="32"/>
        <w:rPr>
          <w:rFonts w:hint="eastAsia"/>
          <w:lang w:val="en-US" w:eastAsia="zh-CN"/>
        </w:rPr>
      </w:pPr>
      <w:r>
        <w:rPr>
          <w:rFonts w:hint="eastAsia"/>
          <w:lang w:val="en-US" w:eastAsia="zh-CN"/>
        </w:rPr>
        <w:t>KPI指标：过程框架评价次数</w:t>
      </w:r>
    </w:p>
    <w:p w14:paraId="751A1469">
      <w:pPr>
        <w:pStyle w:val="32"/>
        <w:rPr>
          <w:rFonts w:hint="eastAsia"/>
          <w:lang w:val="en-US" w:eastAsia="zh-CN"/>
        </w:rPr>
      </w:pPr>
      <w:r>
        <w:rPr>
          <w:rFonts w:hint="eastAsia"/>
          <w:lang w:val="en-US" w:eastAsia="zh-CN"/>
        </w:rPr>
        <w:t>过程框架评价次数是反映运维服务过程框架定期评估执行情况的量化指标。计算方式为：年度内过程框架评价次数统计。目标值为≥1次，按年度进行考核，责任部门为运维部。</w:t>
      </w:r>
    </w:p>
    <w:p w14:paraId="043D26F2">
      <w:pPr>
        <w:pStyle w:val="34"/>
        <w:bidi w:val="0"/>
        <w:rPr>
          <w:rFonts w:hint="eastAsia"/>
          <w:lang w:val="en-US" w:eastAsia="zh-CN"/>
        </w:rPr>
      </w:pPr>
      <w:bookmarkStart w:id="42" w:name="_Toc3698"/>
      <w:r>
        <w:rPr>
          <w:rFonts w:hint="eastAsia"/>
          <w:lang w:val="en-US" w:eastAsia="zh-CN"/>
        </w:rPr>
        <w:t>服务级别管理</w:t>
      </w:r>
      <w:bookmarkEnd w:id="42"/>
    </w:p>
    <w:p w14:paraId="4A556018">
      <w:pPr>
        <w:pStyle w:val="32"/>
        <w:rPr>
          <w:rFonts w:hint="eastAsia"/>
          <w:lang w:val="en-US" w:eastAsia="zh-CN"/>
        </w:rPr>
      </w:pPr>
      <w:r>
        <w:rPr>
          <w:rFonts w:hint="eastAsia"/>
          <w:lang w:val="en-US" w:eastAsia="zh-CN"/>
        </w:rPr>
        <w:t>根据《运维服务级别管理制度》，公司建立服务级别管理流程，对运维服务级别进行协商、监控和报告。</w:t>
      </w:r>
    </w:p>
    <w:p w14:paraId="0373A37C">
      <w:pPr>
        <w:pStyle w:val="32"/>
        <w:rPr>
          <w:rFonts w:hint="eastAsia"/>
          <w:lang w:val="en-US" w:eastAsia="zh-CN"/>
        </w:rPr>
      </w:pPr>
      <w:r>
        <w:rPr>
          <w:rFonts w:hint="eastAsia"/>
          <w:lang w:val="en-US" w:eastAsia="zh-CN"/>
        </w:rPr>
        <w:t>2025年服务级别管理的主要工作包括：运维部经理负责制定和更新服务目录，定义和维持有效的服务级别管理流程；运维项目经理执行SLA的制定或修订工作，SLA须由客户确认后，提交运维部评审，通过后再经管理层评审，此评审活动每年至少一次；产品质量部每季度对服务级别执行情况进行监控，统计SLA达成率，对未达标的SLA项进行原因分析并制定改进措施；根据管理评审结果或部门例会决议，识别问题和差距，填写《服务改进计划表》，持续改进服务级别。</w:t>
      </w:r>
    </w:p>
    <w:p w14:paraId="097DDFAE">
      <w:pPr>
        <w:pStyle w:val="32"/>
        <w:rPr>
          <w:rFonts w:hint="eastAsia"/>
          <w:lang w:val="en-US" w:eastAsia="zh-CN"/>
        </w:rPr>
      </w:pPr>
      <w:r>
        <w:rPr>
          <w:rFonts w:hint="eastAsia"/>
          <w:lang w:val="en-US" w:eastAsia="zh-CN"/>
        </w:rPr>
        <w:t>KPI指标：</w:t>
      </w:r>
    </w:p>
    <w:p w14:paraId="0CE6AEE0">
      <w:pPr>
        <w:pStyle w:val="32"/>
        <w:numPr>
          <w:ilvl w:val="0"/>
          <w:numId w:val="7"/>
        </w:numPr>
        <w:ind w:left="425" w:leftChars="0" w:hanging="425" w:firstLineChars="0"/>
        <w:rPr>
          <w:rFonts w:hint="eastAsia"/>
          <w:lang w:val="en-US" w:eastAsia="zh-CN"/>
        </w:rPr>
      </w:pPr>
      <w:r>
        <w:rPr>
          <w:rFonts w:hint="eastAsia"/>
          <w:lang w:val="en-US" w:eastAsia="zh-CN"/>
        </w:rPr>
        <w:t>SLA达成率</w:t>
      </w:r>
    </w:p>
    <w:p w14:paraId="2D8627DC">
      <w:pPr>
        <w:pStyle w:val="32"/>
        <w:rPr>
          <w:rFonts w:hint="eastAsia"/>
          <w:lang w:val="en-US" w:eastAsia="zh-CN"/>
        </w:rPr>
      </w:pPr>
      <w:r>
        <w:rPr>
          <w:rFonts w:hint="eastAsia"/>
          <w:lang w:val="en-US" w:eastAsia="zh-CN"/>
        </w:rPr>
        <w:t>SLA达成率是反映服务级别协议执行情况的量化指标，其计算公式为：SLA达成率 = (当期已达成的SLA数 / 当期应达成的SLA总数) × 100%。目标值为≥95%，按季度进行考核，责任部门为运维部。</w:t>
      </w:r>
    </w:p>
    <w:p w14:paraId="3AB0762B">
      <w:pPr>
        <w:pStyle w:val="32"/>
        <w:numPr>
          <w:ilvl w:val="0"/>
          <w:numId w:val="7"/>
        </w:numPr>
        <w:ind w:left="425" w:leftChars="0" w:hanging="425" w:firstLineChars="0"/>
        <w:rPr>
          <w:rFonts w:hint="eastAsia"/>
          <w:lang w:val="en-US" w:eastAsia="zh-CN"/>
        </w:rPr>
      </w:pPr>
      <w:r>
        <w:rPr>
          <w:rFonts w:hint="eastAsia"/>
          <w:lang w:val="en-US" w:eastAsia="zh-CN"/>
        </w:rPr>
        <w:t>SLA评审次数</w:t>
      </w:r>
    </w:p>
    <w:p w14:paraId="2027A386">
      <w:pPr>
        <w:pStyle w:val="32"/>
        <w:rPr>
          <w:rFonts w:hint="eastAsia"/>
          <w:lang w:val="en-US" w:eastAsia="zh-CN"/>
        </w:rPr>
      </w:pPr>
      <w:r>
        <w:rPr>
          <w:rFonts w:hint="eastAsia"/>
          <w:lang w:val="en-US" w:eastAsia="zh-CN"/>
        </w:rPr>
        <w:t>SLA评审次数是反映服务级别协议定期评审执行情况的量化指标。计算方式为：SLA评审次数统计。目标值为≥1次，按年度进行考核，责任部门为运维部。</w:t>
      </w:r>
    </w:p>
    <w:p w14:paraId="486531B6">
      <w:pPr>
        <w:pStyle w:val="34"/>
        <w:bidi w:val="0"/>
        <w:rPr>
          <w:rFonts w:hint="eastAsia"/>
          <w:lang w:val="en-US" w:eastAsia="zh-CN"/>
        </w:rPr>
      </w:pPr>
      <w:bookmarkStart w:id="43" w:name="_Toc25687"/>
      <w:r>
        <w:rPr>
          <w:rFonts w:hint="eastAsia"/>
          <w:lang w:val="en-US" w:eastAsia="zh-CN"/>
        </w:rPr>
        <w:t>服务报告管理</w:t>
      </w:r>
      <w:bookmarkEnd w:id="43"/>
    </w:p>
    <w:p w14:paraId="16E704BA">
      <w:pPr>
        <w:pStyle w:val="32"/>
        <w:rPr>
          <w:rFonts w:hint="eastAsia"/>
          <w:lang w:val="en-US" w:eastAsia="zh-CN"/>
        </w:rPr>
      </w:pPr>
      <w:r>
        <w:rPr>
          <w:rFonts w:hint="eastAsia"/>
          <w:lang w:val="en-US" w:eastAsia="zh-CN"/>
        </w:rPr>
        <w:t>根据《运维服务报告管理制度》，公司建立标准化的服务报告管理机制，确保服务报告的及时性、准确性和完整性。</w:t>
      </w:r>
    </w:p>
    <w:p w14:paraId="50140704">
      <w:pPr>
        <w:pStyle w:val="32"/>
        <w:rPr>
          <w:rFonts w:hint="eastAsia"/>
          <w:lang w:val="en-US" w:eastAsia="zh-CN"/>
        </w:rPr>
      </w:pPr>
      <w:r>
        <w:rPr>
          <w:rFonts w:hint="eastAsia"/>
          <w:lang w:val="en-US" w:eastAsia="zh-CN"/>
        </w:rPr>
        <w:t>2025年服务报告管理的主要工作包括：运维项目经理负责按照固定格式和周期编制服务报告，包括日常运维报告（每周）、服务级别报告（每月）、季度服务报告（每季度）、年度服务报告（每年）以及重大事件报告、专项改进报告等专项报告；产品质量部每季度组织服务报告管理过程的评审，从及时性、准确性、完整性、可读性、分析深度等维度进行评估；服务报告按照分发矩阵提交给客户、管理层、产品质量部等相关方，重要报告需确认对方已接收。</w:t>
      </w:r>
    </w:p>
    <w:p w14:paraId="6221BE4E">
      <w:pPr>
        <w:pStyle w:val="32"/>
        <w:rPr>
          <w:rFonts w:hint="eastAsia"/>
          <w:lang w:val="en-US" w:eastAsia="zh-CN"/>
        </w:rPr>
      </w:pPr>
      <w:r>
        <w:rPr>
          <w:rFonts w:hint="eastAsia"/>
          <w:lang w:val="en-US" w:eastAsia="zh-CN"/>
        </w:rPr>
        <w:t>KPI指标：</w:t>
      </w:r>
    </w:p>
    <w:p w14:paraId="20E9876E">
      <w:pPr>
        <w:pStyle w:val="32"/>
        <w:numPr>
          <w:ilvl w:val="0"/>
          <w:numId w:val="8"/>
        </w:numPr>
        <w:ind w:left="425" w:leftChars="0" w:hanging="425" w:firstLineChars="0"/>
        <w:rPr>
          <w:rFonts w:hint="eastAsia"/>
          <w:lang w:val="en-US" w:eastAsia="zh-CN"/>
        </w:rPr>
      </w:pPr>
      <w:r>
        <w:rPr>
          <w:rFonts w:hint="eastAsia"/>
          <w:lang w:val="en-US" w:eastAsia="zh-CN"/>
        </w:rPr>
        <w:t>服务报告交付及时率</w:t>
      </w:r>
    </w:p>
    <w:p w14:paraId="74DCB349">
      <w:pPr>
        <w:pStyle w:val="32"/>
        <w:rPr>
          <w:rFonts w:hint="eastAsia"/>
          <w:lang w:val="en-US" w:eastAsia="zh-CN"/>
        </w:rPr>
      </w:pPr>
      <w:r>
        <w:rPr>
          <w:rFonts w:hint="eastAsia"/>
          <w:lang w:val="en-US" w:eastAsia="zh-CN"/>
        </w:rPr>
        <w:t>服务报告交付及时率是反映服务报告按时提交情况的量化指标，其计算公式为：服务报告交付及时率 = (按时提交的服务报告数量 / 应提交服务报告总数量) × 100%。目标值为≥95%，按季度进行考核，责任部门为运维部。</w:t>
      </w:r>
    </w:p>
    <w:p w14:paraId="389C8FC7">
      <w:pPr>
        <w:pStyle w:val="32"/>
        <w:numPr>
          <w:ilvl w:val="0"/>
          <w:numId w:val="8"/>
        </w:numPr>
        <w:ind w:left="425" w:leftChars="0" w:hanging="425" w:firstLineChars="0"/>
        <w:rPr>
          <w:rFonts w:hint="eastAsia"/>
          <w:lang w:val="en-US" w:eastAsia="zh-CN"/>
        </w:rPr>
      </w:pPr>
      <w:r>
        <w:rPr>
          <w:rFonts w:hint="eastAsia"/>
          <w:lang w:val="en-US" w:eastAsia="zh-CN"/>
        </w:rPr>
        <w:t>服务报告准确率</w:t>
      </w:r>
    </w:p>
    <w:p w14:paraId="2C724A02">
      <w:pPr>
        <w:pStyle w:val="32"/>
        <w:rPr>
          <w:rFonts w:hint="eastAsia"/>
          <w:lang w:val="en-US" w:eastAsia="zh-CN"/>
        </w:rPr>
      </w:pPr>
      <w:r>
        <w:rPr>
          <w:rFonts w:hint="eastAsia"/>
          <w:lang w:val="en-US" w:eastAsia="zh-CN"/>
        </w:rPr>
        <w:t>服务报告准确率是反映服务报告数据准确性的量化指标，其计算公式为：服务报告准确率 = (数据准确的服务报告数量 / 服务报告总数量) × 100%。目标值为≥98%，按季度进行考核，责任部门为运维部。</w:t>
      </w:r>
    </w:p>
    <w:p w14:paraId="7AB0423F">
      <w:pPr>
        <w:pStyle w:val="34"/>
        <w:bidi w:val="0"/>
        <w:rPr>
          <w:rFonts w:hint="eastAsia"/>
          <w:lang w:val="en-US" w:eastAsia="zh-CN"/>
        </w:rPr>
      </w:pPr>
      <w:bookmarkStart w:id="44" w:name="_Toc32699"/>
      <w:r>
        <w:rPr>
          <w:rFonts w:hint="eastAsia"/>
          <w:lang w:val="en-US" w:eastAsia="zh-CN"/>
        </w:rPr>
        <w:t>事件管理</w:t>
      </w:r>
      <w:bookmarkEnd w:id="44"/>
    </w:p>
    <w:p w14:paraId="3AA5805C">
      <w:pPr>
        <w:pStyle w:val="32"/>
        <w:rPr>
          <w:rFonts w:hint="eastAsia"/>
          <w:lang w:val="en-US" w:eastAsia="zh-CN"/>
        </w:rPr>
      </w:pPr>
      <w:r>
        <w:rPr>
          <w:rFonts w:hint="eastAsia"/>
          <w:lang w:val="en-US" w:eastAsia="zh-CN"/>
        </w:rPr>
        <w:t>根据《运维服务事件管理制度》，公司建立标准化的服务事件管理流程，确保事件能够快速响应和有效解决。</w:t>
      </w:r>
    </w:p>
    <w:p w14:paraId="5F2414CE">
      <w:pPr>
        <w:pStyle w:val="32"/>
        <w:rPr>
          <w:rFonts w:hint="eastAsia"/>
          <w:lang w:val="en-US" w:eastAsia="zh-CN"/>
        </w:rPr>
      </w:pPr>
      <w:r>
        <w:rPr>
          <w:rFonts w:hint="eastAsia"/>
          <w:lang w:val="en-US" w:eastAsia="zh-CN"/>
        </w:rPr>
        <w:t>2025年事件管理的主要工作包括：服务台作为事件统一受理窗口，7×24小时接收客户事件请求；事件根据影响范围和紧急程度分为一级、二级、三级，各级事件规定相应的响应时间和处理时间要求（一级事件3分钟内响应、4小时内解决）；当事件在规定时间内未能解决时，按升级时间要求（一级事件1小时升级到二线、2小时升级到三线）进行升级处理；事件解决后，服务台进行客户回访，确认事件解决效果并收集满意度。</w:t>
      </w:r>
    </w:p>
    <w:p w14:paraId="71F2F4B8">
      <w:pPr>
        <w:pStyle w:val="32"/>
        <w:rPr>
          <w:rFonts w:hint="eastAsia"/>
          <w:lang w:val="en-US" w:eastAsia="zh-CN"/>
        </w:rPr>
      </w:pPr>
      <w:r>
        <w:rPr>
          <w:rFonts w:hint="eastAsia"/>
          <w:lang w:val="en-US" w:eastAsia="zh-CN"/>
        </w:rPr>
        <w:t>KPI指标：</w:t>
      </w:r>
    </w:p>
    <w:p w14:paraId="13AB5D08">
      <w:pPr>
        <w:pStyle w:val="32"/>
        <w:numPr>
          <w:ilvl w:val="0"/>
          <w:numId w:val="9"/>
        </w:numPr>
        <w:ind w:left="425" w:leftChars="0" w:hanging="425" w:firstLineChars="0"/>
        <w:rPr>
          <w:rFonts w:hint="eastAsia"/>
          <w:lang w:val="en-US" w:eastAsia="zh-CN"/>
        </w:rPr>
      </w:pPr>
      <w:r>
        <w:rPr>
          <w:rFonts w:hint="eastAsia"/>
          <w:lang w:val="en-US" w:eastAsia="zh-CN"/>
        </w:rPr>
        <w:t>事件解决率</w:t>
      </w:r>
    </w:p>
    <w:p w14:paraId="69A456C4">
      <w:pPr>
        <w:pStyle w:val="32"/>
        <w:rPr>
          <w:rFonts w:hint="eastAsia"/>
          <w:lang w:val="en-US" w:eastAsia="zh-CN"/>
        </w:rPr>
      </w:pPr>
      <w:r>
        <w:rPr>
          <w:rFonts w:hint="eastAsia"/>
          <w:lang w:val="en-US" w:eastAsia="zh-CN"/>
        </w:rPr>
        <w:t>事件解决率是反映事件处理能力的量化指标，其计算公式为：事件解决率 = (成功解决事件数 / 已关闭事件总数) × 100%。目标值为≥95%，按季度进行考核，责任部门为运维部。</w:t>
      </w:r>
    </w:p>
    <w:p w14:paraId="022D1FB6">
      <w:pPr>
        <w:pStyle w:val="32"/>
        <w:numPr>
          <w:ilvl w:val="0"/>
          <w:numId w:val="9"/>
        </w:numPr>
        <w:ind w:left="425" w:leftChars="0" w:hanging="425" w:firstLineChars="0"/>
        <w:rPr>
          <w:rFonts w:hint="eastAsia"/>
          <w:lang w:val="en-US" w:eastAsia="zh-CN"/>
        </w:rPr>
      </w:pPr>
      <w:r>
        <w:rPr>
          <w:rFonts w:hint="eastAsia"/>
          <w:lang w:val="en-US" w:eastAsia="zh-CN"/>
        </w:rPr>
        <w:t>一线解决率</w:t>
      </w:r>
    </w:p>
    <w:p w14:paraId="13B29049">
      <w:pPr>
        <w:pStyle w:val="32"/>
        <w:rPr>
          <w:rFonts w:hint="eastAsia"/>
          <w:lang w:val="en-US" w:eastAsia="zh-CN"/>
        </w:rPr>
      </w:pPr>
      <w:r>
        <w:rPr>
          <w:rFonts w:hint="eastAsia"/>
          <w:lang w:val="en-US" w:eastAsia="zh-CN"/>
        </w:rPr>
        <w:t>一线解决率是反映服务台问题解决能力的量化指标，其计算公式为：一线解决率 = (一线解决事件数 / 事件总数) × 100%。目标值为≥70%，按月度进行考核，责任部门为运维部。</w:t>
      </w:r>
    </w:p>
    <w:p w14:paraId="7E3E8725">
      <w:pPr>
        <w:pStyle w:val="34"/>
        <w:bidi w:val="0"/>
        <w:rPr>
          <w:rFonts w:hint="eastAsia"/>
          <w:lang w:val="en-US" w:eastAsia="zh-CN"/>
        </w:rPr>
      </w:pPr>
      <w:bookmarkStart w:id="45" w:name="_Toc19842"/>
      <w:r>
        <w:rPr>
          <w:rFonts w:hint="eastAsia"/>
          <w:lang w:val="en-US" w:eastAsia="zh-CN"/>
        </w:rPr>
        <w:t>问题管理</w:t>
      </w:r>
      <w:bookmarkEnd w:id="45"/>
    </w:p>
    <w:p w14:paraId="1C18CEE9">
      <w:pPr>
        <w:pStyle w:val="32"/>
        <w:rPr>
          <w:rFonts w:hint="eastAsia"/>
          <w:lang w:val="en-US" w:eastAsia="zh-CN"/>
        </w:rPr>
      </w:pPr>
      <w:r>
        <w:rPr>
          <w:rFonts w:hint="eastAsia"/>
          <w:lang w:val="en-US" w:eastAsia="zh-CN"/>
        </w:rPr>
        <w:t>根据《运维服务问题管理制度》，公司建立问题管理流程，通过分析事件的根本原因，防止同类事件再次发生。</w:t>
      </w:r>
    </w:p>
    <w:p w14:paraId="5DE1CC18">
      <w:pPr>
        <w:pStyle w:val="32"/>
        <w:rPr>
          <w:rFonts w:hint="eastAsia"/>
          <w:lang w:val="en-US" w:eastAsia="zh-CN"/>
        </w:rPr>
      </w:pPr>
      <w:r>
        <w:rPr>
          <w:rFonts w:hint="eastAsia"/>
          <w:lang w:val="en-US" w:eastAsia="zh-CN"/>
        </w:rPr>
        <w:t>2025年问题管理的主要工作包括：当事件原因不明、同一事件频繁发生（一周内发生3次以上）、事件影响重大时，由事件管理流程触发问题管理流程；运维部经理作为问题管理负责人，负责分派问题并跟踪解决；问题分析采用5W1H、鱼骨图、故障树等方法进行根本原因分析；问题解决后，将解决方案录入知识库，形成知识沉淀；问题管理负责人每月进行问题汇总分析，结果作为服务报告的输入。</w:t>
      </w:r>
    </w:p>
    <w:p w14:paraId="58C854BF">
      <w:pPr>
        <w:pStyle w:val="32"/>
        <w:rPr>
          <w:rFonts w:hint="eastAsia"/>
          <w:lang w:val="en-US" w:eastAsia="zh-CN"/>
        </w:rPr>
      </w:pPr>
      <w:r>
        <w:rPr>
          <w:rFonts w:hint="eastAsia"/>
          <w:lang w:val="en-US" w:eastAsia="zh-CN"/>
        </w:rPr>
        <w:t>KPI指标：问题解决率</w:t>
      </w:r>
    </w:p>
    <w:p w14:paraId="1288D7D9">
      <w:pPr>
        <w:pStyle w:val="32"/>
        <w:rPr>
          <w:rFonts w:hint="eastAsia"/>
          <w:lang w:val="en-US" w:eastAsia="zh-CN"/>
        </w:rPr>
      </w:pPr>
      <w:r>
        <w:rPr>
          <w:rFonts w:hint="eastAsia"/>
          <w:lang w:val="en-US" w:eastAsia="zh-CN"/>
        </w:rPr>
        <w:t>问题解决率是反映问题管理有效性的量化指标，其计算公式为：问题解决率 = (成功解决问题数 / 问题总数) × 100%。目标值为≥90%，按季度进行考核，责任部门为运维部。</w:t>
      </w:r>
    </w:p>
    <w:p w14:paraId="566E851D">
      <w:pPr>
        <w:pStyle w:val="34"/>
        <w:bidi w:val="0"/>
        <w:rPr>
          <w:rFonts w:hint="eastAsia"/>
          <w:lang w:val="en-US" w:eastAsia="zh-CN"/>
        </w:rPr>
      </w:pPr>
      <w:bookmarkStart w:id="46" w:name="_Toc24258"/>
      <w:r>
        <w:rPr>
          <w:rFonts w:hint="eastAsia"/>
          <w:lang w:val="en-US" w:eastAsia="zh-CN"/>
        </w:rPr>
        <w:t>变更管理</w:t>
      </w:r>
      <w:bookmarkEnd w:id="46"/>
    </w:p>
    <w:p w14:paraId="0DB544A0">
      <w:pPr>
        <w:pStyle w:val="32"/>
        <w:rPr>
          <w:rFonts w:hint="eastAsia"/>
          <w:lang w:val="en-US" w:eastAsia="zh-CN"/>
        </w:rPr>
      </w:pPr>
      <w:r>
        <w:rPr>
          <w:rFonts w:hint="eastAsia"/>
          <w:lang w:val="en-US" w:eastAsia="zh-CN"/>
        </w:rPr>
        <w:t>根据《运维服务变更管理制度》，公司建立变更管理流程，对所有对运维服务环境有影响的变更进行管理和控制。</w:t>
      </w:r>
    </w:p>
    <w:p w14:paraId="14BE4143">
      <w:pPr>
        <w:pStyle w:val="32"/>
        <w:rPr>
          <w:rFonts w:hint="eastAsia"/>
          <w:lang w:val="en-US" w:eastAsia="zh-CN"/>
        </w:rPr>
      </w:pPr>
      <w:r>
        <w:rPr>
          <w:rFonts w:hint="eastAsia"/>
          <w:lang w:val="en-US" w:eastAsia="zh-CN"/>
        </w:rPr>
        <w:t>2025年变更管理的主要工作包括：变更分为一般变更、重大变更、紧急变更三类，不同类型的变更执行不同的审批流程；变更方案必须包含回退计划，明确回退触发条件、回退操作步骤、回退负责人、回退验证方法等；重大变更和紧急变更由变更管理委员会（CAB）进行评估和决策，CAB成员包括运维部经理、研发部经理、产品质量部经理、总经理/副总经理、客户代表；变更完成后，变更管理负责人每季度对变更数量进行统计，分析变更过程存在的问题，形成变更服务报告。</w:t>
      </w:r>
    </w:p>
    <w:p w14:paraId="3E9F4107">
      <w:pPr>
        <w:pStyle w:val="32"/>
        <w:rPr>
          <w:rFonts w:hint="eastAsia"/>
          <w:lang w:val="en-US" w:eastAsia="zh-CN"/>
        </w:rPr>
      </w:pPr>
      <w:r>
        <w:rPr>
          <w:rFonts w:hint="eastAsia"/>
          <w:lang w:val="en-US" w:eastAsia="zh-CN"/>
        </w:rPr>
        <w:t>KPI指标：变更成功率</w:t>
      </w:r>
    </w:p>
    <w:p w14:paraId="1B5DA436">
      <w:pPr>
        <w:pStyle w:val="32"/>
        <w:rPr>
          <w:rFonts w:hint="eastAsia"/>
          <w:lang w:val="en-US" w:eastAsia="zh-CN"/>
        </w:rPr>
      </w:pPr>
      <w:r>
        <w:rPr>
          <w:rFonts w:hint="eastAsia"/>
          <w:lang w:val="en-US" w:eastAsia="zh-CN"/>
        </w:rPr>
        <w:t>变更成功率是反映变更管理执行质量的量化指标，其计算公式为：变更成功率 = (成功变更数 / 发起变更总数) × 100%。目标值为≥92%，按季度进行考核，责任部门为运维部。</w:t>
      </w:r>
    </w:p>
    <w:p w14:paraId="0BB3EFE9">
      <w:pPr>
        <w:pStyle w:val="34"/>
        <w:bidi w:val="0"/>
        <w:rPr>
          <w:rFonts w:hint="eastAsia"/>
          <w:lang w:val="en-US" w:eastAsia="zh-CN"/>
        </w:rPr>
      </w:pPr>
      <w:bookmarkStart w:id="47" w:name="_Toc27638"/>
      <w:r>
        <w:rPr>
          <w:rFonts w:hint="eastAsia"/>
          <w:lang w:val="en-US" w:eastAsia="zh-CN"/>
        </w:rPr>
        <w:t>发布管理</w:t>
      </w:r>
      <w:bookmarkEnd w:id="47"/>
    </w:p>
    <w:p w14:paraId="637A407B">
      <w:pPr>
        <w:pStyle w:val="32"/>
        <w:rPr>
          <w:rFonts w:hint="eastAsia"/>
          <w:lang w:val="en-US" w:eastAsia="zh-CN"/>
        </w:rPr>
      </w:pPr>
      <w:r>
        <w:rPr>
          <w:rFonts w:hint="eastAsia"/>
          <w:lang w:val="en-US" w:eastAsia="zh-CN"/>
        </w:rPr>
        <w:t>根据《运维服务发布管理制度》（HFSJ-ITSS-0607），公司建立发布管理流程，确保软件和硬件的变更经过测试验证后有序发布。</w:t>
      </w:r>
    </w:p>
    <w:p w14:paraId="79DD8ABF">
      <w:pPr>
        <w:pStyle w:val="32"/>
        <w:rPr>
          <w:rFonts w:hint="eastAsia"/>
          <w:lang w:val="en-US" w:eastAsia="zh-CN"/>
        </w:rPr>
      </w:pPr>
      <w:r>
        <w:rPr>
          <w:rFonts w:hint="eastAsia"/>
          <w:lang w:val="en-US" w:eastAsia="zh-CN"/>
        </w:rPr>
        <w:t>2025年发布管理的主要工作包括：发布管理负责人根据变更计划制定《发布方案》，发布方案必须包含回退计划；发布方案需经发布管理负责人（运维部经理）牵头评审，评审通过后方可实施；发布前应对程序和数据进行备份，部署完成后进行验证，验证不成功则按计划执行回退；发布完成后，发布管理负责人收集发布引起的事件或问题数量、发布数量等数据，进行分析并编写《发布报告》，作为服务报告的一部分。</w:t>
      </w:r>
    </w:p>
    <w:p w14:paraId="35F08715">
      <w:pPr>
        <w:pStyle w:val="32"/>
        <w:rPr>
          <w:rFonts w:hint="eastAsia"/>
          <w:lang w:val="en-US" w:eastAsia="zh-CN"/>
        </w:rPr>
      </w:pPr>
      <w:r>
        <w:rPr>
          <w:rFonts w:hint="eastAsia"/>
          <w:lang w:val="en-US" w:eastAsia="zh-CN"/>
        </w:rPr>
        <w:t>KPI指标：发布成功率</w:t>
      </w:r>
    </w:p>
    <w:p w14:paraId="597F8F39">
      <w:pPr>
        <w:pStyle w:val="32"/>
        <w:rPr>
          <w:rFonts w:hint="eastAsia"/>
          <w:lang w:val="en-US" w:eastAsia="zh-CN"/>
        </w:rPr>
      </w:pPr>
      <w:r>
        <w:rPr>
          <w:rFonts w:hint="eastAsia"/>
          <w:lang w:val="en-US" w:eastAsia="zh-CN"/>
        </w:rPr>
        <w:t>发布成功率是反映发布管理执行质量的量化指标，其计算公式为：发布成功率 = (发布成功次数 / 发布总次数) × 100%。目标值为≥95%，按季度进行考核，责任部门为运维部。</w:t>
      </w:r>
    </w:p>
    <w:p w14:paraId="22F8FA60">
      <w:pPr>
        <w:pStyle w:val="34"/>
        <w:bidi w:val="0"/>
        <w:rPr>
          <w:rFonts w:hint="eastAsia"/>
          <w:lang w:val="en-US" w:eastAsia="zh-CN"/>
        </w:rPr>
      </w:pPr>
      <w:bookmarkStart w:id="48" w:name="_Toc12147"/>
      <w:r>
        <w:rPr>
          <w:rFonts w:hint="eastAsia"/>
          <w:lang w:val="en-US" w:eastAsia="zh-CN"/>
        </w:rPr>
        <w:t>配置管理</w:t>
      </w:r>
      <w:bookmarkEnd w:id="48"/>
    </w:p>
    <w:p w14:paraId="79509C30">
      <w:pPr>
        <w:pStyle w:val="32"/>
        <w:rPr>
          <w:rFonts w:hint="eastAsia"/>
          <w:lang w:val="en-US" w:eastAsia="zh-CN"/>
        </w:rPr>
      </w:pPr>
      <w:r>
        <w:rPr>
          <w:rFonts w:hint="eastAsia"/>
          <w:lang w:val="en-US" w:eastAsia="zh-CN"/>
        </w:rPr>
        <w:t>根据《运维服务配置管理制度》，公司建立配置管理流程，通过配置管理数据库（CMDB）对配置项进行统一管理。</w:t>
      </w:r>
    </w:p>
    <w:p w14:paraId="0A9BF8F7">
      <w:pPr>
        <w:pStyle w:val="32"/>
        <w:rPr>
          <w:rFonts w:hint="eastAsia"/>
          <w:lang w:val="en-US" w:eastAsia="zh-CN"/>
        </w:rPr>
      </w:pPr>
      <w:r>
        <w:rPr>
          <w:rFonts w:hint="eastAsia"/>
          <w:lang w:val="en-US" w:eastAsia="zh-CN"/>
        </w:rPr>
        <w:t>2025年配置管理的主要工作包括：配置项范围涵盖文档信息、软件信息、硬件信息、其他信息（供应商信息、备件信息等）；硬件运维工程师、软件运维工程师、备件库专员分别负责对应配置项的识别、录入和维护；配置项状态包括开发中、测试中、运行中、废弃；每年至少进行一次配置审计和验证，发生重大变更、新服务上线、发现配置信息与实际情况不符时追加审计；配置管理员每月整理配置管理数据库的信息，编写《配置管理报告》。</w:t>
      </w:r>
    </w:p>
    <w:p w14:paraId="7A8F2AD7">
      <w:pPr>
        <w:pStyle w:val="32"/>
        <w:rPr>
          <w:rFonts w:hint="eastAsia"/>
          <w:lang w:val="en-US" w:eastAsia="zh-CN"/>
        </w:rPr>
      </w:pPr>
      <w:r>
        <w:rPr>
          <w:rFonts w:hint="eastAsia"/>
          <w:lang w:val="en-US" w:eastAsia="zh-CN"/>
        </w:rPr>
        <w:t>KPI指标：</w:t>
      </w:r>
    </w:p>
    <w:p w14:paraId="459B9E34">
      <w:pPr>
        <w:pStyle w:val="32"/>
        <w:numPr>
          <w:ilvl w:val="0"/>
          <w:numId w:val="10"/>
        </w:numPr>
        <w:ind w:left="425" w:leftChars="0" w:hanging="425" w:firstLineChars="0"/>
        <w:rPr>
          <w:rFonts w:hint="eastAsia"/>
          <w:lang w:val="en-US" w:eastAsia="zh-CN"/>
        </w:rPr>
      </w:pPr>
      <w:r>
        <w:rPr>
          <w:rFonts w:hint="eastAsia"/>
          <w:lang w:val="en-US" w:eastAsia="zh-CN"/>
        </w:rPr>
        <w:t>配置数据准确率</w:t>
      </w:r>
    </w:p>
    <w:p w14:paraId="7B70FFA8">
      <w:pPr>
        <w:pStyle w:val="32"/>
        <w:rPr>
          <w:rFonts w:hint="eastAsia"/>
          <w:lang w:val="en-US" w:eastAsia="zh-CN"/>
        </w:rPr>
      </w:pPr>
      <w:r>
        <w:rPr>
          <w:rFonts w:hint="eastAsia"/>
          <w:lang w:val="en-US" w:eastAsia="zh-CN"/>
        </w:rPr>
        <w:t>配置数据准确率是反映配置管理数据库数据准确性的量化指标，其计算公式为：配置数据准确率 = (配置数据匹配数 / 配置数据总数) × 100%。目标值为≥95%，按季度进行考核，责任部门为运维部。</w:t>
      </w:r>
    </w:p>
    <w:p w14:paraId="0FDCCE99">
      <w:pPr>
        <w:pStyle w:val="32"/>
        <w:numPr>
          <w:ilvl w:val="0"/>
          <w:numId w:val="10"/>
        </w:numPr>
        <w:ind w:left="425" w:leftChars="0" w:hanging="425" w:firstLineChars="0"/>
        <w:rPr>
          <w:rFonts w:hint="eastAsia"/>
          <w:lang w:val="en-US" w:eastAsia="zh-CN"/>
        </w:rPr>
      </w:pPr>
      <w:r>
        <w:rPr>
          <w:rFonts w:hint="eastAsia"/>
          <w:lang w:val="en-US" w:eastAsia="zh-CN"/>
        </w:rPr>
        <w:t>配置项覆盖率</w:t>
      </w:r>
    </w:p>
    <w:p w14:paraId="7C546B82">
      <w:pPr>
        <w:pStyle w:val="32"/>
        <w:rPr>
          <w:rFonts w:hint="eastAsia"/>
          <w:lang w:val="en-US" w:eastAsia="zh-CN"/>
        </w:rPr>
      </w:pPr>
      <w:r>
        <w:rPr>
          <w:rFonts w:hint="eastAsia"/>
          <w:lang w:val="en-US" w:eastAsia="zh-CN"/>
        </w:rPr>
        <w:t>配置项覆盖率是反映配置项识别完整性的量化指标，其计算公式为：配置项覆盖率 = (已识别配置项数 / 应识别配置项数) × 100%。目标值为≥95%，按季度进行考核，责任部门为运维部。</w:t>
      </w:r>
    </w:p>
    <w:p w14:paraId="5C965212">
      <w:pPr>
        <w:pStyle w:val="34"/>
        <w:bidi w:val="0"/>
        <w:rPr>
          <w:rFonts w:hint="eastAsia"/>
          <w:lang w:val="en-US" w:eastAsia="zh-CN"/>
        </w:rPr>
      </w:pPr>
      <w:bookmarkStart w:id="49" w:name="_Toc23011"/>
      <w:r>
        <w:rPr>
          <w:rFonts w:hint="eastAsia"/>
          <w:lang w:val="en-US" w:eastAsia="zh-CN"/>
        </w:rPr>
        <w:t>可用性和连续性管理</w:t>
      </w:r>
      <w:bookmarkEnd w:id="49"/>
    </w:p>
    <w:p w14:paraId="1210DBCD">
      <w:pPr>
        <w:pStyle w:val="32"/>
        <w:rPr>
          <w:rFonts w:hint="eastAsia"/>
          <w:lang w:val="en-US" w:eastAsia="zh-CN"/>
        </w:rPr>
      </w:pPr>
      <w:r>
        <w:rPr>
          <w:rFonts w:hint="eastAsia"/>
          <w:lang w:val="en-US" w:eastAsia="zh-CN"/>
        </w:rPr>
        <w:t>根据《服务可用性和连续性管理制度》，公司建立服务可用性和连续性管理流程，确保关键服务达到约定的可用性目标，在发生服务中断时能够及时恢复。</w:t>
      </w:r>
    </w:p>
    <w:p w14:paraId="531A55CC">
      <w:pPr>
        <w:pStyle w:val="32"/>
        <w:rPr>
          <w:rFonts w:hint="eastAsia"/>
          <w:lang w:val="en-US" w:eastAsia="zh-CN"/>
        </w:rPr>
      </w:pPr>
      <w:r>
        <w:rPr>
          <w:rFonts w:hint="eastAsia"/>
          <w:lang w:val="en-US" w:eastAsia="zh-CN"/>
        </w:rPr>
        <w:t>2025年可用性和连续性管理的主要工作包括：副总经理作为服务可用性和连续性管理负责人，统筹应急管理工作；运维部经理作为日常可用性管理负责人，负责服务可用性目标的制定和分解，日常可用性监控和分析；通过监控工具7×24小时实时监测系统运行状态，当监控指标触发预警阈值时，监控系统自动发送告警；每半年组织一次应急演练（桌面推演每半年1次、实战演练每年1次），验证应急预案有效性。</w:t>
      </w:r>
    </w:p>
    <w:p w14:paraId="3C7704A4">
      <w:pPr>
        <w:pStyle w:val="32"/>
        <w:rPr>
          <w:rFonts w:hint="eastAsia"/>
          <w:lang w:val="en-US" w:eastAsia="zh-CN"/>
        </w:rPr>
      </w:pPr>
      <w:r>
        <w:rPr>
          <w:rFonts w:hint="eastAsia"/>
          <w:lang w:val="en-US" w:eastAsia="zh-CN"/>
        </w:rPr>
        <w:t>KPI指标：</w:t>
      </w:r>
    </w:p>
    <w:p w14:paraId="784CA299">
      <w:pPr>
        <w:pStyle w:val="32"/>
        <w:numPr>
          <w:ilvl w:val="0"/>
          <w:numId w:val="11"/>
        </w:numPr>
        <w:ind w:left="425" w:leftChars="0" w:hanging="425" w:firstLineChars="0"/>
        <w:rPr>
          <w:rFonts w:hint="eastAsia"/>
          <w:lang w:val="en-US" w:eastAsia="zh-CN"/>
        </w:rPr>
      </w:pPr>
      <w:r>
        <w:rPr>
          <w:rFonts w:hint="eastAsia"/>
          <w:lang w:val="en-US" w:eastAsia="zh-CN"/>
        </w:rPr>
        <w:t>服务可用性达标率</w:t>
      </w:r>
    </w:p>
    <w:p w14:paraId="4ABB92AC">
      <w:pPr>
        <w:pStyle w:val="32"/>
        <w:rPr>
          <w:rFonts w:hint="eastAsia"/>
          <w:lang w:val="en-US" w:eastAsia="zh-CN"/>
        </w:rPr>
      </w:pPr>
      <w:r>
        <w:rPr>
          <w:rFonts w:hint="eastAsia"/>
          <w:lang w:val="en-US" w:eastAsia="zh-CN"/>
        </w:rPr>
        <w:t>服务可用性达标率是反映服务可用性目标达成情况的量化指标，其计算公式为：服务可用性达标率 = (系统实际持续可用时间 / 系统计划持续可用时间) × 100%。目标值为≥99%，按年度进行考核，责任部门为运维部。</w:t>
      </w:r>
    </w:p>
    <w:p w14:paraId="3705425F">
      <w:pPr>
        <w:pStyle w:val="32"/>
        <w:numPr>
          <w:ilvl w:val="0"/>
          <w:numId w:val="11"/>
        </w:numPr>
        <w:ind w:left="425" w:leftChars="0" w:hanging="425" w:firstLineChars="0"/>
        <w:rPr>
          <w:rFonts w:hint="eastAsia"/>
          <w:lang w:val="en-US" w:eastAsia="zh-CN"/>
        </w:rPr>
      </w:pPr>
      <w:r>
        <w:rPr>
          <w:rFonts w:hint="eastAsia"/>
          <w:lang w:val="en-US" w:eastAsia="zh-CN"/>
        </w:rPr>
        <w:t>服务异常中断次数</w:t>
      </w:r>
    </w:p>
    <w:p w14:paraId="1D7C6BA2">
      <w:pPr>
        <w:pStyle w:val="32"/>
        <w:rPr>
          <w:rFonts w:hint="eastAsia"/>
          <w:lang w:val="en-US" w:eastAsia="zh-CN"/>
        </w:rPr>
      </w:pPr>
      <w:r>
        <w:rPr>
          <w:rFonts w:hint="eastAsia"/>
          <w:lang w:val="en-US" w:eastAsia="zh-CN"/>
        </w:rPr>
        <w:t>服务异常中断次数是反映服务稳定性的量化指标。计算方式为：由于异常情况导致服务中断的次数统计。目标值为≤2次，按年度进行考核，责任部门为运维部。</w:t>
      </w:r>
    </w:p>
    <w:p w14:paraId="08F4D3EF">
      <w:pPr>
        <w:pStyle w:val="34"/>
        <w:bidi w:val="0"/>
        <w:rPr>
          <w:rFonts w:hint="eastAsia"/>
          <w:lang w:val="en-US" w:eastAsia="zh-CN"/>
        </w:rPr>
      </w:pPr>
      <w:bookmarkStart w:id="50" w:name="_Toc6473"/>
      <w:r>
        <w:rPr>
          <w:rFonts w:hint="eastAsia"/>
          <w:lang w:val="en-US" w:eastAsia="zh-CN"/>
        </w:rPr>
        <w:t>容量管理</w:t>
      </w:r>
      <w:bookmarkEnd w:id="50"/>
    </w:p>
    <w:p w14:paraId="238574DB">
      <w:pPr>
        <w:pStyle w:val="32"/>
        <w:rPr>
          <w:rFonts w:hint="eastAsia"/>
          <w:lang w:val="en-US" w:eastAsia="zh-CN"/>
        </w:rPr>
      </w:pPr>
      <w:r>
        <w:rPr>
          <w:rFonts w:hint="eastAsia"/>
          <w:lang w:val="en-US" w:eastAsia="zh-CN"/>
        </w:rPr>
        <w:t>根据《运维服务容量管理制度》，公司建立容量管理流程，确保IT基础设施和服务能力与业务需求相匹配。</w:t>
      </w:r>
    </w:p>
    <w:p w14:paraId="4AE7349E">
      <w:pPr>
        <w:pStyle w:val="32"/>
        <w:rPr>
          <w:rFonts w:hint="eastAsia"/>
          <w:lang w:val="en-US" w:eastAsia="zh-CN"/>
        </w:rPr>
      </w:pPr>
      <w:r>
        <w:rPr>
          <w:rFonts w:hint="eastAsia"/>
          <w:lang w:val="en-US" w:eastAsia="zh-CN"/>
        </w:rPr>
        <w:t>2025年容量管理的主要工作包括：容量管理范围涵盖计算资源（服务器、虚拟机）、存储资源、网络资源、数据库资源、应用系统、前端设备；容量监控人员按照容量管理计划执行日常容量监控，关键容量指标包括CPU使用率（&gt;80%预警、&gt;90%告警）、内存使用率（&gt;85%预警、&gt;95%告警）、磁盘使用率（&gt;80%预警、&gt;90%告警）等；每月进行容量分析，识别容量趋势、瓶颈和潜在风险；容量调整通过变更管理流程执行。</w:t>
      </w:r>
    </w:p>
    <w:p w14:paraId="08C75CB4">
      <w:pPr>
        <w:pStyle w:val="32"/>
        <w:rPr>
          <w:rFonts w:hint="eastAsia"/>
          <w:lang w:val="en-US" w:eastAsia="zh-CN"/>
        </w:rPr>
      </w:pPr>
      <w:r>
        <w:rPr>
          <w:rFonts w:hint="eastAsia"/>
          <w:lang w:val="en-US" w:eastAsia="zh-CN"/>
        </w:rPr>
        <w:t>KPI指标：容量报告及时性</w:t>
      </w:r>
    </w:p>
    <w:p w14:paraId="566EC284">
      <w:pPr>
        <w:pStyle w:val="32"/>
        <w:rPr>
          <w:rFonts w:hint="eastAsia"/>
          <w:lang w:val="en-US" w:eastAsia="zh-CN"/>
        </w:rPr>
      </w:pPr>
      <w:r>
        <w:rPr>
          <w:rFonts w:hint="eastAsia"/>
          <w:lang w:val="en-US" w:eastAsia="zh-CN"/>
        </w:rPr>
        <w:t>容量报告及时性是反映容量管理工作按时交付情况的量化指标，其计算公式为：容量报告及时性 = (实际按时提交的报告数 / 应按时提交的报告数) × 100%。目标值为≥95%，按季度进行考核，责任部门为运维部。</w:t>
      </w:r>
    </w:p>
    <w:p w14:paraId="3656F7B9">
      <w:pPr>
        <w:pStyle w:val="34"/>
        <w:bidi w:val="0"/>
        <w:rPr>
          <w:rFonts w:hint="eastAsia"/>
          <w:lang w:val="en-US" w:eastAsia="zh-CN"/>
        </w:rPr>
      </w:pPr>
      <w:bookmarkStart w:id="51" w:name="_Toc1700"/>
      <w:r>
        <w:rPr>
          <w:rFonts w:hint="eastAsia"/>
          <w:lang w:val="en-US" w:eastAsia="zh-CN"/>
        </w:rPr>
        <w:t>信息安全管理</w:t>
      </w:r>
      <w:bookmarkEnd w:id="51"/>
    </w:p>
    <w:p w14:paraId="15441BFA">
      <w:pPr>
        <w:pStyle w:val="32"/>
        <w:rPr>
          <w:rFonts w:hint="eastAsia"/>
          <w:lang w:val="en-US" w:eastAsia="zh-CN"/>
        </w:rPr>
      </w:pPr>
      <w:r>
        <w:rPr>
          <w:rFonts w:hint="eastAsia"/>
          <w:lang w:val="en-US" w:eastAsia="zh-CN"/>
        </w:rPr>
        <w:t>根据《运维服务信息安全管理制度》，公司建立信息安全管理流程，确保服务的安全性满足客户约定的级别。</w:t>
      </w:r>
    </w:p>
    <w:p w14:paraId="3EC6F6A9">
      <w:pPr>
        <w:pStyle w:val="32"/>
        <w:rPr>
          <w:rFonts w:hint="eastAsia"/>
          <w:lang w:val="en-US" w:eastAsia="zh-CN"/>
        </w:rPr>
      </w:pPr>
      <w:r>
        <w:rPr>
          <w:rFonts w:hint="eastAsia"/>
          <w:lang w:val="en-US" w:eastAsia="zh-CN"/>
        </w:rPr>
        <w:t>2025年信息安全管理的主要工作包括：遵循公司"统一规划、分级管理、积极防范、人人有责"的安全方针；每年至少进行一次信息安全风险评估，识别信息资产、评估面临的威胁和脆弱性，确定风险等级；制定《信息安全管理规范》，覆盖人员安全、访问控制、数据安全、系统安全、网络安全、物理安全、应急响应七类规范；每半年组织一次安全培训，确保运维人员了解安全政策和操作规范。</w:t>
      </w:r>
    </w:p>
    <w:p w14:paraId="453E40E2">
      <w:pPr>
        <w:pStyle w:val="32"/>
        <w:rPr>
          <w:rFonts w:hint="eastAsia"/>
          <w:lang w:val="en-US" w:eastAsia="zh-CN"/>
        </w:rPr>
      </w:pPr>
      <w:r>
        <w:rPr>
          <w:rFonts w:hint="eastAsia"/>
          <w:lang w:val="en-US" w:eastAsia="zh-CN"/>
        </w:rPr>
        <w:t>KPI指标：</w:t>
      </w:r>
    </w:p>
    <w:p w14:paraId="571DF5E5">
      <w:pPr>
        <w:pStyle w:val="32"/>
        <w:numPr>
          <w:ilvl w:val="0"/>
          <w:numId w:val="12"/>
        </w:numPr>
        <w:ind w:left="425" w:leftChars="0" w:hanging="425" w:firstLineChars="0"/>
        <w:rPr>
          <w:rFonts w:hint="eastAsia"/>
          <w:lang w:val="en-US" w:eastAsia="zh-CN"/>
        </w:rPr>
      </w:pPr>
      <w:r>
        <w:rPr>
          <w:rFonts w:hint="eastAsia"/>
          <w:lang w:val="en-US" w:eastAsia="zh-CN"/>
        </w:rPr>
        <w:t>安全培训覆盖率</w:t>
      </w:r>
    </w:p>
    <w:p w14:paraId="495CCABF">
      <w:pPr>
        <w:pStyle w:val="32"/>
        <w:rPr>
          <w:rFonts w:hint="eastAsia"/>
          <w:lang w:val="en-US" w:eastAsia="zh-CN"/>
        </w:rPr>
      </w:pPr>
      <w:r>
        <w:rPr>
          <w:rFonts w:hint="eastAsia"/>
          <w:lang w:val="en-US" w:eastAsia="zh-CN"/>
        </w:rPr>
        <w:t>安全培训覆盖率是反映安全培训覆盖广度的量化指标，其计算公式为：安全培训覆盖率 = (接受培训人数 / 应培训人数) × 100%。目标值为≥95%，按年度进行考核，责任部门为运维部。</w:t>
      </w:r>
    </w:p>
    <w:p w14:paraId="3DB2712A">
      <w:pPr>
        <w:pStyle w:val="32"/>
        <w:numPr>
          <w:ilvl w:val="0"/>
          <w:numId w:val="12"/>
        </w:numPr>
        <w:ind w:left="425" w:leftChars="0" w:hanging="425" w:firstLineChars="0"/>
        <w:rPr>
          <w:rFonts w:hint="eastAsia"/>
          <w:lang w:val="en-US" w:eastAsia="zh-CN"/>
        </w:rPr>
      </w:pPr>
      <w:r>
        <w:rPr>
          <w:rFonts w:hint="eastAsia"/>
          <w:lang w:val="en-US" w:eastAsia="zh-CN"/>
        </w:rPr>
        <w:t>信息安全事故数量</w:t>
      </w:r>
    </w:p>
    <w:p w14:paraId="66320C30">
      <w:pPr>
        <w:pStyle w:val="32"/>
        <w:rPr>
          <w:rFonts w:hint="eastAsia"/>
          <w:lang w:val="en-US" w:eastAsia="zh-CN"/>
        </w:rPr>
      </w:pPr>
      <w:r>
        <w:rPr>
          <w:rFonts w:hint="eastAsia"/>
          <w:lang w:val="en-US" w:eastAsia="zh-CN"/>
        </w:rPr>
        <w:t>信息安全事故数量是反映信息安全管理有效性的量化指标。计算方式为：我方人员造成安全事故的次数统计。目标值为≤1次，按年度进行考核，责任部门为运维部。</w:t>
      </w:r>
    </w:p>
    <w:p w14:paraId="18517627">
      <w:pPr>
        <w:pStyle w:val="33"/>
        <w:bidi w:val="0"/>
        <w:rPr>
          <w:rFonts w:hint="eastAsia"/>
          <w:lang w:val="en-US" w:eastAsia="zh-CN"/>
        </w:rPr>
      </w:pPr>
      <w:bookmarkStart w:id="52" w:name="_Toc17627"/>
      <w:r>
        <w:rPr>
          <w:rFonts w:hint="eastAsia"/>
          <w:lang w:val="en-US" w:eastAsia="zh-CN"/>
        </w:rPr>
        <w:t>交付管理规划</w:t>
      </w:r>
      <w:bookmarkEnd w:id="52"/>
    </w:p>
    <w:p w14:paraId="2AA16C14">
      <w:pPr>
        <w:pStyle w:val="32"/>
        <w:rPr>
          <w:rFonts w:hint="eastAsia"/>
          <w:lang w:val="en-US" w:eastAsia="zh-CN"/>
        </w:rPr>
      </w:pPr>
      <w:r>
        <w:rPr>
          <w:rFonts w:hint="eastAsia"/>
          <w:lang w:val="en-US" w:eastAsia="zh-CN"/>
        </w:rPr>
        <w:t>根据《运维服务交付管理制度》，公司采用PDCA循环管理模式，通过交付策划、交付实施、交付检查、交付改进四个核心环节，实现服务交付质量的闭环管控。</w:t>
      </w:r>
    </w:p>
    <w:p w14:paraId="2C4B04CD">
      <w:pPr>
        <w:pStyle w:val="32"/>
        <w:rPr>
          <w:rFonts w:hint="eastAsia"/>
          <w:lang w:val="en-US" w:eastAsia="zh-CN"/>
        </w:rPr>
      </w:pPr>
      <w:r>
        <w:rPr>
          <w:rFonts w:hint="eastAsia"/>
          <w:lang w:val="en-US" w:eastAsia="zh-CN"/>
        </w:rPr>
        <w:t>2025年交付管理的主要工作包括：</w:t>
      </w:r>
    </w:p>
    <w:p w14:paraId="6D6AA076">
      <w:pPr>
        <w:pStyle w:val="34"/>
        <w:bidi w:val="0"/>
        <w:rPr>
          <w:rFonts w:hint="eastAsia"/>
          <w:lang w:val="en-US" w:eastAsia="zh-CN"/>
        </w:rPr>
      </w:pPr>
      <w:bookmarkStart w:id="53" w:name="_Toc7312"/>
      <w:r>
        <w:rPr>
          <w:rFonts w:hint="eastAsia"/>
          <w:lang w:val="en-US" w:eastAsia="zh-CN"/>
        </w:rPr>
        <w:t>交付策划</w:t>
      </w:r>
      <w:bookmarkEnd w:id="53"/>
    </w:p>
    <w:p w14:paraId="2D141E1A">
      <w:pPr>
        <w:pStyle w:val="32"/>
        <w:rPr>
          <w:rFonts w:hint="eastAsia"/>
          <w:lang w:val="en-US" w:eastAsia="zh-CN"/>
        </w:rPr>
      </w:pPr>
      <w:r>
        <w:rPr>
          <w:rFonts w:hint="eastAsia"/>
          <w:lang w:val="en-US" w:eastAsia="zh-CN"/>
        </w:rPr>
        <w:t>项目启动时与客户召开项目交底会，明确服务范围、SLA指标、沟通机制、应急联络方式，形成《项目交底会议纪要》；编制《项目服务总计划》和《运维服务交付计划》，明确里程碑节点、交付物、责任人及验收标准；组建"一线、二线、三线"三级运维服务体系，明确各岗位职责；开展全面风险评估，制定《风险管理计划》和专项应急预案。</w:t>
      </w:r>
    </w:p>
    <w:p w14:paraId="0DED013E">
      <w:pPr>
        <w:pStyle w:val="34"/>
        <w:bidi w:val="0"/>
        <w:rPr>
          <w:rFonts w:hint="eastAsia"/>
          <w:lang w:val="en-US" w:eastAsia="zh-CN"/>
        </w:rPr>
      </w:pPr>
      <w:bookmarkStart w:id="54" w:name="_Toc11988"/>
      <w:r>
        <w:rPr>
          <w:rFonts w:hint="eastAsia"/>
          <w:lang w:val="en-US" w:eastAsia="zh-CN"/>
        </w:rPr>
        <w:t>交付实施</w:t>
      </w:r>
      <w:bookmarkEnd w:id="54"/>
    </w:p>
    <w:p w14:paraId="62868514">
      <w:pPr>
        <w:pStyle w:val="32"/>
        <w:rPr>
          <w:rFonts w:hint="eastAsia"/>
          <w:lang w:val="en-US" w:eastAsia="zh-CN"/>
        </w:rPr>
      </w:pPr>
      <w:r>
        <w:rPr>
          <w:rFonts w:hint="eastAsia"/>
          <w:lang w:val="en-US" w:eastAsia="zh-CN"/>
        </w:rPr>
        <w:t>严格遵循服务计划及操作规范，通过工单系统统一受理、派发、处理所有服务请求；建立SLA达成情况实时监控机制，每日统计服务响应时间、故障解决率等关键数据；严格执行故障处理流程，确保所有故障在规定时限内闭环；通过周报、月报、季报等形式，定期向客户及公司管理层同步项目进展、风险状况、服务成果。</w:t>
      </w:r>
    </w:p>
    <w:p w14:paraId="316588C4">
      <w:pPr>
        <w:pStyle w:val="34"/>
        <w:bidi w:val="0"/>
        <w:rPr>
          <w:rFonts w:hint="eastAsia"/>
          <w:lang w:val="en-US" w:eastAsia="zh-CN"/>
        </w:rPr>
      </w:pPr>
      <w:bookmarkStart w:id="55" w:name="_Toc31372"/>
      <w:r>
        <w:rPr>
          <w:rFonts w:hint="eastAsia"/>
          <w:lang w:val="en-US" w:eastAsia="zh-CN"/>
        </w:rPr>
        <w:t>交付检查</w:t>
      </w:r>
      <w:bookmarkEnd w:id="55"/>
    </w:p>
    <w:p w14:paraId="452C18AC">
      <w:pPr>
        <w:pStyle w:val="32"/>
        <w:rPr>
          <w:rFonts w:hint="eastAsia"/>
          <w:lang w:val="en-US" w:eastAsia="zh-CN"/>
        </w:rPr>
      </w:pPr>
      <w:r>
        <w:rPr>
          <w:rFonts w:hint="eastAsia"/>
          <w:lang w:val="en-US" w:eastAsia="zh-CN"/>
        </w:rPr>
        <w:t>运维项目经理每月组织项目自查，形成《自查报告》并自行整改；产品质量部经理每季度对重点项目进行全覆盖抽查，填写《交付检查报告》；检查结果及时反馈并纳入问题整改台账跟踪闭环。</w:t>
      </w:r>
    </w:p>
    <w:p w14:paraId="66D7ECC7">
      <w:pPr>
        <w:pStyle w:val="34"/>
        <w:bidi w:val="0"/>
        <w:rPr>
          <w:rFonts w:hint="eastAsia"/>
          <w:lang w:val="en-US" w:eastAsia="zh-CN"/>
        </w:rPr>
      </w:pPr>
      <w:bookmarkStart w:id="56" w:name="_Toc25543"/>
      <w:r>
        <w:rPr>
          <w:rFonts w:hint="eastAsia"/>
          <w:lang w:val="en-US" w:eastAsia="zh-CN"/>
        </w:rPr>
        <w:t>交付改进</w:t>
      </w:r>
      <w:bookmarkEnd w:id="56"/>
    </w:p>
    <w:p w14:paraId="56CD858C">
      <w:pPr>
        <w:pStyle w:val="32"/>
        <w:rPr>
          <w:rFonts w:hint="eastAsia"/>
          <w:lang w:val="en-US" w:eastAsia="zh-CN"/>
        </w:rPr>
      </w:pPr>
      <w:r>
        <w:rPr>
          <w:rFonts w:hint="eastAsia"/>
          <w:lang w:val="en-US" w:eastAsia="zh-CN"/>
        </w:rPr>
        <w:t>产品质量部牵头，针对检查报告和客户投诉，组织召开专题分析会，制定改进方案，明确整改措施、时限与责任人；定期组织服务复盘会议，总结经验教训，形成《服务改进报告》；将改进成果固化到服务流程、操作手册、知识库中。</w:t>
      </w:r>
    </w:p>
    <w:p w14:paraId="68B36950">
      <w:pPr>
        <w:pStyle w:val="32"/>
        <w:rPr>
          <w:rFonts w:hint="eastAsia"/>
          <w:lang w:val="en-US" w:eastAsia="zh-CN"/>
        </w:rPr>
      </w:pPr>
      <w:r>
        <w:rPr>
          <w:rFonts w:hint="eastAsia"/>
          <w:lang w:val="en-US" w:eastAsia="zh-CN"/>
        </w:rPr>
        <w:t>KPI指标：交付通过率</w:t>
      </w:r>
    </w:p>
    <w:p w14:paraId="1A23EA7D">
      <w:pPr>
        <w:pStyle w:val="32"/>
        <w:rPr>
          <w:rFonts w:hint="eastAsia"/>
          <w:lang w:val="en-US" w:eastAsia="zh-CN"/>
        </w:rPr>
      </w:pPr>
      <w:r>
        <w:rPr>
          <w:rFonts w:hint="eastAsia"/>
          <w:lang w:val="en-US" w:eastAsia="zh-CN"/>
        </w:rPr>
        <w:t>交付通过率是反映运维服务交付质量的量化指标，其计算公式为：交付通过率 = (一次交付成功项目数 / 总交付项目数) × 100%。目标值为≥95%，按年度进行考核，责任部门为运维部。</w:t>
      </w:r>
    </w:p>
    <w:p w14:paraId="45235506">
      <w:pPr>
        <w:pStyle w:val="33"/>
        <w:bidi w:val="0"/>
        <w:rPr>
          <w:rFonts w:hint="eastAsia"/>
          <w:lang w:val="en-US" w:eastAsia="zh-CN"/>
        </w:rPr>
      </w:pPr>
      <w:bookmarkStart w:id="57" w:name="_Toc1822"/>
      <w:r>
        <w:rPr>
          <w:rFonts w:hint="eastAsia"/>
          <w:lang w:val="en-US" w:eastAsia="zh-CN"/>
        </w:rPr>
        <w:t>应急管理规划</w:t>
      </w:r>
      <w:bookmarkEnd w:id="57"/>
    </w:p>
    <w:p w14:paraId="7C2AE9A9">
      <w:pPr>
        <w:pStyle w:val="32"/>
        <w:rPr>
          <w:rFonts w:hint="eastAsia"/>
          <w:lang w:val="en-US" w:eastAsia="zh-CN"/>
        </w:rPr>
      </w:pPr>
      <w:r>
        <w:rPr>
          <w:rFonts w:hint="eastAsia"/>
          <w:lang w:val="en-US" w:eastAsia="zh-CN"/>
        </w:rPr>
        <w:t>根据《运维服务应急管理制度》，公司建立统一的应急响应管理体系，确保在突发事件发生时能够快速响应、有效处置。</w:t>
      </w:r>
    </w:p>
    <w:p w14:paraId="6C460D7A">
      <w:pPr>
        <w:pStyle w:val="32"/>
        <w:rPr>
          <w:rFonts w:hint="eastAsia"/>
          <w:lang w:val="en-US" w:eastAsia="zh-CN"/>
        </w:rPr>
      </w:pPr>
      <w:r>
        <w:rPr>
          <w:rFonts w:hint="eastAsia"/>
          <w:lang w:val="en-US" w:eastAsia="zh-CN"/>
        </w:rPr>
        <w:t>2025年应急管理的主要工作包括：</w:t>
      </w:r>
    </w:p>
    <w:p w14:paraId="52F8C5DF">
      <w:pPr>
        <w:pStyle w:val="32"/>
        <w:rPr>
          <w:rFonts w:hint="eastAsia"/>
          <w:lang w:val="en-US" w:eastAsia="zh-CN"/>
        </w:rPr>
      </w:pPr>
      <w:r>
        <w:rPr>
          <w:rFonts w:hint="eastAsia"/>
          <w:lang w:val="en-US" w:eastAsia="zh-CN"/>
        </w:rPr>
        <w:t>应急组织：公司设立三级应急组织体系，包括应急领导小组（副总经理、运维部经理、研发部经理、产品质量部经理）、应急执行小组（运维项目经理、硬件/软件运维工程师、技术支持工程师）、应急支持小组（综合部经理、备件库专员、采购专员）。</w:t>
      </w:r>
    </w:p>
    <w:p w14:paraId="17D47A19">
      <w:pPr>
        <w:pStyle w:val="32"/>
        <w:rPr>
          <w:rFonts w:hint="eastAsia"/>
          <w:lang w:val="en-US" w:eastAsia="zh-CN"/>
        </w:rPr>
      </w:pPr>
      <w:r>
        <w:rPr>
          <w:rFonts w:hint="eastAsia"/>
          <w:lang w:val="en-US" w:eastAsia="zh-CN"/>
        </w:rPr>
        <w:t>应急预案：每个运维项目至少制定一份《应急预案》，涵盖项目核心系统，包括适用范围、应急组织架构及职责、风险场景及对应处置流程、联络方式、资源清单、恢复步骤、回退方案等；应急预案由运维项目经理组织编写，经运维部经理审核、副总经理批准后发布执行；每年至少评审一次应急预案，根据风险评估结果、演练总结、实际事件处置经验进行修订。</w:t>
      </w:r>
    </w:p>
    <w:p w14:paraId="60F9836A">
      <w:pPr>
        <w:pStyle w:val="32"/>
        <w:rPr>
          <w:rFonts w:hint="eastAsia"/>
          <w:lang w:val="en-US" w:eastAsia="zh-CN"/>
        </w:rPr>
      </w:pPr>
      <w:r>
        <w:rPr>
          <w:rFonts w:hint="eastAsia"/>
          <w:lang w:val="en-US" w:eastAsia="zh-CN"/>
        </w:rPr>
        <w:t>应急响应：应急响应流程分为监测与预警、先期处置、应急启动、应急处置、应急终止五个阶段；一线工程师接到告警后应在15分钟内响应，若在30分钟内无法恢复或事件影响重大，应立即上报运维项目经理和副总经理；应急处置过程中，重大事件每30分钟向客户和管理层通报一次进展。</w:t>
      </w:r>
    </w:p>
    <w:p w14:paraId="66E9EA8B">
      <w:pPr>
        <w:pStyle w:val="32"/>
        <w:rPr>
          <w:rFonts w:hint="eastAsia"/>
          <w:lang w:val="en-US" w:eastAsia="zh-CN"/>
        </w:rPr>
      </w:pPr>
      <w:r>
        <w:rPr>
          <w:rFonts w:hint="eastAsia"/>
          <w:lang w:val="en-US" w:eastAsia="zh-CN"/>
        </w:rPr>
        <w:t>应急演练：每年至少组织一次全面演练（实战演练），每季度组织一次专项演练（桌面推演）；演练前制定《应急演练计划》，明确演练目标、场景、参与人员、物资准备；演练过程全程记录，演练后组织复盘，评估演练效果，形成《应急演练总结报告》。</w:t>
      </w:r>
    </w:p>
    <w:p w14:paraId="229AD716">
      <w:pPr>
        <w:pStyle w:val="32"/>
        <w:rPr>
          <w:rFonts w:hint="eastAsia"/>
          <w:lang w:val="en-US" w:eastAsia="zh-CN"/>
        </w:rPr>
      </w:pPr>
      <w:r>
        <w:rPr>
          <w:rFonts w:hint="eastAsia"/>
          <w:lang w:val="en-US" w:eastAsia="zh-CN"/>
        </w:rPr>
        <w:t>KPI指标：应急演练次数</w:t>
      </w:r>
    </w:p>
    <w:p w14:paraId="3268C9C5">
      <w:pPr>
        <w:pStyle w:val="32"/>
        <w:rPr>
          <w:rFonts w:hint="eastAsia"/>
          <w:lang w:val="en-US" w:eastAsia="zh-CN"/>
        </w:rPr>
      </w:pPr>
      <w:r>
        <w:rPr>
          <w:rFonts w:hint="eastAsia"/>
          <w:lang w:val="en-US" w:eastAsia="zh-CN"/>
        </w:rPr>
        <w:t>应急演练次数是反映应急演练执行情况的量化指标。计算方式为：应急演练报告数量统计。目标值为≥1次，按年度进行考核，责任部门为运维部。</w:t>
      </w:r>
    </w:p>
    <w:p w14:paraId="4A1989A1">
      <w:pPr>
        <w:pStyle w:val="33"/>
        <w:bidi w:val="0"/>
        <w:rPr>
          <w:rFonts w:hint="eastAsia"/>
          <w:lang w:val="en-US" w:eastAsia="zh-CN"/>
        </w:rPr>
      </w:pPr>
      <w:bookmarkStart w:id="58" w:name="_Toc29559"/>
      <w:r>
        <w:rPr>
          <w:rFonts w:hint="eastAsia"/>
          <w:lang w:val="en-US" w:eastAsia="zh-CN"/>
        </w:rPr>
        <w:t>质量管理规划</w:t>
      </w:r>
      <w:bookmarkEnd w:id="58"/>
    </w:p>
    <w:p w14:paraId="769495D7">
      <w:pPr>
        <w:pStyle w:val="32"/>
        <w:rPr>
          <w:rFonts w:hint="eastAsia"/>
          <w:lang w:val="en-US" w:eastAsia="zh-CN"/>
        </w:rPr>
      </w:pPr>
      <w:r>
        <w:rPr>
          <w:rFonts w:hint="eastAsia"/>
          <w:lang w:val="en-US" w:eastAsia="zh-CN"/>
        </w:rPr>
        <w:t>根据《运维服务质量管理制度》《内审管理制度》（HFSJ-ITSS-0401）、《管理评审制度》《满意度管理制度》等制度，公司建立全面的质量管理体系，确保运维服务质量持续提升。</w:t>
      </w:r>
    </w:p>
    <w:p w14:paraId="29BC755A">
      <w:pPr>
        <w:pStyle w:val="32"/>
        <w:rPr>
          <w:rFonts w:hint="eastAsia"/>
          <w:lang w:val="en-US" w:eastAsia="zh-CN"/>
        </w:rPr>
      </w:pPr>
      <w:r>
        <w:rPr>
          <w:rFonts w:hint="eastAsia"/>
          <w:lang w:val="en-US" w:eastAsia="zh-CN"/>
        </w:rPr>
        <w:t>2025年质量管理的主要工作包括：</w:t>
      </w:r>
    </w:p>
    <w:p w14:paraId="1BEDBCFC">
      <w:pPr>
        <w:pStyle w:val="32"/>
        <w:rPr>
          <w:rFonts w:hint="eastAsia"/>
          <w:lang w:val="en-US" w:eastAsia="zh-CN"/>
        </w:rPr>
      </w:pPr>
      <w:r>
        <w:rPr>
          <w:rFonts w:hint="eastAsia"/>
          <w:lang w:val="en-US" w:eastAsia="zh-CN"/>
        </w:rPr>
        <w:t>质量方针：遵循公司"过程规范、快速响应、提高服务质量，提升客户满意度"的质量方针，全体员工在日常工作中贯彻质量意识。</w:t>
      </w:r>
    </w:p>
    <w:p w14:paraId="18571AA8">
      <w:pPr>
        <w:pStyle w:val="34"/>
        <w:bidi w:val="0"/>
        <w:rPr>
          <w:rFonts w:hint="eastAsia"/>
          <w:lang w:val="en-US" w:eastAsia="zh-CN"/>
        </w:rPr>
      </w:pPr>
      <w:bookmarkStart w:id="59" w:name="_Toc4354"/>
      <w:r>
        <w:rPr>
          <w:rFonts w:hint="eastAsia"/>
          <w:lang w:val="en-US" w:eastAsia="zh-CN"/>
        </w:rPr>
        <w:t>质量管理计划</w:t>
      </w:r>
      <w:bookmarkEnd w:id="59"/>
    </w:p>
    <w:p w14:paraId="0FEF85DF">
      <w:pPr>
        <w:pStyle w:val="32"/>
        <w:rPr>
          <w:rFonts w:hint="eastAsia"/>
          <w:lang w:val="en-US" w:eastAsia="zh-CN"/>
        </w:rPr>
      </w:pPr>
      <w:r>
        <w:rPr>
          <w:rFonts w:hint="eastAsia"/>
          <w:lang w:val="en-US" w:eastAsia="zh-CN"/>
        </w:rPr>
        <w:t>产品质量部每年年初制定《年度运维服务质量管理计划》，明确质量管理的目的、范围、组织、权限、责任，确定要对哪些过程和服务进行质量检查审计，明确质量检查的时间安排和频次、质量培训计划、质量目标及KPI指标。</w:t>
      </w:r>
    </w:p>
    <w:p w14:paraId="443AB069">
      <w:pPr>
        <w:pStyle w:val="34"/>
        <w:bidi w:val="0"/>
        <w:rPr>
          <w:rFonts w:hint="eastAsia"/>
          <w:lang w:val="en-US" w:eastAsia="zh-CN"/>
        </w:rPr>
      </w:pPr>
      <w:bookmarkStart w:id="60" w:name="_Toc8076"/>
      <w:r>
        <w:rPr>
          <w:rFonts w:hint="eastAsia"/>
          <w:lang w:val="en-US" w:eastAsia="zh-CN"/>
        </w:rPr>
        <w:t>质量检查</w:t>
      </w:r>
      <w:bookmarkEnd w:id="60"/>
    </w:p>
    <w:p w14:paraId="00A9E63B">
      <w:pPr>
        <w:pStyle w:val="32"/>
        <w:rPr>
          <w:rFonts w:hint="eastAsia"/>
          <w:lang w:val="en-US" w:eastAsia="zh-CN"/>
        </w:rPr>
      </w:pPr>
      <w:r>
        <w:rPr>
          <w:rFonts w:hint="eastAsia"/>
          <w:lang w:val="en-US" w:eastAsia="zh-CN"/>
        </w:rPr>
        <w:t>产品质量部每季度对组织级的运维服务质量进行审计，检查能力计划执行情况和指标体系中各指标项的达成情况，检查各过程管理制度的执行情况，检查服务交付物的完整性；产品质量部依据质量管理计划，定期对项目活动和工作产品进行检查，记录检查发现的问题，作为改进的依据。</w:t>
      </w:r>
    </w:p>
    <w:p w14:paraId="03665A08">
      <w:pPr>
        <w:pStyle w:val="34"/>
        <w:bidi w:val="0"/>
        <w:rPr>
          <w:rFonts w:hint="eastAsia"/>
          <w:lang w:val="en-US" w:eastAsia="zh-CN"/>
        </w:rPr>
      </w:pPr>
      <w:bookmarkStart w:id="61" w:name="_Toc20892"/>
      <w:r>
        <w:rPr>
          <w:rFonts w:hint="eastAsia"/>
          <w:lang w:val="en-US" w:eastAsia="zh-CN"/>
        </w:rPr>
        <w:t>内部审核</w:t>
      </w:r>
      <w:bookmarkEnd w:id="61"/>
    </w:p>
    <w:p w14:paraId="2AED1800">
      <w:pPr>
        <w:pStyle w:val="32"/>
        <w:rPr>
          <w:rFonts w:hint="eastAsia"/>
          <w:lang w:val="en-US" w:eastAsia="zh-CN"/>
        </w:rPr>
      </w:pPr>
      <w:r>
        <w:rPr>
          <w:rFonts w:hint="eastAsia"/>
          <w:lang w:val="en-US" w:eastAsia="zh-CN"/>
        </w:rPr>
        <w:t>产品质量部每年度至少组织一次覆盖公司全范围的运维服务管理体系内部审核活动，审核范围应覆盖人员、资源、技术、过程、交付、应急六大能力域；内审员不得审核本部门，审核依据包括ITSS标准、GB/T 28827.1、公司相关制度、SLA协议、客户需求及法律法规；审核结束后，内审组长编写《内部审核报告》，报总经理审批后发放至相关受审部门。</w:t>
      </w:r>
    </w:p>
    <w:p w14:paraId="7A008CB9">
      <w:pPr>
        <w:pStyle w:val="34"/>
        <w:bidi w:val="0"/>
        <w:rPr>
          <w:rFonts w:hint="eastAsia"/>
          <w:lang w:val="en-US" w:eastAsia="zh-CN"/>
        </w:rPr>
      </w:pPr>
      <w:bookmarkStart w:id="62" w:name="_Toc10449"/>
      <w:r>
        <w:rPr>
          <w:rFonts w:hint="eastAsia"/>
          <w:lang w:val="en-US" w:eastAsia="zh-CN"/>
        </w:rPr>
        <w:t>管理评审</w:t>
      </w:r>
      <w:bookmarkEnd w:id="62"/>
    </w:p>
    <w:p w14:paraId="03950A1A">
      <w:pPr>
        <w:pStyle w:val="32"/>
        <w:rPr>
          <w:rFonts w:hint="eastAsia"/>
          <w:lang w:val="en-US" w:eastAsia="zh-CN"/>
        </w:rPr>
      </w:pPr>
      <w:r>
        <w:rPr>
          <w:rFonts w:hint="eastAsia"/>
          <w:lang w:val="en-US" w:eastAsia="zh-CN"/>
        </w:rPr>
        <w:t>总经理每年至少主持一次管理评审会议，一般在内部审核结束后一个月内进行；管理评审输入包括内审结果、外审结果、客户满意度调查报告、KPI达成情况、交付情况、应急情况、技术发展、资源状况、人员状况等；管理评审输出包括管理体系适宜性、充分性和有效性的总体评价，体系改进方向和重点，具体改进决议事项，资源配置需求，下一年度运维服务目标建议；产品质量部根据评审决议编写《管理评审报告》，经总经理批准后发放至各相关部门。</w:t>
      </w:r>
    </w:p>
    <w:p w14:paraId="4C4204D7">
      <w:pPr>
        <w:pStyle w:val="34"/>
        <w:bidi w:val="0"/>
        <w:rPr>
          <w:rFonts w:hint="eastAsia"/>
          <w:lang w:val="en-US" w:eastAsia="zh-CN"/>
        </w:rPr>
      </w:pPr>
      <w:bookmarkStart w:id="63" w:name="_Toc1974"/>
      <w:r>
        <w:rPr>
          <w:rFonts w:hint="eastAsia"/>
          <w:lang w:val="en-US" w:eastAsia="zh-CN"/>
        </w:rPr>
        <w:t>客户满意度管理</w:t>
      </w:r>
      <w:bookmarkEnd w:id="63"/>
    </w:p>
    <w:p w14:paraId="0CFB94A1">
      <w:pPr>
        <w:pStyle w:val="32"/>
        <w:rPr>
          <w:rFonts w:hint="eastAsia"/>
          <w:lang w:val="en-US" w:eastAsia="zh-CN"/>
        </w:rPr>
      </w:pPr>
      <w:r>
        <w:rPr>
          <w:rFonts w:hint="eastAsia"/>
          <w:lang w:val="en-US" w:eastAsia="zh-CN"/>
        </w:rPr>
        <w:t>产品质量部每年度至少组织一次组织级客户满意度调查，采用问卷填写方式，调查内容与SLA内容相一致，覆盖所有运维服务客户；调查维度包括响应速度、服务态度、技术水平、交付质量、应急响应、沟通协调、总体评价；产品质量部根据调查反馈数据进行分析总结，编写《客户满意度调查分析报告》，提出服务改进建议。</w:t>
      </w:r>
    </w:p>
    <w:p w14:paraId="047BAD16">
      <w:pPr>
        <w:pStyle w:val="32"/>
        <w:rPr>
          <w:rFonts w:hint="eastAsia"/>
          <w:lang w:val="en-US" w:eastAsia="zh-CN"/>
        </w:rPr>
      </w:pPr>
      <w:r>
        <w:rPr>
          <w:rFonts w:hint="eastAsia"/>
          <w:lang w:val="en-US" w:eastAsia="zh-CN"/>
        </w:rPr>
        <w:t>KPI指标：</w:t>
      </w:r>
    </w:p>
    <w:p w14:paraId="528282ED">
      <w:pPr>
        <w:pStyle w:val="32"/>
        <w:numPr>
          <w:ilvl w:val="0"/>
          <w:numId w:val="13"/>
        </w:numPr>
        <w:ind w:left="425" w:leftChars="0" w:hanging="425" w:firstLineChars="0"/>
        <w:rPr>
          <w:rFonts w:hint="eastAsia"/>
          <w:lang w:val="en-US" w:eastAsia="zh-CN"/>
        </w:rPr>
      </w:pPr>
      <w:r>
        <w:rPr>
          <w:rFonts w:hint="eastAsia"/>
          <w:lang w:val="en-US" w:eastAsia="zh-CN"/>
        </w:rPr>
        <w:t>内审次数</w:t>
      </w:r>
    </w:p>
    <w:p w14:paraId="1195D703">
      <w:pPr>
        <w:pStyle w:val="32"/>
        <w:rPr>
          <w:rFonts w:hint="eastAsia"/>
          <w:lang w:val="en-US" w:eastAsia="zh-CN"/>
        </w:rPr>
      </w:pPr>
      <w:r>
        <w:rPr>
          <w:rFonts w:hint="eastAsia"/>
          <w:lang w:val="en-US" w:eastAsia="zh-CN"/>
        </w:rPr>
        <w:t>内审次数是反映内部审核执行情况的量化指标。计算方式为：内审报告数量统计。目标值为≥1次，按年度进行考核，责任部门为产品质量部。</w:t>
      </w:r>
    </w:p>
    <w:p w14:paraId="4182D258">
      <w:pPr>
        <w:pStyle w:val="32"/>
        <w:numPr>
          <w:ilvl w:val="0"/>
          <w:numId w:val="13"/>
        </w:numPr>
        <w:ind w:left="425" w:leftChars="0" w:hanging="425" w:firstLineChars="0"/>
        <w:rPr>
          <w:rFonts w:hint="eastAsia"/>
          <w:lang w:val="en-US" w:eastAsia="zh-CN"/>
        </w:rPr>
      </w:pPr>
      <w:r>
        <w:rPr>
          <w:rFonts w:hint="eastAsia"/>
          <w:lang w:val="en-US" w:eastAsia="zh-CN"/>
        </w:rPr>
        <w:t>管评次数</w:t>
      </w:r>
    </w:p>
    <w:p w14:paraId="2E2DA590">
      <w:pPr>
        <w:pStyle w:val="32"/>
        <w:rPr>
          <w:rFonts w:hint="eastAsia"/>
          <w:lang w:val="en-US" w:eastAsia="zh-CN"/>
        </w:rPr>
      </w:pPr>
      <w:r>
        <w:rPr>
          <w:rFonts w:hint="eastAsia"/>
          <w:lang w:val="en-US" w:eastAsia="zh-CN"/>
        </w:rPr>
        <w:t>管评次数是反映管理评审执行情况的量化指标。计算方式为：管评报告数量统计。目标值为≥1次，按年度进行考核，责任部门为产品质量部。</w:t>
      </w:r>
    </w:p>
    <w:p w14:paraId="6BF93830">
      <w:pPr>
        <w:pStyle w:val="32"/>
        <w:numPr>
          <w:ilvl w:val="0"/>
          <w:numId w:val="13"/>
        </w:numPr>
        <w:ind w:left="425" w:leftChars="0" w:hanging="425" w:firstLineChars="0"/>
        <w:rPr>
          <w:rFonts w:hint="eastAsia"/>
          <w:lang w:val="en-US" w:eastAsia="zh-CN"/>
        </w:rPr>
      </w:pPr>
      <w:r>
        <w:rPr>
          <w:rFonts w:hint="eastAsia"/>
          <w:lang w:val="en-US" w:eastAsia="zh-CN"/>
        </w:rPr>
        <w:t>客户投诉数量</w:t>
      </w:r>
    </w:p>
    <w:p w14:paraId="44163FB0">
      <w:pPr>
        <w:pStyle w:val="32"/>
        <w:rPr>
          <w:rFonts w:hint="eastAsia"/>
          <w:lang w:val="en-US" w:eastAsia="zh-CN"/>
        </w:rPr>
      </w:pPr>
      <w:r>
        <w:rPr>
          <w:rFonts w:hint="eastAsia"/>
          <w:lang w:val="en-US" w:eastAsia="zh-CN"/>
        </w:rPr>
        <w:t>客户投诉数量是反映客户满意度的量化指标。计算方式为：服务台收到的客户投诉的数量统计。目标值为≤2次，按年度进行考核，责任部门为质量。</w:t>
      </w:r>
    </w:p>
    <w:p w14:paraId="2BB05582">
      <w:pPr>
        <w:pStyle w:val="32"/>
        <w:numPr>
          <w:ilvl w:val="0"/>
          <w:numId w:val="13"/>
        </w:numPr>
        <w:ind w:left="425" w:leftChars="0" w:hanging="425" w:firstLineChars="0"/>
        <w:rPr>
          <w:rFonts w:hint="eastAsia"/>
          <w:lang w:val="en-US" w:eastAsia="zh-CN"/>
        </w:rPr>
      </w:pPr>
      <w:r>
        <w:rPr>
          <w:rFonts w:hint="eastAsia"/>
          <w:lang w:val="en-US" w:eastAsia="zh-CN"/>
        </w:rPr>
        <w:t>满意度得分</w:t>
      </w:r>
    </w:p>
    <w:p w14:paraId="723F2B82">
      <w:pPr>
        <w:pStyle w:val="32"/>
        <w:rPr>
          <w:rFonts w:hint="eastAsia"/>
          <w:lang w:val="en-US" w:eastAsia="zh-CN"/>
        </w:rPr>
      </w:pPr>
      <w:r>
        <w:rPr>
          <w:rFonts w:hint="eastAsia"/>
          <w:lang w:val="en-US" w:eastAsia="zh-CN"/>
        </w:rPr>
        <w:t>满意度得分是反映客户对运维服务整体满意程度的量化指标，其计算公式为：满意度得分 = 满意度得分总和 / 满意度调查客户数。目标值为≥95分，按年度进行考核，责任部门为产品质量部。</w:t>
      </w:r>
    </w:p>
    <w:p w14:paraId="1E21A67A">
      <w:pPr>
        <w:pStyle w:val="32"/>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21FF5E"/>
    <w:multiLevelType w:val="singleLevel"/>
    <w:tmpl w:val="8B21FF5E"/>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BC4E6598"/>
    <w:multiLevelType w:val="singleLevel"/>
    <w:tmpl w:val="BC4E6598"/>
    <w:lvl w:ilvl="0" w:tentative="0">
      <w:start w:val="1"/>
      <w:numFmt w:val="decimal"/>
      <w:lvlText w:val="%1."/>
      <w:lvlJc w:val="left"/>
      <w:pPr>
        <w:ind w:left="425" w:hanging="425"/>
      </w:pPr>
      <w:rPr>
        <w:rFonts w:hint="default"/>
      </w:rPr>
    </w:lvl>
  </w:abstractNum>
  <w:abstractNum w:abstractNumId="3">
    <w:nsid w:val="BD3CB2BC"/>
    <w:multiLevelType w:val="singleLevel"/>
    <w:tmpl w:val="BD3CB2BC"/>
    <w:lvl w:ilvl="0" w:tentative="0">
      <w:start w:val="1"/>
      <w:numFmt w:val="decimal"/>
      <w:lvlText w:val="%1."/>
      <w:lvlJc w:val="left"/>
      <w:pPr>
        <w:ind w:left="425" w:hanging="425"/>
      </w:pPr>
      <w:rPr>
        <w:rFonts w:hint="default"/>
      </w:rPr>
    </w:lvl>
  </w:abstractNum>
  <w:abstractNum w:abstractNumId="4">
    <w:nsid w:val="C8F36CFC"/>
    <w:multiLevelType w:val="singleLevel"/>
    <w:tmpl w:val="C8F36CFC"/>
    <w:lvl w:ilvl="0" w:tentative="0">
      <w:start w:val="1"/>
      <w:numFmt w:val="decimal"/>
      <w:lvlText w:val="%1."/>
      <w:lvlJc w:val="left"/>
      <w:pPr>
        <w:ind w:left="425" w:hanging="425"/>
      </w:pPr>
      <w:rPr>
        <w:rFonts w:hint="default"/>
      </w:rPr>
    </w:lvl>
  </w:abstractNum>
  <w:abstractNum w:abstractNumId="5">
    <w:nsid w:val="D19F490F"/>
    <w:multiLevelType w:val="singleLevel"/>
    <w:tmpl w:val="D19F490F"/>
    <w:lvl w:ilvl="0" w:tentative="0">
      <w:start w:val="1"/>
      <w:numFmt w:val="decimal"/>
      <w:lvlText w:val="%1."/>
      <w:lvlJc w:val="left"/>
      <w:pPr>
        <w:ind w:left="425" w:hanging="425"/>
      </w:pPr>
      <w:rPr>
        <w:rFonts w:hint="default"/>
      </w:rPr>
    </w:lvl>
  </w:abstractNum>
  <w:abstractNum w:abstractNumId="6">
    <w:nsid w:val="DCF153B7"/>
    <w:multiLevelType w:val="singleLevel"/>
    <w:tmpl w:val="DCF153B7"/>
    <w:lvl w:ilvl="0" w:tentative="0">
      <w:start w:val="1"/>
      <w:numFmt w:val="decimal"/>
      <w:lvlText w:val="%1."/>
      <w:lvlJc w:val="left"/>
      <w:pPr>
        <w:ind w:left="425" w:hanging="425"/>
      </w:pPr>
      <w:rPr>
        <w:rFonts w:hint="default"/>
      </w:rPr>
    </w:lvl>
  </w:abstractNum>
  <w:abstractNum w:abstractNumId="7">
    <w:nsid w:val="037B62C4"/>
    <w:multiLevelType w:val="singleLevel"/>
    <w:tmpl w:val="037B62C4"/>
    <w:lvl w:ilvl="0" w:tentative="0">
      <w:start w:val="1"/>
      <w:numFmt w:val="decimal"/>
      <w:lvlText w:val="%1."/>
      <w:lvlJc w:val="left"/>
      <w:pPr>
        <w:ind w:left="425" w:hanging="425"/>
      </w:pPr>
      <w:rPr>
        <w:rFonts w:hint="default"/>
      </w:rPr>
    </w:lvl>
  </w:abstractNum>
  <w:abstractNum w:abstractNumId="8">
    <w:nsid w:val="049F18A2"/>
    <w:multiLevelType w:val="singleLevel"/>
    <w:tmpl w:val="049F18A2"/>
    <w:lvl w:ilvl="0" w:tentative="0">
      <w:start w:val="1"/>
      <w:numFmt w:val="decimal"/>
      <w:lvlText w:val="%1."/>
      <w:lvlJc w:val="left"/>
      <w:pPr>
        <w:ind w:left="425" w:hanging="425"/>
      </w:pPr>
      <w:rPr>
        <w:rFonts w:hint="default"/>
      </w:rPr>
    </w:lvl>
  </w:abstractNum>
  <w:abstractNum w:abstractNumId="9">
    <w:nsid w:val="15FDC934"/>
    <w:multiLevelType w:val="singleLevel"/>
    <w:tmpl w:val="15FDC934"/>
    <w:lvl w:ilvl="0" w:tentative="0">
      <w:start w:val="1"/>
      <w:numFmt w:val="decimal"/>
      <w:lvlText w:val="%1."/>
      <w:lvlJc w:val="left"/>
      <w:pPr>
        <w:ind w:left="425" w:hanging="425"/>
      </w:pPr>
      <w:rPr>
        <w:rFonts w:hint="default"/>
      </w:rPr>
    </w:lvl>
  </w:abstractNum>
  <w:abstractNum w:abstractNumId="10">
    <w:nsid w:val="2209B528"/>
    <w:multiLevelType w:val="singleLevel"/>
    <w:tmpl w:val="2209B528"/>
    <w:lvl w:ilvl="0" w:tentative="0">
      <w:start w:val="1"/>
      <w:numFmt w:val="decimal"/>
      <w:lvlText w:val="%1."/>
      <w:lvlJc w:val="left"/>
      <w:pPr>
        <w:ind w:left="425" w:hanging="425"/>
      </w:pPr>
      <w:rPr>
        <w:rFonts w:hint="default"/>
      </w:rPr>
    </w:lvl>
  </w:abstractNum>
  <w:abstractNum w:abstractNumId="11">
    <w:nsid w:val="6174B873"/>
    <w:multiLevelType w:val="singleLevel"/>
    <w:tmpl w:val="6174B873"/>
    <w:lvl w:ilvl="0" w:tentative="0">
      <w:start w:val="1"/>
      <w:numFmt w:val="decimal"/>
      <w:lvlText w:val="%1."/>
      <w:lvlJc w:val="left"/>
      <w:pPr>
        <w:ind w:left="425" w:hanging="425"/>
      </w:pPr>
      <w:rPr>
        <w:rFonts w:hint="default"/>
      </w:rPr>
    </w:lvl>
  </w:abstractNum>
  <w:abstractNum w:abstractNumId="12">
    <w:nsid w:val="6C675FB8"/>
    <w:multiLevelType w:val="singleLevel"/>
    <w:tmpl w:val="6C675FB8"/>
    <w:lvl w:ilvl="0" w:tentative="0">
      <w:start w:val="1"/>
      <w:numFmt w:val="decimal"/>
      <w:lvlText w:val="%1."/>
      <w:lvlJc w:val="left"/>
      <w:pPr>
        <w:ind w:left="425" w:hanging="425"/>
      </w:pPr>
      <w:rPr>
        <w:rFonts w:hint="default"/>
      </w:rPr>
    </w:lvl>
  </w:abstractNum>
  <w:num w:numId="1">
    <w:abstractNumId w:val="1"/>
  </w:num>
  <w:num w:numId="2">
    <w:abstractNumId w:val="6"/>
  </w:num>
  <w:num w:numId="3">
    <w:abstractNumId w:val="10"/>
  </w:num>
  <w:num w:numId="4">
    <w:abstractNumId w:val="11"/>
  </w:num>
  <w:num w:numId="5">
    <w:abstractNumId w:val="5"/>
  </w:num>
  <w:num w:numId="6">
    <w:abstractNumId w:val="8"/>
  </w:num>
  <w:num w:numId="7">
    <w:abstractNumId w:val="3"/>
  </w:num>
  <w:num w:numId="8">
    <w:abstractNumId w:val="4"/>
  </w:num>
  <w:num w:numId="9">
    <w:abstractNumId w:val="2"/>
  </w:num>
  <w:num w:numId="10">
    <w:abstractNumId w:val="9"/>
  </w:num>
  <w:num w:numId="11">
    <w:abstractNumId w:val="0"/>
  </w:num>
  <w:num w:numId="12">
    <w:abstractNumId w:val="7"/>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6D409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5">
    <w:name w:val="Default Paragraph Font"/>
    <w:semiHidden/>
    <w:qFormat/>
    <w:uiPriority w:val="0"/>
  </w:style>
  <w:style w:type="table" w:default="1" w:styleId="23">
    <w:name w:val="Normal Table"/>
    <w:semiHidden/>
    <w:qFormat/>
    <w:uiPriority w:val="0"/>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annotation text"/>
    <w:basedOn w:val="1"/>
    <w:qFormat/>
    <w:uiPriority w:val="0"/>
    <w:pPr>
      <w:jc w:val="left"/>
    </w:pPr>
  </w:style>
  <w:style w:type="paragraph" w:styleId="13">
    <w:name w:val="Body Text"/>
    <w:basedOn w:val="1"/>
    <w:semiHidden/>
    <w:qFormat/>
    <w:uiPriority w:val="0"/>
    <w:rPr>
      <w:rFonts w:ascii="Arial" w:hAnsi="Arial" w:eastAsia="Arial" w:cs="Arial"/>
      <w:sz w:val="21"/>
      <w:szCs w:val="21"/>
      <w:lang w:val="en-US" w:eastAsia="en-US" w:bidi="ar-SA"/>
    </w:rPr>
  </w:style>
  <w:style w:type="paragraph" w:styleId="14">
    <w:name w:val="toc 3"/>
    <w:basedOn w:val="1"/>
    <w:next w:val="1"/>
    <w:qFormat/>
    <w:uiPriority w:val="0"/>
    <w:pPr>
      <w:ind w:left="840" w:leftChars="400"/>
    </w:p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7">
    <w:name w:val="toc 1"/>
    <w:basedOn w:val="1"/>
    <w:next w:val="1"/>
    <w:qFormat/>
    <w:uiPriority w:val="0"/>
    <w:rPr>
      <w:rFonts w:ascii="Arial" w:hAnsi="Arial" w:eastAsia="Microsoft JhengHei"/>
      <w:sz w:val="24"/>
    </w:rPr>
  </w:style>
  <w:style w:type="paragraph" w:styleId="18">
    <w:name w:val="table of figures"/>
    <w:basedOn w:val="1"/>
    <w:next w:val="1"/>
    <w:qFormat/>
    <w:uiPriority w:val="0"/>
    <w:pPr>
      <w:ind w:leftChars="200" w:hanging="200" w:hangingChars="200"/>
    </w:pPr>
  </w:style>
  <w:style w:type="paragraph" w:styleId="19">
    <w:name w:val="toc 2"/>
    <w:basedOn w:val="1"/>
    <w:next w:val="1"/>
    <w:qFormat/>
    <w:uiPriority w:val="0"/>
    <w:pPr>
      <w:ind w:left="420" w:leftChars="200"/>
    </w:pPr>
  </w:style>
  <w:style w:type="paragraph" w:styleId="2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21">
    <w:name w:val="Normal (Web)"/>
    <w:basedOn w:val="1"/>
    <w:qFormat/>
    <w:uiPriority w:val="0"/>
    <w:rPr>
      <w:sz w:val="24"/>
    </w:rPr>
  </w:style>
  <w:style w:type="paragraph" w:styleId="22">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0"/>
    <w:rPr>
      <w:b/>
    </w:rPr>
  </w:style>
  <w:style w:type="paragraph" w:customStyle="1" w:styleId="27">
    <w:name w:val="柴_公司名"/>
    <w:basedOn w:val="22"/>
    <w:qFormat/>
    <w:uiPriority w:val="0"/>
    <w:pPr>
      <w:spacing w:after="600" w:afterLines="600"/>
    </w:pPr>
    <w:rPr>
      <w:rFonts w:hint="eastAsia" w:ascii="宋体" w:hAnsi="宋体" w:eastAsia="宋体" w:cs="宋体"/>
      <w:bCs/>
      <w:spacing w:val="-6"/>
      <w:sz w:val="52"/>
      <w:szCs w:val="52"/>
    </w:rPr>
  </w:style>
  <w:style w:type="paragraph" w:customStyle="1" w:styleId="28">
    <w:name w:val="柴_文档名"/>
    <w:basedOn w:val="22"/>
    <w:qFormat/>
    <w:uiPriority w:val="0"/>
    <w:pPr>
      <w:spacing w:after="900" w:afterLines="900"/>
    </w:pPr>
    <w:rPr>
      <w:rFonts w:ascii="黑体" w:hAnsi="黑体" w:eastAsia="黑体" w:cs="黑体"/>
      <w:bCs/>
      <w:spacing w:val="-7"/>
      <w:sz w:val="52"/>
      <w:szCs w:val="52"/>
    </w:rPr>
  </w:style>
  <w:style w:type="table" w:customStyle="1" w:styleId="29">
    <w:name w:val="Table Normal_0"/>
    <w:semiHidden/>
    <w:unhideWhenUsed/>
    <w:qFormat/>
    <w:uiPriority w:val="0"/>
    <w:tblPr>
      <w:tblCellMar>
        <w:top w:w="0" w:type="dxa"/>
        <w:left w:w="0" w:type="dxa"/>
        <w:bottom w:w="0" w:type="dxa"/>
        <w:right w:w="0" w:type="dxa"/>
      </w:tblCellMar>
    </w:tblPr>
  </w:style>
  <w:style w:type="paragraph" w:customStyle="1" w:styleId="30">
    <w:name w:val="Table Text"/>
    <w:basedOn w:val="1"/>
    <w:semiHidden/>
    <w:qFormat/>
    <w:uiPriority w:val="0"/>
    <w:rPr>
      <w:rFonts w:ascii="宋体" w:hAnsi="宋体" w:eastAsia="宋体" w:cs="宋体"/>
      <w:sz w:val="21"/>
      <w:szCs w:val="21"/>
      <w:lang w:val="en-US" w:eastAsia="en-US" w:bidi="ar-SA"/>
    </w:rPr>
  </w:style>
  <w:style w:type="paragraph" w:customStyle="1" w:styleId="31">
    <w:name w:val="柴_标题1"/>
    <w:basedOn w:val="2"/>
    <w:next w:val="32"/>
    <w:link w:val="41"/>
    <w:qFormat/>
    <w:uiPriority w:val="0"/>
    <w:pPr>
      <w:spacing w:before="100" w:after="90" w:line="360" w:lineRule="auto"/>
    </w:pPr>
    <w:rPr>
      <w:rFonts w:ascii="Arial" w:hAnsi="Arial" w:eastAsia="宋体"/>
      <w:sz w:val="32"/>
    </w:rPr>
  </w:style>
  <w:style w:type="paragraph" w:customStyle="1" w:styleId="32">
    <w:name w:val="柴_正文"/>
    <w:basedOn w:val="13"/>
    <w:link w:val="44"/>
    <w:qFormat/>
    <w:uiPriority w:val="0"/>
    <w:pPr>
      <w:spacing w:line="360" w:lineRule="auto"/>
      <w:ind w:firstLine="470" w:firstLineChars="200"/>
    </w:pPr>
    <w:rPr>
      <w:rFonts w:ascii="Arial" w:hAnsi="Arial" w:eastAsia="宋体"/>
      <w:sz w:val="24"/>
      <w:lang w:eastAsia="zh-CN"/>
    </w:rPr>
  </w:style>
  <w:style w:type="paragraph" w:customStyle="1" w:styleId="33">
    <w:name w:val="柴_标题2"/>
    <w:basedOn w:val="3"/>
    <w:next w:val="32"/>
    <w:link w:val="47"/>
    <w:qFormat/>
    <w:uiPriority w:val="0"/>
    <w:pPr>
      <w:spacing w:line="360" w:lineRule="auto"/>
    </w:pPr>
    <w:rPr>
      <w:rFonts w:ascii="Arial" w:hAnsi="Arial" w:eastAsia="宋体"/>
      <w:sz w:val="28"/>
    </w:rPr>
  </w:style>
  <w:style w:type="paragraph" w:customStyle="1" w:styleId="34">
    <w:name w:val="柴_标题3"/>
    <w:basedOn w:val="4"/>
    <w:next w:val="32"/>
    <w:qFormat/>
    <w:uiPriority w:val="0"/>
    <w:pPr>
      <w:spacing w:line="360" w:lineRule="auto"/>
      <w:ind w:left="0" w:firstLine="472" w:firstLineChars="200"/>
    </w:pPr>
    <w:rPr>
      <w:rFonts w:ascii="宋体" w:hAnsi="宋体" w:eastAsia="宋体" w:cs="宋体"/>
      <w:spacing w:val="-2"/>
      <w:sz w:val="24"/>
      <w:szCs w:val="24"/>
    </w:rPr>
  </w:style>
  <w:style w:type="paragraph" w:customStyle="1" w:styleId="35">
    <w:name w:val="柴_目录"/>
    <w:basedOn w:val="1"/>
    <w:next w:val="13"/>
    <w:qFormat/>
    <w:uiPriority w:val="0"/>
    <w:pPr>
      <w:tabs>
        <w:tab w:val="right" w:leader="dot" w:pos="8442"/>
      </w:tabs>
      <w:ind w:left="0" w:leftChars="0"/>
    </w:pPr>
    <w:rPr>
      <w:rFonts w:ascii="Arial" w:hAnsi="Arial" w:eastAsia="Microsoft JhengHei"/>
      <w:sz w:val="24"/>
    </w:rPr>
  </w:style>
  <w:style w:type="paragraph" w:customStyle="1" w:styleId="36">
    <w:name w:val="WPSOffice手动目录 1"/>
    <w:qFormat/>
    <w:uiPriority w:val="0"/>
    <w:pPr>
      <w:ind w:leftChars="0"/>
    </w:pPr>
    <w:rPr>
      <w:rFonts w:ascii="Times New Roman" w:hAnsi="Times New Roman" w:eastAsia="宋体" w:cs="Times New Roman"/>
      <w:sz w:val="20"/>
      <w:szCs w:val="20"/>
    </w:rPr>
  </w:style>
  <w:style w:type="paragraph" w:customStyle="1" w:styleId="37">
    <w:name w:val="WPSOffice手动目录 2"/>
    <w:qFormat/>
    <w:uiPriority w:val="0"/>
    <w:pPr>
      <w:ind w:leftChars="200"/>
    </w:pPr>
    <w:rPr>
      <w:rFonts w:ascii="Times New Roman" w:hAnsi="Times New Roman" w:eastAsia="宋体" w:cs="Times New Roman"/>
      <w:sz w:val="20"/>
      <w:szCs w:val="20"/>
    </w:rPr>
  </w:style>
  <w:style w:type="paragraph" w:customStyle="1" w:styleId="38">
    <w:name w:val="WPSOffice手动目录 3"/>
    <w:qFormat/>
    <w:uiPriority w:val="0"/>
    <w:pPr>
      <w:ind w:leftChars="400"/>
    </w:pPr>
    <w:rPr>
      <w:rFonts w:ascii="Times New Roman" w:hAnsi="Times New Roman" w:eastAsia="宋体" w:cs="Times New Roman"/>
      <w:sz w:val="20"/>
      <w:szCs w:val="20"/>
    </w:rPr>
  </w:style>
  <w:style w:type="paragraph" w:customStyle="1" w:styleId="39">
    <w:name w:val="Compact"/>
    <w:basedOn w:val="13"/>
    <w:qFormat/>
    <w:uiPriority w:val="0"/>
    <w:pPr>
      <w:spacing w:before="36" w:after="36"/>
    </w:pPr>
  </w:style>
  <w:style w:type="table" w:customStyle="1" w:styleId="4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1">
    <w:name w:val="柴_标题1 Char"/>
    <w:link w:val="31"/>
    <w:qFormat/>
    <w:uiPriority w:val="0"/>
    <w:rPr>
      <w:rFonts w:ascii="Arial" w:hAnsi="Arial" w:eastAsia="宋体"/>
      <w:sz w:val="32"/>
    </w:rPr>
  </w:style>
  <w:style w:type="paragraph" w:customStyle="1" w:styleId="42">
    <w:name w:val="柴_正文_无缩进"/>
    <w:basedOn w:val="1"/>
    <w:link w:val="46"/>
    <w:qFormat/>
    <w:uiPriority w:val="0"/>
    <w:pPr>
      <w:ind w:firstLine="0" w:firstLineChars="0"/>
    </w:pPr>
    <w:rPr>
      <w:rFonts w:ascii="Arial" w:hAnsi="Arial"/>
      <w:sz w:val="24"/>
      <w:lang w:eastAsia="zh-CN"/>
    </w:rPr>
  </w:style>
  <w:style w:type="paragraph" w:customStyle="1" w:styleId="43">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4">
    <w:name w:val="柴_正文 Char"/>
    <w:link w:val="32"/>
    <w:qFormat/>
    <w:uiPriority w:val="0"/>
    <w:rPr>
      <w:rFonts w:ascii="Arial" w:hAnsi="Arial" w:eastAsia="宋体"/>
      <w:sz w:val="24"/>
      <w:lang w:eastAsia="zh-CN"/>
    </w:rPr>
  </w:style>
  <w:style w:type="table" w:customStyle="1" w:styleId="45">
    <w:name w:val="Table Normal_0_0"/>
    <w:semiHidden/>
    <w:unhideWhenUsed/>
    <w:qFormat/>
    <w:uiPriority w:val="0"/>
    <w:tblPr>
      <w:tblCellMar>
        <w:top w:w="0" w:type="dxa"/>
        <w:left w:w="0" w:type="dxa"/>
        <w:bottom w:w="0" w:type="dxa"/>
        <w:right w:w="0" w:type="dxa"/>
      </w:tblCellMar>
    </w:tblPr>
  </w:style>
  <w:style w:type="character" w:customStyle="1" w:styleId="46">
    <w:name w:val="柴_正文_无缩进 Char"/>
    <w:link w:val="42"/>
    <w:qFormat/>
    <w:uiPriority w:val="0"/>
    <w:rPr>
      <w:rFonts w:ascii="Arial" w:hAnsi="Arial"/>
      <w:sz w:val="24"/>
      <w:lang w:eastAsia="zh-CN"/>
    </w:rPr>
  </w:style>
  <w:style w:type="character" w:customStyle="1" w:styleId="47">
    <w:name w:val="柴_标题2 Char"/>
    <w:link w:val="33"/>
    <w:qFormat/>
    <w:uiPriority w:val="0"/>
    <w:rPr>
      <w:rFonts w:ascii="Arial" w:hAnsi="Arial" w:eastAsia="宋体"/>
      <w:sz w:val="28"/>
    </w:rPr>
  </w:style>
  <w:style w:type="character" w:customStyle="1" w:styleId="48">
    <w:name w:val="柴_题注 Char"/>
    <w:link w:val="49"/>
    <w:qFormat/>
    <w:uiPriority w:val="0"/>
  </w:style>
  <w:style w:type="paragraph" w:customStyle="1" w:styleId="49">
    <w:name w:val="柴_题注"/>
    <w:basedOn w:val="20"/>
    <w:link w:val="48"/>
    <w:qFormat/>
    <w:uiPriority w:val="0"/>
    <w:pPr>
      <w:pBdr>
        <w:top w:val="none" w:color="auto" w:sz="0" w:space="0"/>
        <w:left w:val="none" w:color="auto" w:sz="0" w:space="0"/>
        <w:bottom w:val="none" w:color="auto" w:sz="0" w:space="0"/>
        <w:right w:val="none" w:color="auto" w:sz="0" w:space="0"/>
      </w:pBdr>
      <w:wordWrap w:val="0"/>
      <w:spacing w:line="264" w:lineRule="atLeas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103</Words>
  <Characters>160</Characters>
  <Lines>0</Lines>
  <Paragraphs>0</Paragraphs>
  <TotalTime>4</TotalTime>
  <ScaleCrop>false</ScaleCrop>
  <LinksUpToDate>false</LinksUpToDate>
  <CharactersWithSpaces>160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2026-06-11T10:05:56Z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