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8774D">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38BEAB79">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2026年度质量管理计划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54D1E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B5C831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9FEDE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500F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3F1AD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6B39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1177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D044A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0849D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03C90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60FB1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7FFC2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193F1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4D23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F1402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461A5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71AD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04DA3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C8E039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F2A019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6C36B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DFE22E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2C257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05B11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2B17BE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bl>
    <w:p w14:paraId="690F23D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D6E2C7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75F5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EA15A7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89165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ABFA2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527863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0FA734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6343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EAA52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45F0CE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1D440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A111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0F3BD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5D943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C49BC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CFF76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4A84F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B14CD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4C5222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DE94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6276F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0F63B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7C925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441FC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76233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1C43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4D1B3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4D808E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9BCD60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455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C98521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665BA94B">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94FF21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C17CA8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_Toc2539 </w:instrText>
          </w:r>
          <w: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_Toc2539 \h </w:instrText>
          </w:r>
          <w:r>
            <w:fldChar w:fldCharType="separate"/>
          </w:r>
          <w:r>
            <w:t>4</w:t>
          </w:r>
          <w:r>
            <w:fldChar w:fldCharType="end"/>
          </w:r>
          <w:r>
            <w:fldChar w:fldCharType="end"/>
          </w:r>
        </w:p>
        <w:p w14:paraId="5EC6392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_Toc24684 </w:instrText>
          </w:r>
          <w:r>
            <w:fldChar w:fldCharType="separate"/>
          </w:r>
          <w:r>
            <w:rPr>
              <w:rFonts w:hint="default"/>
              <w:lang w:val="en-US" w:eastAsia="zh-CN"/>
            </w:rPr>
            <w:t xml:space="preserve">2. </w:t>
          </w:r>
          <w:r>
            <w:rPr>
              <w:rFonts w:hint="eastAsia"/>
              <w:lang w:val="en-US" w:eastAsia="zh-CN"/>
            </w:rPr>
            <w:t>范围</w:t>
          </w:r>
          <w:r>
            <w:tab/>
          </w:r>
          <w:r>
            <w:fldChar w:fldCharType="begin"/>
          </w:r>
          <w:r>
            <w:instrText xml:space="preserve"> PAGEREF _Toc24684 \h </w:instrText>
          </w:r>
          <w:r>
            <w:fldChar w:fldCharType="separate"/>
          </w:r>
          <w:r>
            <w:t>4</w:t>
          </w:r>
          <w:r>
            <w:fldChar w:fldCharType="end"/>
          </w:r>
          <w:r>
            <w:fldChar w:fldCharType="end"/>
          </w:r>
        </w:p>
        <w:p w14:paraId="273E681F">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_Toc17738 </w:instrText>
          </w:r>
          <w:r>
            <w:fldChar w:fldCharType="separate"/>
          </w:r>
          <w:r>
            <w:rPr>
              <w:rFonts w:hint="default"/>
              <w:lang w:val="en-US" w:eastAsia="zh-CN"/>
            </w:rPr>
            <w:t xml:space="preserve">3. </w:t>
          </w:r>
          <w:r>
            <w:rPr>
              <w:rFonts w:hint="eastAsia"/>
              <w:lang w:val="en-US" w:eastAsia="zh-CN"/>
            </w:rPr>
            <w:t>职责与权限</w:t>
          </w:r>
          <w:r>
            <w:tab/>
          </w:r>
          <w:r>
            <w:fldChar w:fldCharType="begin"/>
          </w:r>
          <w:r>
            <w:instrText xml:space="preserve"> PAGEREF _Toc17738 \h </w:instrText>
          </w:r>
          <w:r>
            <w:fldChar w:fldCharType="separate"/>
          </w:r>
          <w:r>
            <w:t>4</w:t>
          </w:r>
          <w:r>
            <w:fldChar w:fldCharType="end"/>
          </w:r>
          <w:r>
            <w:fldChar w:fldCharType="end"/>
          </w:r>
        </w:p>
        <w:p w14:paraId="3CA59228">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_Toc32642 </w:instrText>
          </w:r>
          <w:r>
            <w:fldChar w:fldCharType="separate"/>
          </w:r>
          <w:r>
            <w:rPr>
              <w:rFonts w:hint="default"/>
              <w:lang w:val="en-US" w:eastAsia="zh-CN"/>
            </w:rPr>
            <w:t xml:space="preserve">3.1. </w:t>
          </w:r>
          <w:r>
            <w:rPr>
              <w:rFonts w:hint="eastAsia"/>
              <w:lang w:val="en-US" w:eastAsia="zh-CN"/>
            </w:rPr>
            <w:t>管理层</w:t>
          </w:r>
          <w:r>
            <w:tab/>
          </w:r>
          <w:r>
            <w:fldChar w:fldCharType="begin"/>
          </w:r>
          <w:r>
            <w:instrText xml:space="preserve"> PAGEREF _Toc32642 \h </w:instrText>
          </w:r>
          <w:r>
            <w:fldChar w:fldCharType="separate"/>
          </w:r>
          <w:r>
            <w:t>4</w:t>
          </w:r>
          <w:r>
            <w:fldChar w:fldCharType="end"/>
          </w:r>
          <w:r>
            <w:fldChar w:fldCharType="end"/>
          </w:r>
        </w:p>
        <w:p w14:paraId="73774B36">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_Toc28823 </w:instrText>
          </w:r>
          <w:r>
            <w:fldChar w:fldCharType="separate"/>
          </w:r>
          <w:r>
            <w:rPr>
              <w:rFonts w:hint="default"/>
              <w:lang w:val="en-US" w:eastAsia="zh-CN"/>
            </w:rPr>
            <w:t xml:space="preserve">3.2. </w:t>
          </w:r>
          <w:r>
            <w:rPr>
              <w:rFonts w:hint="eastAsia"/>
              <w:lang w:val="en-US" w:eastAsia="zh-CN"/>
            </w:rPr>
            <w:t>产品质量部</w:t>
          </w:r>
          <w:r>
            <w:tab/>
          </w:r>
          <w:r>
            <w:fldChar w:fldCharType="begin"/>
          </w:r>
          <w:r>
            <w:instrText xml:space="preserve"> PAGEREF _Toc28823 \h </w:instrText>
          </w:r>
          <w:r>
            <w:fldChar w:fldCharType="separate"/>
          </w:r>
          <w:r>
            <w:t>4</w:t>
          </w:r>
          <w:r>
            <w:fldChar w:fldCharType="end"/>
          </w:r>
          <w:r>
            <w:fldChar w:fldCharType="end"/>
          </w:r>
        </w:p>
        <w:p w14:paraId="589317D2">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_Toc28559 </w:instrText>
          </w:r>
          <w:r>
            <w:fldChar w:fldCharType="separate"/>
          </w:r>
          <w:r>
            <w:rPr>
              <w:rFonts w:hint="default"/>
              <w:lang w:val="en-US" w:eastAsia="zh-CN"/>
            </w:rPr>
            <w:t xml:space="preserve">3.3. </w:t>
          </w:r>
          <w:r>
            <w:rPr>
              <w:rFonts w:hint="eastAsia"/>
              <w:lang w:val="en-US" w:eastAsia="zh-CN"/>
            </w:rPr>
            <w:t>运维部</w:t>
          </w:r>
          <w:r>
            <w:tab/>
          </w:r>
          <w:r>
            <w:fldChar w:fldCharType="begin"/>
          </w:r>
          <w:r>
            <w:instrText xml:space="preserve"> PAGEREF _Toc28559 \h </w:instrText>
          </w:r>
          <w:r>
            <w:fldChar w:fldCharType="separate"/>
          </w:r>
          <w:r>
            <w:t>5</w:t>
          </w:r>
          <w:r>
            <w:fldChar w:fldCharType="end"/>
          </w:r>
          <w:r>
            <w:fldChar w:fldCharType="end"/>
          </w:r>
        </w:p>
        <w:p w14:paraId="50F8EEDA">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_Toc10160 </w:instrText>
          </w:r>
          <w:r>
            <w:fldChar w:fldCharType="separate"/>
          </w:r>
          <w:r>
            <w:rPr>
              <w:rFonts w:hint="default"/>
              <w:lang w:val="en-US" w:eastAsia="zh-CN"/>
            </w:rPr>
            <w:t xml:space="preserve">3.4. </w:t>
          </w:r>
          <w:r>
            <w:rPr>
              <w:rFonts w:hint="eastAsia"/>
              <w:lang w:val="en-US" w:eastAsia="zh-CN"/>
            </w:rPr>
            <w:t>研发部</w:t>
          </w:r>
          <w:r>
            <w:tab/>
          </w:r>
          <w:r>
            <w:fldChar w:fldCharType="begin"/>
          </w:r>
          <w:r>
            <w:instrText xml:space="preserve"> PAGEREF _Toc10160 \h </w:instrText>
          </w:r>
          <w:r>
            <w:fldChar w:fldCharType="separate"/>
          </w:r>
          <w:r>
            <w:t>5</w:t>
          </w:r>
          <w:r>
            <w:fldChar w:fldCharType="end"/>
          </w:r>
          <w:r>
            <w:fldChar w:fldCharType="end"/>
          </w:r>
        </w:p>
        <w:p w14:paraId="17817125">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_Toc7453 </w:instrText>
          </w:r>
          <w:r>
            <w:fldChar w:fldCharType="separate"/>
          </w:r>
          <w:r>
            <w:rPr>
              <w:rFonts w:hint="default"/>
              <w:lang w:val="en-US" w:eastAsia="zh-CN"/>
            </w:rPr>
            <w:t xml:space="preserve">3.5. </w:t>
          </w:r>
          <w:r>
            <w:rPr>
              <w:rFonts w:hint="eastAsia"/>
              <w:lang w:val="en-US" w:eastAsia="zh-CN"/>
            </w:rPr>
            <w:t>综合部</w:t>
          </w:r>
          <w:r>
            <w:tab/>
          </w:r>
          <w:r>
            <w:fldChar w:fldCharType="begin"/>
          </w:r>
          <w:r>
            <w:instrText xml:space="preserve"> PAGEREF _Toc7453 \h </w:instrText>
          </w:r>
          <w:r>
            <w:fldChar w:fldCharType="separate"/>
          </w:r>
          <w:r>
            <w:t>5</w:t>
          </w:r>
          <w:r>
            <w:fldChar w:fldCharType="end"/>
          </w:r>
          <w:r>
            <w:fldChar w:fldCharType="end"/>
          </w:r>
        </w:p>
        <w:p w14:paraId="1E6B00E9">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_Toc27797 </w:instrText>
          </w:r>
          <w:r>
            <w:fldChar w:fldCharType="separate"/>
          </w:r>
          <w:r>
            <w:rPr>
              <w:rFonts w:hint="default"/>
              <w:lang w:val="en-US" w:eastAsia="zh-CN"/>
            </w:rPr>
            <w:t xml:space="preserve">3.6. </w:t>
          </w:r>
          <w:r>
            <w:rPr>
              <w:rFonts w:hint="eastAsia"/>
              <w:lang w:val="en-US" w:eastAsia="zh-CN"/>
            </w:rPr>
            <w:t>采购部</w:t>
          </w:r>
          <w:r>
            <w:tab/>
          </w:r>
          <w:r>
            <w:fldChar w:fldCharType="begin"/>
          </w:r>
          <w:r>
            <w:instrText xml:space="preserve"> PAGEREF _Toc27797 \h </w:instrText>
          </w:r>
          <w:r>
            <w:fldChar w:fldCharType="separate"/>
          </w:r>
          <w:r>
            <w:t>5</w:t>
          </w:r>
          <w:r>
            <w:fldChar w:fldCharType="end"/>
          </w:r>
          <w:r>
            <w:fldChar w:fldCharType="end"/>
          </w:r>
        </w:p>
        <w:p w14:paraId="7DA7D435">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_Toc4962 </w:instrText>
          </w:r>
          <w:r>
            <w:fldChar w:fldCharType="separate"/>
          </w:r>
          <w:r>
            <w:rPr>
              <w:rFonts w:hint="default"/>
              <w:lang w:val="en-US" w:eastAsia="zh-CN"/>
            </w:rPr>
            <w:t xml:space="preserve">4. </w:t>
          </w:r>
          <w:r>
            <w:rPr>
              <w:rFonts w:hint="eastAsia"/>
              <w:lang w:val="en-US" w:eastAsia="zh-CN"/>
            </w:rPr>
            <w:t>质量方针</w:t>
          </w:r>
          <w:r>
            <w:tab/>
          </w:r>
          <w:r>
            <w:fldChar w:fldCharType="begin"/>
          </w:r>
          <w:r>
            <w:instrText xml:space="preserve"> PAGEREF _Toc4962 \h </w:instrText>
          </w:r>
          <w:r>
            <w:fldChar w:fldCharType="separate"/>
          </w:r>
          <w:r>
            <w:t>5</w:t>
          </w:r>
          <w:r>
            <w:fldChar w:fldCharType="end"/>
          </w:r>
          <w:r>
            <w:fldChar w:fldCharType="end"/>
          </w:r>
        </w:p>
        <w:p w14:paraId="6AC3310A">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_Toc12813 </w:instrText>
          </w:r>
          <w:r>
            <w:fldChar w:fldCharType="separate"/>
          </w:r>
          <w:r>
            <w:rPr>
              <w:rFonts w:hint="default"/>
              <w:lang w:val="en-US" w:eastAsia="zh-CN"/>
            </w:rPr>
            <w:t xml:space="preserve">5. </w:t>
          </w:r>
          <w:r>
            <w:rPr>
              <w:rFonts w:hint="eastAsia"/>
              <w:lang w:val="en-US" w:eastAsia="zh-CN"/>
            </w:rPr>
            <w:t>质量管理活动</w:t>
          </w:r>
          <w:r>
            <w:tab/>
          </w:r>
          <w:r>
            <w:fldChar w:fldCharType="begin"/>
          </w:r>
          <w:r>
            <w:instrText xml:space="preserve"> PAGEREF _Toc12813 \h </w:instrText>
          </w:r>
          <w:r>
            <w:fldChar w:fldCharType="separate"/>
          </w:r>
          <w:r>
            <w:t>6</w:t>
          </w:r>
          <w:r>
            <w:fldChar w:fldCharType="end"/>
          </w:r>
          <w:r>
            <w:fldChar w:fldCharType="end"/>
          </w:r>
        </w:p>
        <w:p w14:paraId="4AA297D5">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_Toc25800 </w:instrText>
          </w:r>
          <w:r>
            <w:fldChar w:fldCharType="separate"/>
          </w:r>
          <w:r>
            <w:rPr>
              <w:rFonts w:hint="default"/>
              <w:lang w:val="en-US" w:eastAsia="zh-CN"/>
            </w:rPr>
            <w:t xml:space="preserve">5.1. </w:t>
          </w:r>
          <w:r>
            <w:rPr>
              <w:rFonts w:hint="eastAsia"/>
              <w:lang w:val="en-US" w:eastAsia="zh-CN"/>
            </w:rPr>
            <w:t>质量管理计划</w:t>
          </w:r>
          <w:r>
            <w:tab/>
          </w:r>
          <w:r>
            <w:fldChar w:fldCharType="begin"/>
          </w:r>
          <w:r>
            <w:instrText xml:space="preserve"> PAGEREF _Toc25800 \h </w:instrText>
          </w:r>
          <w:r>
            <w:fldChar w:fldCharType="separate"/>
          </w:r>
          <w:r>
            <w:t>6</w:t>
          </w:r>
          <w:r>
            <w:fldChar w:fldCharType="end"/>
          </w:r>
          <w:r>
            <w:fldChar w:fldCharType="end"/>
          </w:r>
        </w:p>
        <w:p w14:paraId="468208B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_Toc2194 </w:instrText>
          </w:r>
          <w:r>
            <w:fldChar w:fldCharType="separate"/>
          </w:r>
          <w:r>
            <w:rPr>
              <w:rFonts w:hint="default"/>
              <w:lang w:val="en-US" w:eastAsia="zh-CN"/>
            </w:rPr>
            <w:t xml:space="preserve">5.1.1. </w:t>
          </w:r>
          <w:r>
            <w:rPr>
              <w:rFonts w:hint="eastAsia"/>
              <w:lang w:val="en-US" w:eastAsia="zh-CN"/>
            </w:rPr>
            <w:t>质量管理计划制定</w:t>
          </w:r>
          <w:r>
            <w:tab/>
          </w:r>
          <w:r>
            <w:fldChar w:fldCharType="begin"/>
          </w:r>
          <w:r>
            <w:instrText xml:space="preserve"> PAGEREF _Toc2194 \h </w:instrText>
          </w:r>
          <w:r>
            <w:fldChar w:fldCharType="separate"/>
          </w:r>
          <w:r>
            <w:t>6</w:t>
          </w:r>
          <w:r>
            <w:fldChar w:fldCharType="end"/>
          </w:r>
          <w:r>
            <w:fldChar w:fldCharType="end"/>
          </w:r>
        </w:p>
        <w:p w14:paraId="7BA11DA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_Toc28852 </w:instrText>
          </w:r>
          <w:r>
            <w:fldChar w:fldCharType="separate"/>
          </w:r>
          <w:r>
            <w:rPr>
              <w:rFonts w:hint="default"/>
              <w:lang w:val="en-US" w:eastAsia="zh-CN"/>
            </w:rPr>
            <w:t xml:space="preserve">5.1.2. </w:t>
          </w:r>
          <w:r>
            <w:rPr>
              <w:rFonts w:hint="eastAsia"/>
              <w:lang w:val="en-US" w:eastAsia="zh-CN"/>
            </w:rPr>
            <w:t>质量管理计划评审</w:t>
          </w:r>
          <w:r>
            <w:tab/>
          </w:r>
          <w:r>
            <w:fldChar w:fldCharType="begin"/>
          </w:r>
          <w:r>
            <w:instrText xml:space="preserve"> PAGEREF _Toc28852 \h </w:instrText>
          </w:r>
          <w:r>
            <w:fldChar w:fldCharType="separate"/>
          </w:r>
          <w:r>
            <w:t>6</w:t>
          </w:r>
          <w:r>
            <w:fldChar w:fldCharType="end"/>
          </w:r>
          <w:r>
            <w:fldChar w:fldCharType="end"/>
          </w:r>
        </w:p>
        <w:p w14:paraId="42608453">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_Toc26498 </w:instrText>
          </w:r>
          <w:r>
            <w:fldChar w:fldCharType="separate"/>
          </w:r>
          <w:r>
            <w:rPr>
              <w:rFonts w:hint="default"/>
              <w:lang w:val="en-US" w:eastAsia="zh-CN"/>
            </w:rPr>
            <w:t xml:space="preserve">5.2. </w:t>
          </w:r>
          <w:r>
            <w:rPr>
              <w:rFonts w:hint="eastAsia"/>
              <w:lang w:val="en-US" w:eastAsia="zh-CN"/>
            </w:rPr>
            <w:t>运维服务质量检查</w:t>
          </w:r>
          <w:r>
            <w:tab/>
          </w:r>
          <w:r>
            <w:fldChar w:fldCharType="begin"/>
          </w:r>
          <w:r>
            <w:instrText xml:space="preserve"> PAGEREF _Toc26498 \h </w:instrText>
          </w:r>
          <w:r>
            <w:fldChar w:fldCharType="separate"/>
          </w:r>
          <w:r>
            <w:t>6</w:t>
          </w:r>
          <w:r>
            <w:fldChar w:fldCharType="end"/>
          </w:r>
          <w:r>
            <w:fldChar w:fldCharType="end"/>
          </w:r>
        </w:p>
        <w:p w14:paraId="126D1848">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_Toc14443 </w:instrText>
          </w:r>
          <w:r>
            <w:fldChar w:fldCharType="separate"/>
          </w:r>
          <w:r>
            <w:rPr>
              <w:rFonts w:hint="default"/>
              <w:lang w:val="en-US" w:eastAsia="zh-CN"/>
            </w:rPr>
            <w:t xml:space="preserve">5.3. </w:t>
          </w:r>
          <w:r>
            <w:rPr>
              <w:rFonts w:hint="eastAsia"/>
              <w:lang w:val="en-US" w:eastAsia="zh-CN"/>
            </w:rPr>
            <w:t>客户满意度调查</w:t>
          </w:r>
          <w:r>
            <w:tab/>
          </w:r>
          <w:r>
            <w:fldChar w:fldCharType="begin"/>
          </w:r>
          <w:r>
            <w:instrText xml:space="preserve"> PAGEREF _Toc14443 \h </w:instrText>
          </w:r>
          <w:r>
            <w:fldChar w:fldCharType="separate"/>
          </w:r>
          <w:r>
            <w:t>7</w:t>
          </w:r>
          <w:r>
            <w:fldChar w:fldCharType="end"/>
          </w:r>
          <w:r>
            <w:fldChar w:fldCharType="end"/>
          </w:r>
        </w:p>
        <w:p w14:paraId="21CE6286">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_Toc7396 </w:instrText>
          </w:r>
          <w:r>
            <w:fldChar w:fldCharType="separate"/>
          </w:r>
          <w:r>
            <w:rPr>
              <w:rFonts w:hint="default"/>
              <w:lang w:val="en-US" w:eastAsia="zh-CN"/>
            </w:rPr>
            <w:t xml:space="preserve">5.4. </w:t>
          </w:r>
          <w:r>
            <w:rPr>
              <w:rFonts w:hint="eastAsia"/>
              <w:lang w:val="en-US" w:eastAsia="zh-CN"/>
            </w:rPr>
            <w:t>内审和管理评审</w:t>
          </w:r>
          <w:r>
            <w:tab/>
          </w:r>
          <w:r>
            <w:fldChar w:fldCharType="begin"/>
          </w:r>
          <w:r>
            <w:instrText xml:space="preserve"> PAGEREF _Toc7396 \h </w:instrText>
          </w:r>
          <w:r>
            <w:fldChar w:fldCharType="separate"/>
          </w:r>
          <w:r>
            <w:t>8</w:t>
          </w:r>
          <w:r>
            <w:fldChar w:fldCharType="end"/>
          </w:r>
          <w:r>
            <w:fldChar w:fldCharType="end"/>
          </w:r>
        </w:p>
        <w:p w14:paraId="09DC9A9E">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_Toc17487 </w:instrText>
          </w:r>
          <w:r>
            <w:fldChar w:fldCharType="separate"/>
          </w:r>
          <w:r>
            <w:rPr>
              <w:rFonts w:hint="default"/>
              <w:lang w:val="en-US" w:eastAsia="zh-CN"/>
            </w:rPr>
            <w:t xml:space="preserve">5.5. </w:t>
          </w:r>
          <w:r>
            <w:rPr>
              <w:rFonts w:hint="eastAsia"/>
              <w:lang w:val="en-US" w:eastAsia="zh-CN"/>
            </w:rPr>
            <w:t>改进项处理</w:t>
          </w:r>
          <w:r>
            <w:tab/>
          </w:r>
          <w:r>
            <w:fldChar w:fldCharType="begin"/>
          </w:r>
          <w:r>
            <w:instrText xml:space="preserve"> PAGEREF _Toc17487 \h </w:instrText>
          </w:r>
          <w:r>
            <w:fldChar w:fldCharType="separate"/>
          </w:r>
          <w:r>
            <w:t>8</w:t>
          </w:r>
          <w:r>
            <w:fldChar w:fldCharType="end"/>
          </w:r>
          <w:r>
            <w:fldChar w:fldCharType="end"/>
          </w:r>
        </w:p>
        <w:p w14:paraId="1234B23F">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_Toc64 </w:instrText>
          </w:r>
          <w:r>
            <w:fldChar w:fldCharType="separate"/>
          </w:r>
          <w:r>
            <w:rPr>
              <w:rFonts w:hint="default"/>
              <w:lang w:val="en-US" w:eastAsia="zh-CN"/>
            </w:rPr>
            <w:t xml:space="preserve">5.6. </w:t>
          </w:r>
          <w:r>
            <w:rPr>
              <w:rFonts w:hint="eastAsia"/>
              <w:lang w:val="en-US" w:eastAsia="zh-CN"/>
            </w:rPr>
            <w:t>质量培训</w:t>
          </w:r>
          <w:r>
            <w:tab/>
          </w:r>
          <w:r>
            <w:fldChar w:fldCharType="begin"/>
          </w:r>
          <w:r>
            <w:instrText xml:space="preserve"> PAGEREF _Toc64 \h </w:instrText>
          </w:r>
          <w:r>
            <w:fldChar w:fldCharType="separate"/>
          </w:r>
          <w:r>
            <w:t>9</w:t>
          </w:r>
          <w:r>
            <w:fldChar w:fldCharType="end"/>
          </w:r>
          <w:r>
            <w:fldChar w:fldCharType="end"/>
          </w:r>
        </w:p>
        <w:p w14:paraId="36A948A0">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_Toc25539 </w:instrText>
          </w:r>
          <w:r>
            <w:fldChar w:fldCharType="separate"/>
          </w:r>
          <w:r>
            <w:rPr>
              <w:rFonts w:hint="default"/>
              <w:lang w:val="en-US" w:eastAsia="zh-CN"/>
            </w:rPr>
            <w:t xml:space="preserve">5.7. </w:t>
          </w:r>
          <w:r>
            <w:rPr>
              <w:rFonts w:hint="eastAsia"/>
              <w:lang w:val="en-US" w:eastAsia="zh-CN"/>
            </w:rPr>
            <w:t>质量管理工作汇报及总结</w:t>
          </w:r>
          <w:r>
            <w:tab/>
          </w:r>
          <w:r>
            <w:fldChar w:fldCharType="begin"/>
          </w:r>
          <w:r>
            <w:instrText xml:space="preserve"> PAGEREF _Toc25539 \h </w:instrText>
          </w:r>
          <w:r>
            <w:fldChar w:fldCharType="separate"/>
          </w:r>
          <w:r>
            <w:t>10</w:t>
          </w:r>
          <w:r>
            <w:fldChar w:fldCharType="end"/>
          </w:r>
          <w:r>
            <w:fldChar w:fldCharType="end"/>
          </w:r>
        </w:p>
        <w:p w14:paraId="3B4DDE4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716D55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C379EB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 w:name="_Toc2539"/>
      <w:r>
        <w:rPr>
          <w:rFonts w:hint="eastAsia"/>
          <w:lang w:val="en-US" w:eastAsia="zh-CN"/>
        </w:rPr>
        <w:t>目的</w:t>
      </w:r>
      <w:bookmarkEnd w:id="1"/>
    </w:p>
    <w:p w14:paraId="2BFB0E3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本计划旨在确保华风数据(深圳)有限公司（以下简称“公司”）2026年度提供的运维服务满足客户所需的服务质量，寻找服务实施过程中存在的问题和缺陷，为服务改进活动的有效实施提供目标和方向，保证公司服务质量稳定可控并持续提升。</w:t>
      </w:r>
    </w:p>
    <w:p w14:paraId="6F0CBC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依据2025年度质量管理工作的执行情况，结合公司2026年度业务发展目标和服务能力提升要求，制定本年度质量管理计划。</w:t>
      </w:r>
    </w:p>
    <w:p w14:paraId="5945177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4684"/>
      <w:r>
        <w:rPr>
          <w:rFonts w:hint="eastAsia"/>
          <w:lang w:val="en-US" w:eastAsia="zh-CN"/>
        </w:rPr>
        <w:t>范围</w:t>
      </w:r>
      <w:bookmarkEnd w:id="2"/>
    </w:p>
    <w:p w14:paraId="610C696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本计划适用于公司2026年度运维服务实施全生命周期的检查与审计，覆盖运维服务相关的所有部门：运维部、研发部、产品质量部、综合部、采购部、应急管理部。</w:t>
      </w:r>
    </w:p>
    <w:p w14:paraId="43F9372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7738"/>
      <w:r>
        <w:rPr>
          <w:rFonts w:hint="eastAsia"/>
          <w:lang w:val="en-US" w:eastAsia="zh-CN"/>
        </w:rPr>
        <w:t>职责与权限</w:t>
      </w:r>
      <w:bookmarkEnd w:id="3"/>
    </w:p>
    <w:p w14:paraId="50A498C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32642"/>
      <w:r>
        <w:rPr>
          <w:rFonts w:hint="eastAsia"/>
          <w:lang w:val="en-US" w:eastAsia="zh-CN"/>
        </w:rPr>
        <w:t>管理层</w:t>
      </w:r>
      <w:bookmarkEnd w:id="4"/>
    </w:p>
    <w:p w14:paraId="15393E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负责制定公司质量方针和质量目标，并确保其得到理解和贯彻；为运维服务管理体系的运行提供必要的资源支持；审批重大质量改进事项和服务实施过程的改进方案；主持管理评审会议，审批管理评审报告；对运维服务能力管理体系的适宜性、充分性和有效性承担最终责任；定期对服务实施过程进行监控和管理，确保服务质量持续提升。</w:t>
      </w:r>
    </w:p>
    <w:p w14:paraId="156950B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28823"/>
      <w:r>
        <w:rPr>
          <w:rFonts w:hint="eastAsia"/>
          <w:lang w:val="en-US" w:eastAsia="zh-CN"/>
        </w:rPr>
        <w:t>产品质量部</w:t>
      </w:r>
      <w:bookmarkEnd w:id="5"/>
    </w:p>
    <w:p w14:paraId="12027CF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负责本计划的制订、解释和修订；负责制定组织级《年度运维服务质量管理计划》；编写质量相关的制度和报告；负责公司运维服务指标体系的管控，跟踪KPI达成情况；负责组织公司的内审和管理评审工作；负责公司组织级客户满意度调查；负责不符合项改进的监督及检查，跟踪改进措施的执行情况；负责公司质量措施执行情况的监督审核；定期出具质量报告，向管理层汇报运维服务质量状况。</w:t>
      </w:r>
    </w:p>
    <w:p w14:paraId="19BD56D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8559"/>
      <w:r>
        <w:rPr>
          <w:rFonts w:hint="eastAsia"/>
          <w:lang w:val="en-US" w:eastAsia="zh-CN"/>
        </w:rPr>
        <w:t>运维部</w:t>
      </w:r>
      <w:bookmarkEnd w:id="6"/>
    </w:p>
    <w:p w14:paraId="5CC19D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负责运维项目质量管理工作；负责运维服务质量管理过程中的改进工作实施；负责监督运维项目质量管理工作；负责项目运维服务交付物的监督、检查，确保交付物符合质量标准；依据运维服务质量要求，提交各运维项目的运维服务相关报告和文件；负责运维服务项目的验收质量管理；服务台负责事件解决后的客户满意度回访和统计。</w:t>
      </w:r>
    </w:p>
    <w:p w14:paraId="1D7F6BA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0160"/>
      <w:r>
        <w:rPr>
          <w:rFonts w:hint="eastAsia"/>
          <w:lang w:val="en-US" w:eastAsia="zh-CN"/>
        </w:rPr>
        <w:t>研发部</w:t>
      </w:r>
      <w:bookmarkEnd w:id="7"/>
    </w:p>
    <w:p w14:paraId="49364B1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配合产品质量部进行技术相关的质量检查；负责根据质量检查中涉及的技术问题进行改进实施；将质量问题中发现的技术需求纳入技术研发规划；负责运维工具、服务知识的质量保障。</w:t>
      </w:r>
    </w:p>
    <w:p w14:paraId="6999B6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7453"/>
      <w:r>
        <w:rPr>
          <w:rFonts w:hint="eastAsia"/>
          <w:lang w:val="en-US" w:eastAsia="zh-CN"/>
        </w:rPr>
        <w:t>综合部</w:t>
      </w:r>
      <w:bookmarkEnd w:id="8"/>
    </w:p>
    <w:p w14:paraId="18D4987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配合产品质量部进行人员相关的质量培训工作；负责根据质量检查中涉及的人员技能、服务态度等问题，纳入人员培训计划；将质量意识纳入人员绩效考核体系。</w:t>
      </w:r>
    </w:p>
    <w:p w14:paraId="300C1E4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7797"/>
      <w:r>
        <w:rPr>
          <w:rFonts w:hint="eastAsia"/>
          <w:lang w:val="en-US" w:eastAsia="zh-CN"/>
        </w:rPr>
        <w:t>采购部</w:t>
      </w:r>
      <w:bookmarkEnd w:id="9"/>
    </w:p>
    <w:p w14:paraId="5CABC2D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配合产品质量部进行供应商相关的质量管理工作；负责根据质量检查中涉及的采购物资质量问题，与供应商沟通改进。</w:t>
      </w:r>
    </w:p>
    <w:p w14:paraId="0D5236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4962"/>
      <w:r>
        <w:rPr>
          <w:rFonts w:hint="eastAsia"/>
          <w:lang w:val="en-US" w:eastAsia="zh-CN"/>
        </w:rPr>
        <w:t>质量方针</w:t>
      </w:r>
      <w:bookmarkEnd w:id="10"/>
    </w:p>
    <w:p w14:paraId="6EE43FE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过程规范、快速响应、提高服务质量，提升客户满意度。</w:t>
      </w:r>
    </w:p>
    <w:p w14:paraId="57E77B3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公司全体运维相关人员应以此方针为指引，在日常工作中贯彻质量意识，确保服务质量持续提升。</w:t>
      </w:r>
    </w:p>
    <w:p w14:paraId="0D06C60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2813"/>
      <w:r>
        <w:rPr>
          <w:rFonts w:hint="eastAsia"/>
          <w:lang w:val="en-US" w:eastAsia="zh-CN"/>
        </w:rPr>
        <w:t>质量管理活动</w:t>
      </w:r>
      <w:bookmarkEnd w:id="11"/>
    </w:p>
    <w:p w14:paraId="1496A2D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5800"/>
      <w:r>
        <w:rPr>
          <w:rFonts w:hint="eastAsia"/>
          <w:lang w:val="en-US" w:eastAsia="zh-CN"/>
        </w:rPr>
        <w:t>质量管理计划</w:t>
      </w:r>
      <w:bookmarkEnd w:id="12"/>
    </w:p>
    <w:p w14:paraId="324AB67D">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194"/>
      <w:r>
        <w:rPr>
          <w:rFonts w:hint="eastAsia"/>
          <w:lang w:val="en-US" w:eastAsia="zh-CN"/>
        </w:rPr>
        <w:t>质量管理计划制定</w:t>
      </w:r>
      <w:bookmarkEnd w:id="13"/>
    </w:p>
    <w:p w14:paraId="1577FFB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产品质量部于2026年1月制定本年度《2026年度运维服务质量管理计划》，合理规划运维服务各阶段服务活动的范围、时间等指标，确保与服务计划相一致。</w:t>
      </w:r>
    </w:p>
    <w:p w14:paraId="7D8B1A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《2026年度运维服务质量管理计划》包括以下内容：</w:t>
      </w:r>
    </w:p>
    <w:p w14:paraId="528457F0">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明确质量管理的目的、范围及质量管理计划与其他服务计划的关系</w:t>
      </w:r>
    </w:p>
    <w:p w14:paraId="72C244BC">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描述质量管理的组织、权限和责任</w:t>
      </w:r>
    </w:p>
    <w:p w14:paraId="202602F0">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明确要对哪些过程和服务进行质量检查审计</w:t>
      </w:r>
    </w:p>
    <w:p w14:paraId="40B3A285">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确定产品质量部如何对服务过程和服务的符合性进行验证</w:t>
      </w:r>
    </w:p>
    <w:p w14:paraId="0FD99008">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质量检查的时间安排和频次</w:t>
      </w:r>
    </w:p>
    <w:p w14:paraId="5C83413F">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质量培训计划</w:t>
      </w:r>
    </w:p>
    <w:p w14:paraId="1FB33345">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质量目标及KPI指标</w:t>
      </w:r>
    </w:p>
    <w:p w14:paraId="16633610">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28852"/>
      <w:r>
        <w:rPr>
          <w:rFonts w:hint="eastAsia"/>
          <w:lang w:val="en-US" w:eastAsia="zh-CN"/>
        </w:rPr>
        <w:t>质量管理计划评审</w:t>
      </w:r>
      <w:bookmarkEnd w:id="14"/>
    </w:p>
    <w:p w14:paraId="3E2F7DA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《2026年度运维服务质量管理计划》编制完成后，提交管理层进行内部评审。评审通过后，按该质量管理计划进行全年质量管理工作。评审意见和结论应形成记录并归档。</w:t>
      </w:r>
    </w:p>
    <w:p w14:paraId="775909F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26498"/>
      <w:r>
        <w:rPr>
          <w:rFonts w:hint="eastAsia"/>
          <w:lang w:val="en-US" w:eastAsia="zh-CN"/>
        </w:rPr>
        <w:t>运维服务质量检查</w:t>
      </w:r>
      <w:bookmarkEnd w:id="15"/>
    </w:p>
    <w:p w14:paraId="38A22DB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运维服务质量检查分为组织级质量检查和项目级质量检查两种形式。</w:t>
      </w:r>
    </w:p>
    <w:p w14:paraId="2831C723">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组织级质量检查：</w:t>
      </w:r>
    </w:p>
    <w:p w14:paraId="2E177397">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0"/>
        <w:textAlignment w:val="baseline"/>
        <w:rPr>
          <w:rFonts w:hint="eastAsia" w:eastAsia="宋体"/>
          <w:lang w:val="en-US" w:eastAsia="zh-CN"/>
        </w:rPr>
      </w:pPr>
      <w:r>
        <w:rPr>
          <w:rFonts w:hint="eastAsia" w:eastAsia="宋体"/>
          <w:lang w:val="en-US" w:eastAsia="zh-CN"/>
        </w:rPr>
        <w:t>产品质量部每季度对组织级的运维服务质量进行审计，主要对运维服务内容和服务过程进行检查，内容包括：</w:t>
      </w:r>
    </w:p>
    <w:p w14:paraId="3629B771">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检查能力计划执行情况和指标体系中各指标项的达成情况</w:t>
      </w:r>
    </w:p>
    <w:p w14:paraId="2ABEECB2">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检查和审计各类汇报和报告的质量和及时性</w:t>
      </w:r>
    </w:p>
    <w:p w14:paraId="21BD8EC9">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检查各过程管理制度的执行情况</w:t>
      </w:r>
    </w:p>
    <w:p w14:paraId="2B69E5E9">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检查服务交付物的完整性</w:t>
      </w:r>
    </w:p>
    <w:p w14:paraId="13E26C44">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项目级质量检查：</w:t>
      </w:r>
    </w:p>
    <w:p w14:paraId="3DEDEA0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产品质量部依据质量管理计划和质量检查表，定期对项目活动和工作产品进行检查，内容包括：</w:t>
      </w:r>
    </w:p>
    <w:p w14:paraId="5C2ECA2E">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审计各项目组是否按照已建立的运维服务管理体系进行相关项目活动</w:t>
      </w:r>
    </w:p>
    <w:p w14:paraId="08ECE4AE">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保证项目交付物符合相应的要求和标准</w:t>
      </w:r>
    </w:p>
    <w:p w14:paraId="26E6EC8E">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审计项目中各类汇报和报告的质量和及时性</w:t>
      </w:r>
    </w:p>
    <w:p w14:paraId="70D9E585">
      <w:pPr>
        <w:pStyle w:val="31"/>
        <w:keepNext w:val="0"/>
        <w:keepLines w:val="0"/>
        <w:pageBreakBefore w:val="0"/>
        <w:widowControl w:val="0"/>
        <w:numPr>
          <w:ilvl w:val="0"/>
          <w:numId w:val="5"/>
        </w:numPr>
        <w:kinsoku w:val="0"/>
        <w:wordWrap/>
        <w:overflowPunct/>
        <w:topLinePunct w:val="0"/>
        <w:autoSpaceDE w:val="0"/>
        <w:autoSpaceDN w:val="0"/>
        <w:bidi w:val="0"/>
        <w:adjustRightInd w:val="0"/>
        <w:snapToGrid w:val="0"/>
        <w:ind w:left="845" w:leftChars="0" w:hanging="425" w:firstLineChars="0"/>
        <w:textAlignment w:val="baseline"/>
        <w:rPr>
          <w:rFonts w:hint="eastAsia" w:eastAsia="宋体"/>
          <w:lang w:val="en-US" w:eastAsia="zh-CN"/>
        </w:rPr>
      </w:pPr>
      <w:r>
        <w:rPr>
          <w:rFonts w:hint="eastAsia" w:eastAsia="宋体"/>
          <w:lang w:val="en-US" w:eastAsia="zh-CN"/>
        </w:rPr>
        <w:t>记录检查发现的问题，并与相关人员进行沟通解决</w:t>
      </w:r>
    </w:p>
    <w:p w14:paraId="34103CE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eastAsia="宋体"/>
          <w:lang w:val="en-US" w:eastAsia="zh-CN"/>
        </w:rPr>
        <w:t>2026年度质量检查安排表</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0"/>
        <w:gridCol w:w="1077"/>
        <w:gridCol w:w="1660"/>
        <w:gridCol w:w="3186"/>
        <w:gridCol w:w="1389"/>
      </w:tblGrid>
      <w:tr w14:paraId="12C8A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0"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062E6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检查类型</w:t>
            </w:r>
          </w:p>
        </w:tc>
        <w:tc>
          <w:tcPr>
            <w:tcW w:w="107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79199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检查频次</w:t>
            </w:r>
          </w:p>
        </w:tc>
        <w:tc>
          <w:tcPr>
            <w:tcW w:w="166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EDE1D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检查时间</w:t>
            </w:r>
          </w:p>
        </w:tc>
        <w:tc>
          <w:tcPr>
            <w:tcW w:w="318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AE22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检查重点</w:t>
            </w:r>
          </w:p>
        </w:tc>
        <w:tc>
          <w:tcPr>
            <w:tcW w:w="138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B3FE4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输出物</w:t>
            </w:r>
          </w:p>
        </w:tc>
      </w:tr>
      <w:tr w14:paraId="35DE0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92D3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组织级质量检查</w:t>
            </w:r>
          </w:p>
        </w:tc>
        <w:tc>
          <w:tcPr>
            <w:tcW w:w="107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60DF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每季度1次</w:t>
            </w:r>
          </w:p>
        </w:tc>
        <w:tc>
          <w:tcPr>
            <w:tcW w:w="166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18ED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3月、6月、9月、12月</w:t>
            </w:r>
          </w:p>
        </w:tc>
        <w:tc>
          <w:tcPr>
            <w:tcW w:w="318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0A9F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能力计划执行、KPI达成、过程执行、交付物完整性</w:t>
            </w:r>
          </w:p>
        </w:tc>
        <w:tc>
          <w:tcPr>
            <w:tcW w:w="13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AAE28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《质量检查报告》</w:t>
            </w:r>
          </w:p>
        </w:tc>
      </w:tr>
      <w:tr w14:paraId="4DDA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49FE4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项目级质量检查</w:t>
            </w:r>
          </w:p>
        </w:tc>
        <w:tc>
          <w:tcPr>
            <w:tcW w:w="107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33FA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每月1次</w:t>
            </w:r>
          </w:p>
        </w:tc>
        <w:tc>
          <w:tcPr>
            <w:tcW w:w="166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5454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每月末</w:t>
            </w:r>
          </w:p>
        </w:tc>
        <w:tc>
          <w:tcPr>
            <w:tcW w:w="318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91F1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项目活动合规性、交付物质量、报告质量</w:t>
            </w:r>
          </w:p>
        </w:tc>
        <w:tc>
          <w:tcPr>
            <w:tcW w:w="13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F59F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《质量检查记录表》</w:t>
            </w:r>
          </w:p>
        </w:tc>
      </w:tr>
      <w:tr w14:paraId="1ADB4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5FCD7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重点项目专项检查</w:t>
            </w:r>
          </w:p>
        </w:tc>
        <w:tc>
          <w:tcPr>
            <w:tcW w:w="107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76934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按需</w:t>
            </w:r>
          </w:p>
        </w:tc>
        <w:tc>
          <w:tcPr>
            <w:tcW w:w="166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C7AC4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项目关键节点</w:t>
            </w:r>
          </w:p>
        </w:tc>
        <w:tc>
          <w:tcPr>
            <w:tcW w:w="318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DC181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2025年国电电力湖南新能源系统运维项目</w:t>
            </w:r>
            <w:bookmarkStart w:id="21" w:name="_GoBack"/>
            <w:bookmarkEnd w:id="21"/>
            <w:r>
              <w:rPr>
                <w:rFonts w:hint="default" w:ascii="Segoe UI" w:hAnsi="Segoe UI" w:eastAsia="Segoe UI" w:cs="Segoe UI"/>
                <w:i w:val="0"/>
                <w:iCs w:val="0"/>
                <w:caps w:val="0"/>
                <w:snapToGrid w:val="0"/>
                <w:color w:val="000000"/>
                <w:spacing w:val="0"/>
                <w:kern w:val="0"/>
                <w:sz w:val="18"/>
                <w:szCs w:val="18"/>
                <w:lang w:val="en-US" w:eastAsia="zh-CN"/>
              </w:rPr>
              <w:t>等</w:t>
            </w:r>
          </w:p>
        </w:tc>
        <w:tc>
          <w:tcPr>
            <w:tcW w:w="138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23EE3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《专项检查报告》</w:t>
            </w:r>
          </w:p>
        </w:tc>
      </w:tr>
    </w:tbl>
    <w:p w14:paraId="4DEB700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质量检查应秉持公平公正的原则，检查结果应记录在《质量检查记录表》中，作为改进的依据。</w:t>
      </w:r>
    </w:p>
    <w:p w14:paraId="7FB9969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14443"/>
      <w:r>
        <w:rPr>
          <w:rFonts w:hint="eastAsia"/>
          <w:lang w:val="en-US" w:eastAsia="zh-CN"/>
        </w:rPr>
        <w:t>客户满意度调查</w:t>
      </w:r>
      <w:bookmarkEnd w:id="16"/>
    </w:p>
    <w:p w14:paraId="6BCF4F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客户满意度调查工作由运维部、产品质量部共同完成：</w:t>
      </w:r>
    </w:p>
    <w:p w14:paraId="53CCB4E9">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事件解决满意度回访：由运维部服务台负责，对已解决的事件进行电话回访，确认运维服务人员是否成功解决问题，了解客户对处理结果的满意度。回访应在事件解决后3个工作日内完成。</w:t>
      </w:r>
    </w:p>
    <w:p w14:paraId="082D5C59">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组织级客户满意度调查：由产品质量部负责，2026年11月至少进行一次，采用问卷填写方式。调查内容必须与SLA（或服务合同）内容相一致，注意调查样本的比例及覆盖范围，以降低抽样的风险。</w:t>
      </w:r>
    </w:p>
    <w:p w14:paraId="1202E9E2">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项目级满意度调查：由运维部项目经理负责，在项目验收后对运维服务人员的工作满意度进行调查，用以不断改进运维服务过程。</w:t>
      </w:r>
    </w:p>
    <w:p w14:paraId="25EA46B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eastAsia="宋体"/>
          <w:lang w:val="en-US" w:eastAsia="zh-CN"/>
        </w:rPr>
        <w:t>2026年度满意度调查安排表</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0"/>
        <w:gridCol w:w="1159"/>
        <w:gridCol w:w="2259"/>
        <w:gridCol w:w="1788"/>
        <w:gridCol w:w="1346"/>
      </w:tblGrid>
      <w:tr w14:paraId="1A54A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97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A62D2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调查类型</w:t>
            </w:r>
          </w:p>
        </w:tc>
        <w:tc>
          <w:tcPr>
            <w:tcW w:w="115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663F4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调查方式</w:t>
            </w:r>
          </w:p>
        </w:tc>
        <w:tc>
          <w:tcPr>
            <w:tcW w:w="225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9E1AB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调查时间</w:t>
            </w:r>
          </w:p>
        </w:tc>
        <w:tc>
          <w:tcPr>
            <w:tcW w:w="178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458F0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调查对象</w:t>
            </w:r>
          </w:p>
        </w:tc>
        <w:tc>
          <w:tcPr>
            <w:tcW w:w="134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0C5DA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责任部门</w:t>
            </w:r>
          </w:p>
        </w:tc>
      </w:tr>
      <w:tr w14:paraId="34918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E452F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组织级客户满意度调查</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3D17F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问卷调查</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B217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2026年11月</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2926A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所有运维服务客户</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75AD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r>
      <w:tr w14:paraId="51759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9F602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事件解决满意度回访</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9B3C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电话回访</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6D68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事件解决后3个工作日内</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2632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事件申报人</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CFD4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r>
      <w:tr w14:paraId="32DD3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8094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投诉处理满意度回访</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88332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电话回访</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1607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投诉处理后</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1A50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投诉人</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DC5F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r>
      <w:tr w14:paraId="2341A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77FB0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项目级满意度调查</w:t>
            </w:r>
          </w:p>
        </w:tc>
        <w:tc>
          <w:tcPr>
            <w:tcW w:w="115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ECC21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走访/电访</w:t>
            </w:r>
          </w:p>
        </w:tc>
        <w:tc>
          <w:tcPr>
            <w:tcW w:w="225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A6C60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项目关键节点或结束后</w:t>
            </w:r>
          </w:p>
        </w:tc>
        <w:tc>
          <w:tcPr>
            <w:tcW w:w="178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C9923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项目客户</w:t>
            </w:r>
          </w:p>
        </w:tc>
        <w:tc>
          <w:tcPr>
            <w:tcW w:w="134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CF873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r>
    </w:tbl>
    <w:p w14:paraId="7AD5D3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具体调查流程详见《满意度管理制度》。</w:t>
      </w:r>
    </w:p>
    <w:p w14:paraId="4B8C4E5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7396"/>
      <w:r>
        <w:rPr>
          <w:rFonts w:hint="eastAsia"/>
          <w:lang w:val="en-US" w:eastAsia="zh-CN"/>
        </w:rPr>
        <w:t>内审和管理评审</w:t>
      </w:r>
      <w:bookmarkEnd w:id="17"/>
    </w:p>
    <w:p w14:paraId="74E2CAA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产品质量部于2026年10月组织一次运维服务管理体系的内部审核工作，于2026年11月组织一次管理评审工作，确保公司运维服务能力的适宜性和有效性。</w:t>
      </w:r>
    </w:p>
    <w:p w14:paraId="1CCA5839">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内部审核：</w:t>
      </w:r>
    </w:p>
    <w:p w14:paraId="49CF7070">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eastAsia="宋体"/>
          <w:lang w:val="en-US" w:eastAsia="zh-CN"/>
        </w:rPr>
      </w:pPr>
      <w:r>
        <w:rPr>
          <w:rFonts w:hint="eastAsia" w:eastAsia="宋体"/>
          <w:lang w:val="en-US" w:eastAsia="zh-CN"/>
        </w:rPr>
        <w:t>检查运维服务管理活动及其结果是否符合ITSS标准及公司相关制度要求，为体系的持续改进提供依据。审核范围覆盖人员、资源、技术、过程、交付、应急六大能力域。</w:t>
      </w:r>
    </w:p>
    <w:p w14:paraId="3C9270DC">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管理评审：</w:t>
      </w:r>
    </w:p>
    <w:p w14:paraId="349EFECD">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eastAsia="宋体"/>
          <w:lang w:val="en-US" w:eastAsia="zh-CN"/>
        </w:rPr>
      </w:pPr>
      <w:r>
        <w:rPr>
          <w:rFonts w:hint="eastAsia" w:eastAsia="宋体"/>
          <w:lang w:val="en-US" w:eastAsia="zh-CN"/>
        </w:rPr>
        <w:t>对体系的适宜性、充分性和有效性进行评审，确保体系持续满足客户需求和业务发展要求。</w:t>
      </w:r>
    </w:p>
    <w:p w14:paraId="0E9321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具体流程详见《内审管理制度》和《管理评审管理制度》。</w:t>
      </w:r>
    </w:p>
    <w:p w14:paraId="1228A09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17487"/>
      <w:r>
        <w:rPr>
          <w:rFonts w:hint="eastAsia"/>
          <w:lang w:val="en-US" w:eastAsia="zh-CN"/>
        </w:rPr>
        <w:t>改进项处理</w:t>
      </w:r>
      <w:bookmarkEnd w:id="18"/>
    </w:p>
    <w:p w14:paraId="719E189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针对以下来源发现的未达标项，产品质量部应及时组织相关人员对问题进行根本原因分析，并制定纠正措施：</w:t>
      </w:r>
    </w:p>
    <w:p w14:paraId="6FED946E">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质量检查中发现的问题</w:t>
      </w:r>
    </w:p>
    <w:p w14:paraId="6DFBA2F8">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内审中发现的不符合项</w:t>
      </w:r>
    </w:p>
    <w:p w14:paraId="4B28E4C7">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客户满意度调查中的低分项</w:t>
      </w:r>
    </w:p>
    <w:p w14:paraId="735DAF38">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客户投诉</w:t>
      </w:r>
    </w:p>
    <w:p w14:paraId="0EFDC8E5">
      <w:pPr>
        <w:pStyle w:val="3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过程指标未达成项</w:t>
      </w:r>
    </w:p>
    <w:p w14:paraId="15279FD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改进措施应包括：问题描述、根本原因分析、改进措施、责任人、计划完成时间、预期效果。产品质量部需对改进项进行跟踪记录，直至关闭为止。</w:t>
      </w:r>
    </w:p>
    <w:p w14:paraId="1948698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eastAsia="宋体"/>
          <w:lang w:val="en-US" w:eastAsia="zh-CN"/>
        </w:rPr>
        <w:t>2026年度重点改进事项</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
        <w:gridCol w:w="1832"/>
        <w:gridCol w:w="3607"/>
        <w:gridCol w:w="1138"/>
        <w:gridCol w:w="1323"/>
      </w:tblGrid>
      <w:tr w14:paraId="65258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2"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FEFFD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83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9D834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问题</w:t>
            </w:r>
          </w:p>
        </w:tc>
        <w:tc>
          <w:tcPr>
            <w:tcW w:w="360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03AEE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改进措施</w:t>
            </w:r>
          </w:p>
        </w:tc>
        <w:tc>
          <w:tcPr>
            <w:tcW w:w="113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E02EB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32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BE74E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r>
      <w:tr w14:paraId="237D5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646B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83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CA6D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数据完整性偶有不达标</w:t>
            </w:r>
          </w:p>
        </w:tc>
        <w:tc>
          <w:tcPr>
            <w:tcW w:w="360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A1C3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持续完善数据录入规范，定期开展数据完整性检查</w:t>
            </w:r>
          </w:p>
        </w:tc>
        <w:tc>
          <w:tcPr>
            <w:tcW w:w="11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21FD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3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49AF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r w14:paraId="50C77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81272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83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B5DA6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前端设备老化</w:t>
            </w:r>
          </w:p>
        </w:tc>
        <w:tc>
          <w:tcPr>
            <w:tcW w:w="360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C720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评估设备更新需求，增加备件储备</w:t>
            </w:r>
          </w:p>
        </w:tc>
        <w:tc>
          <w:tcPr>
            <w:tcW w:w="11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0184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硬件负责人</w:t>
            </w:r>
          </w:p>
        </w:tc>
        <w:tc>
          <w:tcPr>
            <w:tcW w:w="13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F0F5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r w14:paraId="1D236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CA2A3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83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AC42A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用户操作熟练度差异</w:t>
            </w:r>
          </w:p>
        </w:tc>
        <w:tc>
          <w:tcPr>
            <w:tcW w:w="360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E85D0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组织进阶操作培训，优化操作手册</w:t>
            </w:r>
          </w:p>
        </w:tc>
        <w:tc>
          <w:tcPr>
            <w:tcW w:w="113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1D527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培训负责人</w:t>
            </w:r>
          </w:p>
        </w:tc>
        <w:tc>
          <w:tcPr>
            <w:tcW w:w="132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89629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bl>
    <w:p w14:paraId="6E15FC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具体流程详见《改进管理制度》。</w:t>
      </w:r>
    </w:p>
    <w:p w14:paraId="75A4887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64"/>
      <w:r>
        <w:rPr>
          <w:rFonts w:hint="eastAsia"/>
          <w:lang w:val="en-US" w:eastAsia="zh-CN"/>
        </w:rPr>
        <w:t>质量培训</w:t>
      </w:r>
      <w:bookmarkEnd w:id="19"/>
    </w:p>
    <w:p w14:paraId="1584930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产品质量部定期安排质量相关内容培训，增强运维服务相关人员的质量意识：</w:t>
      </w:r>
    </w:p>
    <w:p w14:paraId="7EB68B64">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新员工培训：入职培训中纳入质量管理制度和质量方针内容</w:t>
      </w:r>
    </w:p>
    <w:p w14:paraId="0AB3A3E3">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专项质量培训：针对质量检查中发现的共性问题，组织专项培训</w:t>
      </w:r>
    </w:p>
    <w:p w14:paraId="631A398E">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内审员培训：组织内审员参加专业培训，提高审核能力</w:t>
      </w:r>
    </w:p>
    <w:p w14:paraId="375C0042">
      <w:pPr>
        <w:pStyle w:val="3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质量意识培训：定期开展质量意识宣贯，形成全员质量文化</w:t>
      </w:r>
    </w:p>
    <w:p w14:paraId="6503018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2026年度质量培训安排</w:t>
      </w:r>
    </w:p>
    <w:p w14:paraId="3144555C">
      <w:pPr>
        <w:pStyle w:val="3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jc w:val="left"/>
        <w:textAlignment w:val="baseline"/>
        <w:rPr>
          <w:rFonts w:hint="eastAsia" w:eastAsia="宋体"/>
          <w:lang w:val="en-US" w:eastAsia="zh-CN"/>
        </w:rPr>
      </w:pPr>
      <w:r>
        <w:rPr>
          <w:rFonts w:hint="eastAsia" w:eastAsia="宋体"/>
          <w:lang w:val="en-US" w:eastAsia="zh-CN"/>
        </w:rPr>
        <w:t>运维服务项目进行新的运维周期或者结束前，应进行项目总结和项目验收：</w:t>
      </w:r>
    </w:p>
    <w:p w14:paraId="155D5889">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jc w:val="left"/>
        <w:textAlignment w:val="baseline"/>
        <w:rPr>
          <w:rFonts w:hint="eastAsia" w:eastAsia="宋体"/>
          <w:lang w:val="en-US" w:eastAsia="zh-CN"/>
        </w:rPr>
      </w:pPr>
      <w:r>
        <w:rPr>
          <w:rFonts w:hint="eastAsia" w:eastAsia="宋体"/>
          <w:lang w:val="en-US" w:eastAsia="zh-CN"/>
        </w:rPr>
        <w:t>验收内容：对照合同要求和SLA协议，检查服务交付成果的完整性和符合性</w:t>
      </w:r>
    </w:p>
    <w:p w14:paraId="28FA2DA8">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jc w:val="left"/>
        <w:textAlignment w:val="baseline"/>
        <w:rPr>
          <w:rFonts w:hint="eastAsia" w:eastAsia="宋体"/>
          <w:lang w:val="en-US" w:eastAsia="zh-CN"/>
        </w:rPr>
      </w:pPr>
      <w:r>
        <w:rPr>
          <w:rFonts w:hint="eastAsia" w:eastAsia="宋体"/>
          <w:lang w:val="en-US" w:eastAsia="zh-CN"/>
        </w:rPr>
        <w:t>验收流程：由运维部项目经理组织，产品质量部参与监督，客户确认</w:t>
      </w:r>
    </w:p>
    <w:p w14:paraId="27FDC722">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jc w:val="left"/>
        <w:textAlignment w:val="baseline"/>
        <w:rPr>
          <w:rFonts w:hint="eastAsia" w:eastAsia="宋体"/>
          <w:lang w:val="en-US" w:eastAsia="zh-CN"/>
        </w:rPr>
      </w:pPr>
      <w:r>
        <w:rPr>
          <w:rFonts w:hint="eastAsia" w:eastAsia="宋体"/>
          <w:lang w:val="en-US" w:eastAsia="zh-CN"/>
        </w:rPr>
        <w:t>验收文档：形成《项目验收报告》，记录验收结论和客户反馈</w:t>
      </w:r>
    </w:p>
    <w:p w14:paraId="4CB3CA5F">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jc w:val="left"/>
        <w:textAlignment w:val="baseline"/>
        <w:rPr>
          <w:rFonts w:hint="eastAsia" w:eastAsia="宋体"/>
          <w:lang w:val="en-US" w:eastAsia="zh-CN"/>
        </w:rPr>
      </w:pPr>
      <w:r>
        <w:rPr>
          <w:rFonts w:hint="eastAsia" w:eastAsia="宋体"/>
          <w:lang w:val="en-US" w:eastAsia="zh-CN"/>
        </w:rPr>
        <w:t>经验总结：对需要改进的服务提出改进意见，为提高公司整体运维水平提供经验和借鉴</w:t>
      </w:r>
    </w:p>
    <w:p w14:paraId="7AA05DB0">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jc w:val="left"/>
        <w:textAlignment w:val="baseline"/>
        <w:rPr>
          <w:rFonts w:hint="eastAsia" w:eastAsia="宋体"/>
          <w:lang w:val="en-US" w:eastAsia="zh-CN"/>
        </w:rPr>
      </w:pPr>
      <w:r>
        <w:rPr>
          <w:rFonts w:hint="eastAsia" w:eastAsia="宋体"/>
          <w:lang w:val="en-US" w:eastAsia="zh-CN"/>
        </w:rPr>
        <w:t>知识入库：将项目经验和教训纳入服务知识，为后续项目提供参考</w:t>
      </w:r>
    </w:p>
    <w:p w14:paraId="41E076C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各部门人员应接受有关公司质量管理制度和质量价值的定向培训，以形成质量意识。培训记录由综合部归档。</w:t>
      </w:r>
    </w:p>
    <w:p w14:paraId="1A87932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5539"/>
      <w:r>
        <w:rPr>
          <w:rFonts w:hint="eastAsia"/>
          <w:lang w:val="en-US" w:eastAsia="zh-CN"/>
        </w:rPr>
        <w:t>质量管理工作汇报及总结</w:t>
      </w:r>
      <w:bookmarkEnd w:id="20"/>
    </w:p>
    <w:p w14:paraId="0EB44C4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产品质量部应定期出具质量报告，对发现的问题及问题的发展趋势进行分析总结：</w:t>
      </w:r>
    </w:p>
    <w:p w14:paraId="088DEFA7">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月度质量简报：简要通报本月质量检查发现、改进项进展等</w:t>
      </w:r>
    </w:p>
    <w:p w14:paraId="14D6A3A0">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季度质量报告：详细分析本季度质量状况，包括KPI达成情况、主要问题、改进建议等</w:t>
      </w:r>
    </w:p>
    <w:p w14:paraId="56FE2D72">
      <w:pPr>
        <w:pStyle w:val="3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eastAsia="宋体"/>
          <w:lang w:val="en-US" w:eastAsia="zh-CN"/>
        </w:rPr>
      </w:pPr>
      <w:r>
        <w:rPr>
          <w:rFonts w:hint="eastAsia" w:eastAsia="宋体"/>
          <w:lang w:val="en-US" w:eastAsia="zh-CN"/>
        </w:rPr>
        <w:t>年度质量报告：年度质量管理计划执行完毕后，产品质量部应撰写《2026年度运维服务质量管理报告》，总结全年质量工作，分析趋势，提出下一年度质量改进建议，提交公司领导审批。</w:t>
      </w:r>
    </w:p>
    <w:p w14:paraId="53FDB4C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eastAsia="宋体"/>
          <w:lang w:val="en-US" w:eastAsia="zh-CN"/>
        </w:rPr>
        <w:t>质量报告应作为管理评审的重要输入。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B3B38"/>
    <w:multiLevelType w:val="singleLevel"/>
    <w:tmpl w:val="80CB3B38"/>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B6D8D84"/>
    <w:multiLevelType w:val="singleLevel"/>
    <w:tmpl w:val="CB6D8D84"/>
    <w:lvl w:ilvl="0" w:tentative="0">
      <w:start w:val="1"/>
      <w:numFmt w:val="decimal"/>
      <w:lvlText w:val="%1."/>
      <w:lvlJc w:val="left"/>
      <w:pPr>
        <w:ind w:left="425" w:hanging="425"/>
      </w:pPr>
      <w:rPr>
        <w:rFonts w:hint="default"/>
      </w:rPr>
    </w:lvl>
  </w:abstractNum>
  <w:abstractNum w:abstractNumId="3">
    <w:nsid w:val="F0B440C8"/>
    <w:multiLevelType w:val="singleLevel"/>
    <w:tmpl w:val="F0B440C8"/>
    <w:lvl w:ilvl="0" w:tentative="0">
      <w:start w:val="1"/>
      <w:numFmt w:val="decimal"/>
      <w:lvlText w:val="%1."/>
      <w:lvlJc w:val="left"/>
      <w:pPr>
        <w:ind w:left="425" w:hanging="425"/>
      </w:pPr>
      <w:rPr>
        <w:rFonts w:hint="default"/>
      </w:rPr>
    </w:lvl>
  </w:abstractNum>
  <w:abstractNum w:abstractNumId="4">
    <w:nsid w:val="02B5B86F"/>
    <w:multiLevelType w:val="singleLevel"/>
    <w:tmpl w:val="02B5B86F"/>
    <w:lvl w:ilvl="0" w:tentative="0">
      <w:start w:val="1"/>
      <w:numFmt w:val="decimal"/>
      <w:lvlText w:val="(%1)"/>
      <w:lvlJc w:val="left"/>
      <w:pPr>
        <w:tabs>
          <w:tab w:val="left" w:pos="420"/>
        </w:tabs>
        <w:ind w:left="845" w:hanging="425"/>
      </w:pPr>
      <w:rPr>
        <w:rFonts w:hint="default"/>
      </w:rPr>
    </w:lvl>
  </w:abstractNum>
  <w:abstractNum w:abstractNumId="5">
    <w:nsid w:val="0817D10C"/>
    <w:multiLevelType w:val="singleLevel"/>
    <w:tmpl w:val="0817D10C"/>
    <w:lvl w:ilvl="0" w:tentative="0">
      <w:start w:val="1"/>
      <w:numFmt w:val="decimal"/>
      <w:lvlText w:val="%1."/>
      <w:lvlJc w:val="left"/>
      <w:pPr>
        <w:ind w:left="425" w:hanging="425"/>
      </w:pPr>
      <w:rPr>
        <w:rFonts w:hint="default"/>
      </w:rPr>
    </w:lvl>
  </w:abstractNum>
  <w:abstractNum w:abstractNumId="6">
    <w:nsid w:val="19B45B58"/>
    <w:multiLevelType w:val="singleLevel"/>
    <w:tmpl w:val="19B45B58"/>
    <w:lvl w:ilvl="0" w:tentative="0">
      <w:start w:val="1"/>
      <w:numFmt w:val="decimal"/>
      <w:lvlText w:val="%1."/>
      <w:lvlJc w:val="left"/>
      <w:pPr>
        <w:ind w:left="425" w:hanging="425"/>
      </w:pPr>
      <w:rPr>
        <w:rFonts w:hint="default"/>
      </w:rPr>
    </w:lvl>
  </w:abstractNum>
  <w:abstractNum w:abstractNumId="7">
    <w:nsid w:val="1CDD9E06"/>
    <w:multiLevelType w:val="singleLevel"/>
    <w:tmpl w:val="1CDD9E06"/>
    <w:lvl w:ilvl="0" w:tentative="0">
      <w:start w:val="1"/>
      <w:numFmt w:val="decimal"/>
      <w:lvlText w:val="(%1)"/>
      <w:lvlJc w:val="left"/>
      <w:pPr>
        <w:tabs>
          <w:tab w:val="left" w:pos="420"/>
        </w:tabs>
        <w:ind w:left="845" w:hanging="425"/>
      </w:pPr>
      <w:rPr>
        <w:rFonts w:hint="default"/>
      </w:rPr>
    </w:lvl>
  </w:abstractNum>
  <w:abstractNum w:abstractNumId="8">
    <w:nsid w:val="3A67D094"/>
    <w:multiLevelType w:val="singleLevel"/>
    <w:tmpl w:val="3A67D094"/>
    <w:lvl w:ilvl="0" w:tentative="0">
      <w:start w:val="1"/>
      <w:numFmt w:val="decimal"/>
      <w:lvlText w:val="%1."/>
      <w:lvlJc w:val="left"/>
      <w:pPr>
        <w:ind w:left="425" w:hanging="425"/>
      </w:pPr>
      <w:rPr>
        <w:rFonts w:hint="default"/>
      </w:rPr>
    </w:lvl>
  </w:abstractNum>
  <w:abstractNum w:abstractNumId="9">
    <w:nsid w:val="5D99ECE3"/>
    <w:multiLevelType w:val="singleLevel"/>
    <w:tmpl w:val="5D99ECE3"/>
    <w:lvl w:ilvl="0" w:tentative="0">
      <w:start w:val="1"/>
      <w:numFmt w:val="decimal"/>
      <w:lvlText w:val="%1."/>
      <w:lvlJc w:val="left"/>
      <w:pPr>
        <w:ind w:left="425" w:hanging="425"/>
      </w:pPr>
      <w:rPr>
        <w:rFonts w:hint="default"/>
      </w:rPr>
    </w:lvl>
  </w:abstractNum>
  <w:abstractNum w:abstractNumId="10">
    <w:nsid w:val="79D4EBC6"/>
    <w:multiLevelType w:val="singleLevel"/>
    <w:tmpl w:val="79D4EBC6"/>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0"/>
  </w:num>
  <w:num w:numId="4">
    <w:abstractNumId w:val="7"/>
  </w:num>
  <w:num w:numId="5">
    <w:abstractNumId w:val="4"/>
  </w:num>
  <w:num w:numId="6">
    <w:abstractNumId w:val="3"/>
  </w:num>
  <w:num w:numId="7">
    <w:abstractNumId w:val="10"/>
  </w:num>
  <w:num w:numId="8">
    <w:abstractNumId w:val="5"/>
  </w:num>
  <w:num w:numId="9">
    <w:abstractNumId w:val="2"/>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366D69"/>
    <w:rsid w:val="70830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2376</Words>
  <Characters>2537</Characters>
  <Lines>0</Lines>
  <Paragraphs>0</Paragraphs>
  <TotalTime>7</TotalTime>
  <ScaleCrop>false</ScaleCrop>
  <LinksUpToDate>false</LinksUpToDate>
  <CharactersWithSpaces>2617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2026-06-11T10:55:51Z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