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F610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bookmarkStart w:id="26" w:name="_GoBack"/>
      <w:bookmarkEnd w:id="26"/>
      <w:r>
        <w:rPr>
          <w:rFonts w:hint="eastAsia"/>
          <w:lang w:val="en-US" w:eastAsia="zh-CN"/>
        </w:rPr>
        <w:t>华风数据(深圳)有限公司</w:t>
      </w:r>
      <w:bookmarkEnd w:id="0"/>
    </w:p>
    <w:p w14:paraId="4AFD6A6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2026年度人员管理计划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D26F7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1D20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31C9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HFSJ-ITSS-0512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7A5D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C293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70F262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E0AE3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677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34F2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18AF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EBA9A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6E983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2B0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D99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54D4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598AC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56DD4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FB44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D53DA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48B1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76620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BCC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D18A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5164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064B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7EA8230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E0A17F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0D110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B973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968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C00B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BA63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F94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D06D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8449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B70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A3D3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D66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1E3D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A223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1A6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C01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2B64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7A54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A3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1765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E37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41A7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A32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0370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AE92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4968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813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4D7A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1431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7148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9A2C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8AF184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04EE24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BE673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_Toc31250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_Toc31250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18022F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_Toc4594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18BF9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人员招聘计划</w:t>
          </w:r>
          <w:r>
            <w:tab/>
          </w:r>
          <w:r>
            <w:fldChar w:fldCharType="begin"/>
          </w:r>
          <w:r>
            <w:instrText xml:space="preserve"> PAGEREF _Toc10169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20B4D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招聘总体安排</w:t>
          </w:r>
          <w:r>
            <w:tab/>
          </w:r>
          <w:r>
            <w:fldChar w:fldCharType="begin"/>
          </w:r>
          <w:r>
            <w:instrText xml:space="preserve"> PAGEREF _Toc15459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5D59C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招聘计划执行跟踪</w:t>
          </w:r>
          <w:r>
            <w:tab/>
          </w:r>
          <w:r>
            <w:fldChar w:fldCharType="begin"/>
          </w:r>
          <w:r>
            <w:instrText xml:space="preserve"> PAGEREF _Toc29145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B191A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人员储备计划</w:t>
          </w:r>
          <w:r>
            <w:tab/>
          </w:r>
          <w:r>
            <w:fldChar w:fldCharType="begin"/>
          </w:r>
          <w:r>
            <w:instrText xml:space="preserve"> PAGEREF _Toc22218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D5DBF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储备总体安排</w:t>
          </w:r>
          <w:r>
            <w:tab/>
          </w:r>
          <w:r>
            <w:fldChar w:fldCharType="begin"/>
          </w:r>
          <w:r>
            <w:instrText xml:space="preserve"> PAGEREF _Toc14571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58558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储备培养加强措施</w:t>
          </w:r>
          <w:r>
            <w:tab/>
          </w:r>
          <w:r>
            <w:fldChar w:fldCharType="begin"/>
          </w:r>
          <w:r>
            <w:instrText xml:space="preserve"> PAGEREF _Toc15577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BA8FA1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储备计划执行跟踪</w:t>
          </w:r>
          <w:r>
            <w:tab/>
          </w:r>
          <w:r>
            <w:fldChar w:fldCharType="begin"/>
          </w:r>
          <w:r>
            <w:instrText xml:space="preserve"> PAGEREF _Toc23183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8D2B63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人员培训计划</w:t>
          </w:r>
          <w:r>
            <w:tab/>
          </w:r>
          <w:r>
            <w:fldChar w:fldCharType="begin"/>
          </w:r>
          <w:r>
            <w:instrText xml:space="preserve"> PAGEREF _Toc19352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22CDED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培训总体安排</w:t>
          </w:r>
          <w:r>
            <w:tab/>
          </w:r>
          <w:r>
            <w:fldChar w:fldCharType="begin"/>
          </w:r>
          <w:r>
            <w:instrText xml:space="preserve"> PAGEREF _Toc1518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45B88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培训预算汇总</w:t>
          </w:r>
          <w:r>
            <w:tab/>
          </w:r>
          <w:r>
            <w:fldChar w:fldCharType="begin"/>
          </w:r>
          <w:r>
            <w:instrText xml:space="preserve"> PAGEREF _Toc10953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DDCBC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培训计划执行跟踪</w:t>
          </w:r>
          <w:r>
            <w:tab/>
          </w:r>
          <w:r>
            <w:fldChar w:fldCharType="begin"/>
          </w:r>
          <w:r>
            <w:instrText xml:space="preserve"> PAGEREF _Toc3092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50F4E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关键岗位备份计划</w:t>
          </w:r>
          <w:r>
            <w:tab/>
          </w:r>
          <w:r>
            <w:fldChar w:fldCharType="begin"/>
          </w:r>
          <w:r>
            <w:instrText xml:space="preserve"> PAGEREF _Toc22097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794482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备份总体安排</w:t>
          </w:r>
          <w:r>
            <w:tab/>
          </w:r>
          <w:r>
            <w:fldChar w:fldCharType="begin"/>
          </w:r>
          <w:r>
            <w:instrText xml:space="preserve"> PAGEREF _Toc21554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B3416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备份计划执行跟踪</w:t>
          </w:r>
          <w:r>
            <w:tab/>
          </w:r>
          <w:r>
            <w:fldChar w:fldCharType="begin"/>
          </w:r>
          <w:r>
            <w:instrText xml:space="preserve"> PAGEREF _Toc4084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6FB00A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人员绩效考核计划</w:t>
          </w:r>
          <w:r>
            <w:tab/>
          </w:r>
          <w:r>
            <w:fldChar w:fldCharType="begin"/>
          </w:r>
          <w:r>
            <w:instrText xml:space="preserve"> PAGEREF _Toc6895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8047EE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考核周期</w:t>
          </w:r>
          <w:r>
            <w:tab/>
          </w:r>
          <w:r>
            <w:fldChar w:fldCharType="begin"/>
          </w:r>
          <w:r>
            <w:instrText xml:space="preserve"> PAGEREF _Toc25576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C65E37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绩效考核跟踪</w:t>
          </w:r>
          <w:r>
            <w:tab/>
          </w:r>
          <w:r>
            <w:fldChar w:fldCharType="begin"/>
          </w:r>
          <w:r>
            <w:instrText xml:space="preserve"> PAGEREF _Toc7467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0B6BEB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_Toc32524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3FEFF3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评定周期</w:t>
          </w:r>
          <w:r>
            <w:tab/>
          </w:r>
          <w:r>
            <w:fldChar w:fldCharType="begin"/>
          </w:r>
          <w:r>
            <w:instrText xml:space="preserve"> PAGEREF _Toc4572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075E6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技能等级</w:t>
          </w:r>
          <w:r>
            <w:tab/>
          </w:r>
          <w:r>
            <w:fldChar w:fldCharType="begin"/>
          </w:r>
          <w:r>
            <w:instrText xml:space="preserve"> PAGEREF _Toc19396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D325C7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内容</w:t>
          </w:r>
          <w:r>
            <w:tab/>
          </w:r>
          <w:r>
            <w:fldChar w:fldCharType="begin"/>
          </w:r>
          <w:r>
            <w:instrText xml:space="preserve"> PAGEREF _Toc13303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94465A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结果应用</w:t>
          </w:r>
          <w:r>
            <w:tab/>
          </w:r>
          <w:r>
            <w:fldChar w:fldCharType="begin"/>
          </w:r>
          <w:r>
            <w:instrText xml:space="preserve"> PAGEREF _Toc13001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53A1A7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8.5.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执行跟踪</w:t>
          </w:r>
          <w:r>
            <w:tab/>
          </w:r>
          <w:r>
            <w:fldChar w:fldCharType="begin"/>
          </w:r>
          <w:r>
            <w:instrText xml:space="preserve"> PAGEREF _Toc25732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0FA066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18C16F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CAC35A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" w:name="_Toc31250"/>
      <w:r>
        <w:rPr>
          <w:rFonts w:hint="default"/>
          <w:lang w:val="en-US" w:eastAsia="zh-CN"/>
        </w:rPr>
        <w:t>目的</w:t>
      </w:r>
      <w:bookmarkEnd w:id="1"/>
    </w:p>
    <w:p w14:paraId="2C305CD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服务人员管理工作，确保运维服务团队人员配置合理、能力满足要求、关键岗位有备份保障、绩效管理科学有效、技能持续提升，持续增强运维服务能力，满足ITSS信息技术服务运行维护标准要求，特制定本计划。</w:t>
      </w:r>
    </w:p>
    <w:p w14:paraId="3974E2B7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计划调整说明：基于2025年度人员管理执行情况，针对运维项目经理招聘渠道单一、储备人员实战经验不足、用户操作熟练度差异、数据完整性偶有不达标等问题，本计划在招聘渠道、储备培养、培训内容等方面进行了针对性优化调整。</w:t>
      </w:r>
    </w:p>
    <w:p w14:paraId="01C99075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2" w:name="_Toc4594"/>
      <w:r>
        <w:rPr>
          <w:rFonts w:hint="default"/>
          <w:lang w:val="en-US" w:eastAsia="zh-CN"/>
        </w:rPr>
        <w:t>适用范围</w:t>
      </w:r>
      <w:bookmarkEnd w:id="2"/>
    </w:p>
    <w:p w14:paraId="42AE9F2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本计划适用于公司2026年度运维服务相关人员的招聘、储备、培训、备份、绩效考核和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工作，涵盖运维部、研发部、产品质量部、综合部等部门。</w:t>
      </w:r>
    </w:p>
    <w:p w14:paraId="1F9FE5C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3" w:name="_Toc10169"/>
      <w:r>
        <w:rPr>
          <w:rFonts w:hint="default"/>
          <w:lang w:val="en-US" w:eastAsia="zh-CN"/>
        </w:rPr>
        <w:t>人员招聘计划</w:t>
      </w:r>
      <w:bookmarkEnd w:id="3"/>
    </w:p>
    <w:p w14:paraId="1B24933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2026年度运维服务业务的正常开展，满足各部门人员配置需求，确保关键岗位及时补充，根据公司战略发展目标和年度人员编制计划，制定本招聘计划。招聘工作遵循“按需招聘、择优录用、人岗匹配”的原则，通过内部培养与外部引进相结合的方式，为公司运维服务能力建设提供坚实的人力资源保障。</w:t>
      </w:r>
    </w:p>
    <w:p w14:paraId="74C45961">
      <w:pPr>
        <w:pStyle w:val="32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4" w:name="_Toc15459"/>
      <w:r>
        <w:rPr>
          <w:rFonts w:hint="default"/>
          <w:lang w:val="en-US" w:eastAsia="zh-CN"/>
        </w:rPr>
        <w:t>招聘总体安排</w:t>
      </w:r>
      <w:bookmarkEnd w:id="4"/>
    </w:p>
    <w:p w14:paraId="47FC808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针对2025年运维项目经理候选人来源渠道单一、招聘周期长的问题，2026年新增猎头招聘渠道，建立运维项目经理专项人才库，扩大候选人来源，提升岗位招聘效率。</w:t>
      </w:r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8"/>
        <w:gridCol w:w="947"/>
        <w:gridCol w:w="1304"/>
        <w:gridCol w:w="1422"/>
        <w:gridCol w:w="1741"/>
        <w:gridCol w:w="625"/>
        <w:gridCol w:w="625"/>
        <w:gridCol w:w="625"/>
        <w:gridCol w:w="625"/>
      </w:tblGrid>
      <w:tr w14:paraId="2ADB8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D0A96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95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418EE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</w:p>
        </w:tc>
        <w:tc>
          <w:tcPr>
            <w:tcW w:w="13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AD09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4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AEF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计划招聘总人数</w:t>
            </w:r>
          </w:p>
        </w:tc>
        <w:tc>
          <w:tcPr>
            <w:tcW w:w="177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0471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招聘方式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ED8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Q1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7674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Q2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62499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Q3</w:t>
            </w:r>
          </w:p>
        </w:tc>
        <w:tc>
          <w:tcPr>
            <w:tcW w:w="6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8672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Q4</w:t>
            </w:r>
          </w:p>
        </w:tc>
      </w:tr>
      <w:tr w14:paraId="31823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08A84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744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4E19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34EC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23C0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招聘网站/猎头/内部储备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4D64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50F4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50DF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2796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3D0DF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B922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D812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F035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硬件运维工程师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77A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19A5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81B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A38DD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3E351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E4A6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7669CB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914C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981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62E2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软件运维工程师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3A05B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FC8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46A71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B61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6DFED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44B1F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09943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D987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DDAE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D0E5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052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8A2F9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2195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5761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EC66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6C1E8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</w:tr>
      <w:tr w14:paraId="0EAB04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E42F3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452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</w:t>
            </w: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B7AB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产品质量部专员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50EEF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B2BF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招聘网站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3CFC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7169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DC8AC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FAA3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0</w:t>
            </w:r>
          </w:p>
        </w:tc>
      </w:tr>
      <w:tr w14:paraId="5B8BA0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08AF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15E70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3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C8F8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42CD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7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4BE93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B75C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AEC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65F85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A5B1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</w:tr>
    </w:tbl>
    <w:p w14:paraId="5A366F79">
      <w:pPr>
        <w:pStyle w:val="32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5" w:name="_Toc29145"/>
      <w:r>
        <w:rPr>
          <w:rFonts w:hint="default"/>
          <w:lang w:val="en-US" w:eastAsia="zh-CN"/>
        </w:rPr>
        <w:t>招聘计划执行跟踪</w:t>
      </w:r>
      <w:bookmarkEnd w:id="5"/>
    </w:p>
    <w:p w14:paraId="74D6C82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综合部每季度对招聘计划执行情况进行跟踪统计，包括各岗位招聘进度、到岗情况、招聘渠道效果等，形成《招聘进度报告》，并统计招聘计划达成率。达成率计算公式为：（实际</w:t>
      </w:r>
      <w:r>
        <w:rPr>
          <w:rFonts w:hint="eastAsia"/>
          <w:lang w:val="en-US" w:eastAsia="zh-CN"/>
        </w:rPr>
        <w:t>招聘</w:t>
      </w:r>
      <w:r>
        <w:rPr>
          <w:rFonts w:hint="default"/>
          <w:lang w:val="en-US" w:eastAsia="zh-CN"/>
        </w:rPr>
        <w:t>人数/计划招聘人数）×100%。跟踪结果作为招聘工作改进和人员配置调整的依据，相关数据纳入季度绩效考核。</w:t>
      </w:r>
    </w:p>
    <w:p w14:paraId="5CB1F99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KPI指标：人员招聘计划达成率 ≥80%（季度）</w:t>
      </w:r>
    </w:p>
    <w:p w14:paraId="6037D95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6" w:name="_Toc22218"/>
      <w:r>
        <w:rPr>
          <w:rFonts w:hint="default"/>
          <w:lang w:val="en-US" w:eastAsia="zh-CN"/>
        </w:rPr>
        <w:t>人员储备计划</w:t>
      </w:r>
      <w:bookmarkEnd w:id="6"/>
    </w:p>
    <w:p w14:paraId="2D86460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关键岗位人员变动的连续性，降低因人员流失、岗位调整带来的业务风险，建立可持续的人才供给机制，特制定本储备计划。储备工作遵循“提前规划、定向培养、动态管理”的原则，通过内部培养与外部引进相结合的方式，为公司运维服务能力建设提供稳定的人才梯队支持，确保关键岗位空缺时能够快速补位。</w:t>
      </w:r>
    </w:p>
    <w:p w14:paraId="3948B807">
      <w:pPr>
        <w:pStyle w:val="32"/>
        <w:bidi w:val="0"/>
        <w:rPr>
          <w:rFonts w:hint="default"/>
          <w:lang w:val="en-US" w:eastAsia="zh-CN"/>
        </w:rPr>
      </w:pPr>
      <w:bookmarkStart w:id="7" w:name="_Toc14571"/>
      <w:r>
        <w:rPr>
          <w:rFonts w:hint="default"/>
          <w:lang w:val="en-US" w:eastAsia="zh-CN"/>
        </w:rPr>
        <w:t>储备总体安排</w:t>
      </w:r>
      <w:bookmarkEnd w:id="7"/>
    </w:p>
    <w:p w14:paraId="509D49F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储备分为外部招聘和内部培养。外部招聘计划如第三节“人员招聘计划”，内部培养储备如下表所示。</w:t>
      </w:r>
    </w:p>
    <w:tbl>
      <w:tblPr>
        <w:tblStyle w:val="22"/>
        <w:tblW w:w="849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9"/>
        <w:gridCol w:w="1696"/>
        <w:gridCol w:w="1905"/>
        <w:gridCol w:w="1278"/>
        <w:gridCol w:w="1696"/>
        <w:gridCol w:w="1279"/>
      </w:tblGrid>
      <w:tr w14:paraId="46E7D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DD15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B78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99B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1FA9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EC3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2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243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储备来源</w:t>
            </w:r>
          </w:p>
        </w:tc>
      </w:tr>
      <w:tr w14:paraId="6FEF4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BE82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5CE2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387F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AE8B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DCD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A3AF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  <w:tr w14:paraId="4E811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ED96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CB7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BD3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技术支持工程师</w:t>
            </w:r>
          </w:p>
        </w:tc>
        <w:tc>
          <w:tcPr>
            <w:tcW w:w="12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DA5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397C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F699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</w:tbl>
    <w:p w14:paraId="0296D4E3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</w:p>
    <w:p w14:paraId="54E4F035">
      <w:pPr>
        <w:pStyle w:val="32"/>
        <w:bidi w:val="0"/>
        <w:rPr>
          <w:rFonts w:hint="default"/>
          <w:lang w:val="en-US" w:eastAsia="zh-CN"/>
        </w:rPr>
      </w:pPr>
      <w:bookmarkStart w:id="8" w:name="_Toc15577"/>
      <w:r>
        <w:rPr>
          <w:rFonts w:hint="default"/>
          <w:lang w:val="en-US" w:eastAsia="zh-CN"/>
        </w:rPr>
        <w:t>储备培养加强措施</w:t>
      </w:r>
      <w:bookmarkEnd w:id="8"/>
    </w:p>
    <w:p w14:paraId="3C791CD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针对2025年储备人员实战经验不足的问题，2026年将加强以下培养措施：</w:t>
      </w:r>
    </w:p>
    <w:p w14:paraId="54D0276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顶岗实习：每季度至少安排储备人员顶岗实习2天，在A角指导下实际承担储备岗位的部分工作，顶岗情况记录在《储备人员顶岗实习记录表》中。</w:t>
      </w:r>
    </w:p>
    <w:p w14:paraId="0485B7C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导师带教：建立导师带教机制，由经验丰富的在岗人员对储备人员进行一对一指导，定期评估储备人员的能力提升情况。</w:t>
      </w:r>
    </w:p>
    <w:p w14:paraId="7C138E6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实战演练：组织储备人员参与应急演练和重大故障处理，积累实战经验。</w:t>
      </w:r>
    </w:p>
    <w:p w14:paraId="16CD99D7">
      <w:pPr>
        <w:pStyle w:val="32"/>
        <w:bidi w:val="0"/>
        <w:rPr>
          <w:rFonts w:hint="default"/>
          <w:lang w:val="en-US" w:eastAsia="zh-CN"/>
        </w:rPr>
      </w:pPr>
      <w:bookmarkStart w:id="9" w:name="_Toc23183"/>
      <w:r>
        <w:rPr>
          <w:rFonts w:hint="default"/>
          <w:lang w:val="en-US" w:eastAsia="zh-CN"/>
        </w:rPr>
        <w:t>储备计划执行跟踪</w:t>
      </w:r>
      <w:bookmarkEnd w:id="9"/>
    </w:p>
    <w:p w14:paraId="3D4603E9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每季度对储备计划执行情况进行跟踪，包括储备人员选拔进度、培养计划完成情况、储备人员能力评估等，形成《储备人员评估报告》，并统计储备计划达成率。达成率计算公式为：（实际储备人数/计划储备人数）×100%。跟踪结果作为储备人员选拔、培养方案调整和岗位晋升的参考依据，相关数据纳入季度绩效考核。</w:t>
      </w:r>
    </w:p>
    <w:p w14:paraId="22C3ABE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KPI指标：人员储备计划达成率 ≥80%（季度）</w:t>
      </w:r>
    </w:p>
    <w:p w14:paraId="4F544DFB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0" w:name="_Toc19352"/>
      <w:r>
        <w:rPr>
          <w:rFonts w:hint="default"/>
          <w:lang w:val="en-US" w:eastAsia="zh-CN"/>
        </w:rPr>
        <w:t>人员培训计划</w:t>
      </w:r>
      <w:bookmarkEnd w:id="10"/>
    </w:p>
    <w:p w14:paraId="03AC9782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提升员工的专业技能和综合素质，确保运维服务人员能力满足岗位要求，根据《人员培训管理制度》制定2026年度培训计划。培训主要分为管理、技术、操作三个方向，综合部对培训情况进行汇总并对相关课件进行统一归档。</w:t>
      </w:r>
    </w:p>
    <w:p w14:paraId="1B911542">
      <w:pPr>
        <w:pStyle w:val="32"/>
        <w:bidi w:val="0"/>
        <w:rPr>
          <w:rFonts w:hint="default"/>
          <w:lang w:val="en-US" w:eastAsia="zh-CN"/>
        </w:rPr>
      </w:pPr>
      <w:bookmarkStart w:id="11" w:name="_Toc1518"/>
      <w:r>
        <w:rPr>
          <w:rFonts w:hint="default"/>
          <w:lang w:val="en-US" w:eastAsia="zh-CN"/>
        </w:rPr>
        <w:t>培训总体安排</w:t>
      </w:r>
      <w:bookmarkEnd w:id="11"/>
    </w:p>
    <w:p w14:paraId="7B4DFC3F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22"/>
        <w:tblW w:w="141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9"/>
        <w:gridCol w:w="782"/>
        <w:gridCol w:w="2296"/>
        <w:gridCol w:w="1161"/>
        <w:gridCol w:w="1538"/>
        <w:gridCol w:w="1348"/>
        <w:gridCol w:w="1161"/>
        <w:gridCol w:w="1393"/>
        <w:gridCol w:w="1163"/>
        <w:gridCol w:w="1350"/>
        <w:gridCol w:w="1353"/>
      </w:tblGrid>
      <w:tr w14:paraId="6B0D6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3205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类型</w:t>
            </w:r>
          </w:p>
        </w:tc>
        <w:tc>
          <w:tcPr>
            <w:tcW w:w="7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4DF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序号</w:t>
            </w:r>
          </w:p>
        </w:tc>
        <w:tc>
          <w:tcPr>
            <w:tcW w:w="22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966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培训内容</w:t>
            </w:r>
          </w:p>
        </w:tc>
        <w:tc>
          <w:tcPr>
            <w:tcW w:w="11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01E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培训时长</w:t>
            </w:r>
          </w:p>
        </w:tc>
        <w:tc>
          <w:tcPr>
            <w:tcW w:w="15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EC4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培训对象</w:t>
            </w:r>
          </w:p>
        </w:tc>
        <w:tc>
          <w:tcPr>
            <w:tcW w:w="13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95E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培训老师</w:t>
            </w:r>
          </w:p>
        </w:tc>
        <w:tc>
          <w:tcPr>
            <w:tcW w:w="11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C08F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培训方式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B7C5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计划时间</w:t>
            </w:r>
          </w:p>
        </w:tc>
        <w:tc>
          <w:tcPr>
            <w:tcW w:w="11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D44A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考核方式</w:t>
            </w:r>
          </w:p>
        </w:tc>
        <w:tc>
          <w:tcPr>
            <w:tcW w:w="13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6C7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负责部门</w:t>
            </w:r>
          </w:p>
        </w:tc>
        <w:tc>
          <w:tcPr>
            <w:tcW w:w="13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7767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预算（元）</w:t>
            </w:r>
          </w:p>
        </w:tc>
      </w:tr>
      <w:tr w14:paraId="72AF7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FF37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5BB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CD0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新员工入职培训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F19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2.5h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6B9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入职新员工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70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黄剑锋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F8F8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AA1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入职一周内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C4A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C3F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C0DD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04A7D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6CB7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266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CF51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ITSS运维体系培训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6A6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1473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部门经理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F57B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63A1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C16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73A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FA6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FA6D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4000</w:t>
            </w:r>
          </w:p>
        </w:tc>
      </w:tr>
      <w:tr w14:paraId="79BBE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7B37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03E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619F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质量管理培训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209C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F1CD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部门经理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303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熊振翔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B2A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4FE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2026年2月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DC7B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56B3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EC77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1200</w:t>
            </w:r>
          </w:p>
        </w:tc>
      </w:tr>
      <w:tr w14:paraId="33648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FD54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216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627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数据库监控工具培训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A93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639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551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黄正宇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89AA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627E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2026年3月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955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实操考核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C3B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07434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800</w:t>
            </w:r>
          </w:p>
        </w:tc>
      </w:tr>
      <w:tr w14:paraId="18595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C990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AC2E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50D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自动化运维培训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502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56F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3D0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45D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848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2026年4月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169C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心得总结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C88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D59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3000</w:t>
            </w:r>
          </w:p>
        </w:tc>
      </w:tr>
      <w:tr w14:paraId="0CC6EA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8488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FF3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6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08E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安全加固与漏洞管理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7F4A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0D5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F1F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E78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233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2026年5月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EB1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02B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A761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2500</w:t>
            </w:r>
          </w:p>
        </w:tc>
      </w:tr>
      <w:tr w14:paraId="41CEA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89F2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A3B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7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B4C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进阶故障处理培训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CF7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5295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F0A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姚耿桂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F88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0276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2026年6月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743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案例答辩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26B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9D7F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1200</w:t>
            </w:r>
          </w:p>
        </w:tc>
      </w:tr>
      <w:tr w14:paraId="77FF3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4AC5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6DA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C20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性能优化培训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CEF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E9A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运维工程师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EB9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黄正宇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69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4B83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2026年7月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F7D0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1D0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A958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800</w:t>
            </w:r>
          </w:p>
        </w:tc>
      </w:tr>
      <w:tr w14:paraId="51F21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52EF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操作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228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9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4E1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服务台进阶培训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101B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50B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服务台专员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5DF7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姚耿桂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75ED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7BF0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2026年8月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448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55EB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9C68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2732A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5475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708F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10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398B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服务知识管理培训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10C4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EC1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C41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黄正宇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753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2E8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2026年9月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91A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5418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9F7D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3F480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8750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6ABC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11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DCE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信息安全风险培训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D66D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3h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FDE0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F28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外部专家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CA4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外训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AF6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2026年10月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9123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现场交流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420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2D3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4800</w:t>
            </w:r>
          </w:p>
        </w:tc>
      </w:tr>
      <w:tr w14:paraId="29129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4D0D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操作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F58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12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B1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备件管理制度培训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983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1.5h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E7A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备件管理人员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D2B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刘文桂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67D2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CED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2026年11月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42B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口头提问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D360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EE02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500</w:t>
            </w:r>
          </w:p>
        </w:tc>
      </w:tr>
      <w:tr w14:paraId="324E6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6086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A19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13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464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数据管理与完整性培训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897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5B1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运维相关人员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264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产品质量部经理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C82F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787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03D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笔试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237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346B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800</w:t>
            </w:r>
          </w:p>
        </w:tc>
      </w:tr>
      <w:tr w14:paraId="5EA70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1857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管理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6660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14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85A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年度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能力评价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08B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2h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059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全体员工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059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产品质量部经理</w:t>
            </w: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ED32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内训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971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2026年12月</w:t>
            </w: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873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笔试</w:t>
            </w: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E9C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E933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1000</w:t>
            </w:r>
          </w:p>
        </w:tc>
      </w:tr>
      <w:tr w14:paraId="0F834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970B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合计</w:t>
            </w:r>
          </w:p>
        </w:tc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5B9E9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0E1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47A7F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239DC2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E8EEA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1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038A23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7798D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1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1CB60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9D7196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07F4C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22100</w:t>
            </w:r>
          </w:p>
        </w:tc>
      </w:tr>
    </w:tbl>
    <w:p w14:paraId="2123E24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</w:p>
    <w:p w14:paraId="73C0022A">
      <w:pPr>
        <w:pStyle w:val="32"/>
        <w:bidi w:val="0"/>
        <w:rPr>
          <w:rFonts w:hint="default"/>
          <w:lang w:val="en-US" w:eastAsia="zh-CN"/>
        </w:rPr>
      </w:pPr>
      <w:bookmarkStart w:id="12" w:name="_Toc10953"/>
      <w:r>
        <w:rPr>
          <w:rFonts w:hint="default"/>
          <w:lang w:val="en-US" w:eastAsia="zh-CN"/>
        </w:rPr>
        <w:t>培训预算汇总</w:t>
      </w:r>
      <w:bookmarkEnd w:id="1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1"/>
        <w:gridCol w:w="2306"/>
        <w:gridCol w:w="4658"/>
      </w:tblGrid>
      <w:tr w14:paraId="2F2DA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8435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2B5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预算金额（元）</w:t>
            </w:r>
          </w:p>
        </w:tc>
        <w:tc>
          <w:tcPr>
            <w:tcW w:w="465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00F3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1E54D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1465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07E9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11600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FA02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内训+外训</w:t>
            </w:r>
          </w:p>
        </w:tc>
      </w:tr>
      <w:tr w14:paraId="465B9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94A2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199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5100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C5D8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技术培训</w:t>
            </w:r>
          </w:p>
        </w:tc>
      </w:tr>
      <w:tr w14:paraId="155D4A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23AB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315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11E1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质量管理培训+数据管理培训+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</w:tr>
      <w:tr w14:paraId="5281E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E479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7298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532C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新员工入职培训、备件管理培训</w:t>
            </w:r>
          </w:p>
        </w:tc>
      </w:tr>
      <w:tr w14:paraId="2FEA4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70A4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总计</w:t>
            </w:r>
          </w:p>
        </w:tc>
        <w:tc>
          <w:tcPr>
            <w:tcW w:w="23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AE8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22100</w:t>
            </w:r>
          </w:p>
        </w:tc>
        <w:tc>
          <w:tcPr>
            <w:tcW w:w="46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9C8A0B">
            <w:pPr>
              <w:snapToGrid w:val="0"/>
              <w:ind w:left="0" w:leftChars="0" w:right="0" w:rightChars="0" w:firstLine="0" w:firstLineChars="0"/>
              <w:jc w:val="right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72CA05F8">
      <w:pPr>
        <w:pStyle w:val="32"/>
        <w:bidi w:val="0"/>
        <w:rPr>
          <w:rFonts w:hint="default"/>
          <w:lang w:val="en-US" w:eastAsia="zh-CN"/>
        </w:rPr>
      </w:pPr>
      <w:bookmarkStart w:id="13" w:name="_Toc3092"/>
      <w:r>
        <w:rPr>
          <w:rFonts w:hint="default"/>
          <w:lang w:val="en-US" w:eastAsia="zh-CN"/>
        </w:rPr>
        <w:t>培训计划执行跟踪</w:t>
      </w:r>
      <w:bookmarkEnd w:id="13"/>
    </w:p>
    <w:p w14:paraId="718922B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综合部</w:t>
      </w:r>
      <w:r>
        <w:rPr>
          <w:rFonts w:hint="default"/>
          <w:lang w:val="en-US" w:eastAsia="zh-CN"/>
        </w:rPr>
        <w:t>经理每季度对培训计划执行情况进行跟踪统计，包括培训课程完成情况、参训人员出勤率、培训效果评估等，形成《培训执行记录》，并统计培训计划达成率。达成率计算公式为：（实际培训完成课程数/计划培训课程数）×100%。</w:t>
      </w:r>
    </w:p>
    <w:p w14:paraId="6246B64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综合部经理每季度对培训计划达成率进行汇总统计，形成《培训达成率统计表》，作为培训工作改进和培训预算调整的依据。</w:t>
      </w:r>
    </w:p>
    <w:p w14:paraId="611D8657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产品质量部经理在每次培训结束后，组织参训人员进行培训效果评估，收集反馈意见，形成《培训效果评估表》，评估结果作为后续培训课程优化和讲师能力提升的参考。</w:t>
      </w:r>
    </w:p>
    <w:p w14:paraId="21724D4A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以上跟踪结果均纳入季度绩效考核，确保培训工作按计划有效落地。</w:t>
      </w:r>
    </w:p>
    <w:p w14:paraId="7A5665D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KPI指标：人员培训计划达成率 ≥90%（季度）</w:t>
      </w:r>
    </w:p>
    <w:p w14:paraId="4D2C1CEE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4" w:name="_Toc22097"/>
      <w:r>
        <w:rPr>
          <w:rFonts w:hint="default"/>
          <w:lang w:val="en-US" w:eastAsia="zh-CN"/>
        </w:rPr>
        <w:t>关键岗位备份计划</w:t>
      </w:r>
      <w:bookmarkEnd w:id="14"/>
    </w:p>
    <w:p w14:paraId="04A21B52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按照《人员备份管理制度》要求，对关键岗位进行备份管理，确保关键岗位人员因各种原因无法履职时能够迅速接替，保障业务连续性。</w:t>
      </w:r>
    </w:p>
    <w:p w14:paraId="1D618C3E">
      <w:pPr>
        <w:pStyle w:val="32"/>
        <w:bidi w:val="0"/>
        <w:rPr>
          <w:rFonts w:hint="default"/>
          <w:lang w:val="en-US" w:eastAsia="zh-CN"/>
        </w:rPr>
      </w:pPr>
      <w:bookmarkStart w:id="15" w:name="_Toc21554"/>
      <w:r>
        <w:rPr>
          <w:rFonts w:hint="default"/>
          <w:lang w:val="en-US" w:eastAsia="zh-CN"/>
        </w:rPr>
        <w:t>备份总体安排</w:t>
      </w:r>
      <w:bookmarkEnd w:id="15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8"/>
        <w:gridCol w:w="2031"/>
        <w:gridCol w:w="1808"/>
        <w:gridCol w:w="1499"/>
        <w:gridCol w:w="1809"/>
      </w:tblGrid>
      <w:tr w14:paraId="24471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8FD5E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4DE6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1BA0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B岗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2C33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备份要求</w:t>
            </w:r>
          </w:p>
        </w:tc>
        <w:tc>
          <w:tcPr>
            <w:tcW w:w="18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177F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682BB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E4B4E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DCC19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BB08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C25A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BF585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0FD359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1E9F6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DE7C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2138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C79D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23C6A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09F84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4B253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095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7CEE6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产品质量部专员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2889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05E09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</w:tr>
      <w:tr w14:paraId="3F862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9A77B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5837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综合部经理</w:t>
            </w:r>
          </w:p>
        </w:tc>
        <w:tc>
          <w:tcPr>
            <w:tcW w:w="18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480EF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人事专员</w:t>
            </w:r>
          </w:p>
        </w:tc>
        <w:tc>
          <w:tcPr>
            <w:tcW w:w="14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9A00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A/B岗轮岗</w:t>
            </w:r>
          </w:p>
        </w:tc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251EE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</w:tbl>
    <w:p w14:paraId="1AB2CC9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备份计划完成时间更加集中在上半年（6月前全部完成），比2025年（10月完成）更加紧凑，确保备份机制尽早建立并运行。</w:t>
      </w:r>
    </w:p>
    <w:p w14:paraId="31799198">
      <w:pPr>
        <w:pStyle w:val="32"/>
        <w:bidi w:val="0"/>
        <w:rPr>
          <w:rFonts w:hint="default"/>
          <w:lang w:val="en-US" w:eastAsia="zh-CN"/>
        </w:rPr>
      </w:pPr>
      <w:bookmarkStart w:id="16" w:name="_Toc4084"/>
      <w:r>
        <w:rPr>
          <w:rFonts w:hint="default"/>
          <w:lang w:val="en-US" w:eastAsia="zh-CN"/>
        </w:rPr>
        <w:t>备份计划执行跟踪</w:t>
      </w:r>
      <w:bookmarkEnd w:id="16"/>
    </w:p>
    <w:p w14:paraId="105D20A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季度对备份计划执行情况进行跟踪统计，包括备份人员选拔进度、培养计划完成情况、备份人员能力评估等，形成《备份人员评估报告》，并统计备份人员能力达标率。能力达标率计算公式为：（能力验证合格的备份人员数/备份人员总数）×100%。</w:t>
      </w:r>
    </w:p>
    <w:p w14:paraId="511F4CCF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综合部经理每季度对备份计划达成率进行汇总统计，形成《备份能力达标统计表》，作为备份人员选拔、培养方案调整和岗位晋升的参考依据。</w:t>
      </w:r>
    </w:p>
    <w:p w14:paraId="1ABA333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对于能力验证不合格的备份人员，由部门负责人制定专项提升计划，限期完成能力补足；连续两次验证不合格的，取消备份资格，由其他符合条件的人员递补。</w:t>
      </w:r>
    </w:p>
    <w:p w14:paraId="38D4DA7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以上跟踪结果均纳入季度绩效考核，确保关键岗位人员备份机制有效运行。</w:t>
      </w:r>
    </w:p>
    <w:p w14:paraId="4CAEA56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KPI指标：备份人员能力达标率 ≥90%（季度）</w:t>
      </w:r>
    </w:p>
    <w:p w14:paraId="4707D7A3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17" w:name="_Toc6895"/>
      <w:r>
        <w:rPr>
          <w:rFonts w:hint="default"/>
          <w:lang w:val="en-US" w:eastAsia="zh-CN"/>
        </w:rPr>
        <w:t>人员绩效考核计划</w:t>
      </w:r>
      <w:bookmarkEnd w:id="17"/>
    </w:p>
    <w:p w14:paraId="652221DF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按照《人员绩效考核及技能评价管理制度》，对全体员工进行绩效考核，确保考核公平、公正、及时完成，考核结果与薪酬调整、岗位晋升、培训需求识别等挂钩。</w:t>
      </w:r>
    </w:p>
    <w:p w14:paraId="4AD036AA">
      <w:pPr>
        <w:pStyle w:val="32"/>
        <w:bidi w:val="0"/>
        <w:rPr>
          <w:rFonts w:hint="default"/>
          <w:lang w:val="en-US" w:eastAsia="zh-CN"/>
        </w:rPr>
      </w:pPr>
      <w:bookmarkStart w:id="18" w:name="_Toc25576"/>
      <w:r>
        <w:rPr>
          <w:rFonts w:hint="default"/>
          <w:lang w:val="en-US" w:eastAsia="zh-CN"/>
        </w:rPr>
        <w:t>考核周期</w:t>
      </w:r>
      <w:bookmarkEnd w:id="18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2"/>
        <w:gridCol w:w="1946"/>
        <w:gridCol w:w="1672"/>
        <w:gridCol w:w="1822"/>
        <w:gridCol w:w="1673"/>
      </w:tblGrid>
      <w:tr w14:paraId="4F5C7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E0BD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140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B54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考核对象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693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考核时间</w:t>
            </w:r>
          </w:p>
        </w:tc>
        <w:tc>
          <w:tcPr>
            <w:tcW w:w="1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DC3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0F5C5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77C49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月度考核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422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412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8793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2277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 w14:paraId="3BE266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00CA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季度考核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6AF9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5AF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EE8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每季度末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9092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 w14:paraId="39D78E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9D11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年度考核</w:t>
            </w:r>
          </w:p>
        </w:tc>
        <w:tc>
          <w:tcPr>
            <w:tcW w:w="1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6DF4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每年一次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A8E8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F81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B7DA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 w14:paraId="29332A77">
      <w:pPr>
        <w:pStyle w:val="32"/>
        <w:bidi w:val="0"/>
        <w:rPr>
          <w:rFonts w:hint="default"/>
          <w:lang w:val="en-US" w:eastAsia="zh-CN"/>
        </w:rPr>
      </w:pPr>
      <w:bookmarkStart w:id="19" w:name="_Toc7467"/>
      <w:r>
        <w:rPr>
          <w:rFonts w:hint="default"/>
          <w:lang w:val="en-US" w:eastAsia="zh-CN"/>
        </w:rPr>
        <w:t>绩效考核跟踪</w:t>
      </w:r>
      <w:bookmarkEnd w:id="19"/>
    </w:p>
    <w:p w14:paraId="6BD435C8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执行情况进行跟踪统计，包括考核材料提交情况、考核完成进度、考核结果汇总等，形成《绩效考核结果汇总表》，并统计绩效考核及时完成率。及时完成率计算公式为：（按时完成绩效考核的员工数/应参加绩效考核总人数）×100%。</w:t>
      </w:r>
    </w:p>
    <w:p w14:paraId="394F12EA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综合部经理每月对绩效考核及时完成率进行汇总统计，形成《绩效完成率统计表》，作为各部门绩效考核执行情况的评价依据。</w:t>
      </w:r>
    </w:p>
    <w:p w14:paraId="6CD6F3E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对于未按时完成绩效考核的部门或个人，由综合部进行通报提醒，并纳入部门负责人月度绩效考核扣分项；连续两次未按时完成的，由分管副总经理约谈部门负责人。</w:t>
      </w:r>
    </w:p>
    <w:p w14:paraId="7DCC534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考核结果经员工确认后，由综合部归档保存，作为薪酬调整、岗位晋升、培训需求识别的重要依据。员工对考核结果有异议的，可在结果公布后5个工作日内向综合部提出申诉，综合部在接到申诉后7个工作日内组织复核并反馈结果。</w:t>
      </w:r>
    </w:p>
    <w:p w14:paraId="202B95F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以上跟踪结果纳入季度绩效考核，确保绩效考核工作公平、公正、及时完成。</w:t>
      </w:r>
    </w:p>
    <w:p w14:paraId="4D024E83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KPI指标：绩效考核及时完成率 100%（月度）</w:t>
      </w:r>
    </w:p>
    <w:p w14:paraId="00F6A8A3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bookmarkStart w:id="20" w:name="_Toc32524"/>
      <w:r>
        <w:rPr>
          <w:rFonts w:hint="default"/>
          <w:lang w:val="en-US"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</w:t>
      </w:r>
      <w:bookmarkEnd w:id="20"/>
    </w:p>
    <w:p w14:paraId="0BF7FA0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为科学评估员工专业技能水平，识别能力短板，为岗位任职、晋升调薪、培训需求提供依据，特制定本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计划。评定工作遵循“客观公正、注重实效、持续改进”的原则，采用笔试、实操、案例答辩相结合的方式进行。</w:t>
      </w:r>
    </w:p>
    <w:p w14:paraId="526F40E5">
      <w:pPr>
        <w:pStyle w:val="32"/>
        <w:bidi w:val="0"/>
        <w:rPr>
          <w:rFonts w:hint="default"/>
          <w:lang w:val="en-US" w:eastAsia="zh-CN"/>
        </w:rPr>
      </w:pPr>
      <w:bookmarkStart w:id="21" w:name="_Toc4572"/>
      <w:r>
        <w:rPr>
          <w:rFonts w:hint="default"/>
          <w:lang w:val="en-US" w:eastAsia="zh-CN"/>
        </w:rPr>
        <w:t>评定周期</w:t>
      </w:r>
      <w:bookmarkEnd w:id="21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3"/>
        <w:gridCol w:w="1584"/>
        <w:gridCol w:w="1808"/>
        <w:gridCol w:w="1946"/>
        <w:gridCol w:w="1364"/>
      </w:tblGrid>
      <w:tr w14:paraId="0AD10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1EB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1FEE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评定周期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3E5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评定对象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7A26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评定时间</w:t>
            </w:r>
          </w:p>
        </w:tc>
        <w:tc>
          <w:tcPr>
            <w:tcW w:w="136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6FB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6CD9E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F8AE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C0D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每半年一次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279B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8AAC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每年6月、12月</w:t>
            </w:r>
          </w:p>
        </w:tc>
        <w:tc>
          <w:tcPr>
            <w:tcW w:w="13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30E6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 w14:paraId="525681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1AE0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0CD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17B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2D16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试用期内</w:t>
            </w:r>
          </w:p>
        </w:tc>
        <w:tc>
          <w:tcPr>
            <w:tcW w:w="136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B0D3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9F014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9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4AB0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83DD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晋升前</w:t>
            </w:r>
          </w:p>
        </w:tc>
        <w:tc>
          <w:tcPr>
            <w:tcW w:w="18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003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申请晋升人员</w:t>
            </w:r>
          </w:p>
        </w:tc>
        <w:tc>
          <w:tcPr>
            <w:tcW w:w="1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10B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晋升评审前</w:t>
            </w:r>
          </w:p>
        </w:tc>
        <w:tc>
          <w:tcPr>
            <w:tcW w:w="13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3DCD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 w14:paraId="27734685">
      <w:pPr>
        <w:pStyle w:val="32"/>
        <w:bidi w:val="0"/>
        <w:rPr>
          <w:rFonts w:hint="default"/>
          <w:lang w:val="en-US" w:eastAsia="zh-CN"/>
        </w:rPr>
      </w:pPr>
      <w:bookmarkStart w:id="22" w:name="_Toc19396"/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等级</w:t>
      </w:r>
      <w:bookmarkEnd w:id="22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3"/>
        <w:gridCol w:w="1229"/>
        <w:gridCol w:w="5933"/>
      </w:tblGrid>
      <w:tr w14:paraId="2E0B6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E393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技能等级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743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评估分数</w:t>
            </w:r>
          </w:p>
        </w:tc>
        <w:tc>
          <w:tcPr>
            <w:tcW w:w="59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9FC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 w14:paraId="3711A0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7D99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A级（专家）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8FA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90-100分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72C2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能够引领技术方向，技术创新；技能优秀，可担任导师或备份人员</w:t>
            </w:r>
          </w:p>
        </w:tc>
      </w:tr>
      <w:tr w14:paraId="79283E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6C6F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B级（高级）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B071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80-89分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B608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能够解决疑难问题，指导他人；技能良好，可独立承担岗位工作</w:t>
            </w:r>
          </w:p>
        </w:tc>
      </w:tr>
      <w:tr w14:paraId="623A9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5B0D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C级（中级）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87A4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60-79分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B0D7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能够独立处理复杂问题；技能合格，需持续提升</w:t>
            </w:r>
          </w:p>
        </w:tc>
      </w:tr>
      <w:tr w14:paraId="746139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3549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D级（初级）</w:t>
            </w:r>
          </w:p>
        </w:tc>
        <w:tc>
          <w:tcPr>
            <w:tcW w:w="12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423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60分以下</w:t>
            </w:r>
          </w:p>
        </w:tc>
        <w:tc>
          <w:tcPr>
            <w:tcW w:w="5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B6E0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能够独立完成基础运维工作；技能不足，需参加专项培训</w:t>
            </w:r>
          </w:p>
        </w:tc>
      </w:tr>
    </w:tbl>
    <w:p w14:paraId="4933AAB4">
      <w:pPr>
        <w:pStyle w:val="32"/>
        <w:bidi w:val="0"/>
        <w:rPr>
          <w:rFonts w:hint="default"/>
          <w:lang w:val="en-US" w:eastAsia="zh-CN"/>
        </w:rPr>
      </w:pPr>
      <w:bookmarkStart w:id="23" w:name="_Toc13303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内容</w:t>
      </w:r>
      <w:bookmarkEnd w:id="23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15"/>
        <w:gridCol w:w="991"/>
        <w:gridCol w:w="3632"/>
        <w:gridCol w:w="2657"/>
      </w:tblGrid>
      <w:tr w14:paraId="2DAE4B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178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评定维度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8A5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01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评定内容</w:t>
            </w:r>
          </w:p>
        </w:tc>
        <w:tc>
          <w:tcPr>
            <w:tcW w:w="26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B67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评定方式</w:t>
            </w:r>
          </w:p>
        </w:tc>
      </w:tr>
      <w:tr w14:paraId="7F3D4C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1D8A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专业知识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86D3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0201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岗位相关技术理论知识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E08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笔试、面试</w:t>
            </w:r>
          </w:p>
        </w:tc>
      </w:tr>
      <w:tr w14:paraId="581FB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8248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操作技能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31B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411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实际操作能力、故障处理能力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0EAF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实操考核、案例演练</w:t>
            </w:r>
          </w:p>
        </w:tc>
      </w:tr>
      <w:tr w14:paraId="58041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78B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CFE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296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复杂问题分析、解决能力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45A4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案例答辩、工作成果</w:t>
            </w:r>
          </w:p>
        </w:tc>
      </w:tr>
      <w:tr w14:paraId="5724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D29E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知识贡献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CC0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10%</w:t>
            </w:r>
          </w:p>
        </w:tc>
        <w:tc>
          <w:tcPr>
            <w:tcW w:w="36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332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知识库贡献、培训授课</w:t>
            </w:r>
          </w:p>
        </w:tc>
        <w:tc>
          <w:tcPr>
            <w:tcW w:w="26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EA4B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知识库记录、培训记录</w:t>
            </w:r>
          </w:p>
        </w:tc>
      </w:tr>
    </w:tbl>
    <w:p w14:paraId="0F7DA8A2">
      <w:pPr>
        <w:pStyle w:val="32"/>
        <w:bidi w:val="0"/>
        <w:rPr>
          <w:rFonts w:hint="default"/>
          <w:lang w:val="en-US" w:eastAsia="zh-CN"/>
        </w:rPr>
      </w:pPr>
      <w:bookmarkStart w:id="24" w:name="_Toc13001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bookmarkEnd w:id="24"/>
    </w:p>
    <w:tbl>
      <w:tblPr>
        <w:tblStyle w:val="22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8"/>
        <w:gridCol w:w="6227"/>
      </w:tblGrid>
      <w:tr w14:paraId="4F25C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9145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应用方向</w:t>
            </w:r>
          </w:p>
        </w:tc>
        <w:tc>
          <w:tcPr>
            <w:tcW w:w="62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5E5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具体方式</w:t>
            </w:r>
          </w:p>
        </w:tc>
      </w:tr>
      <w:tr w14:paraId="06F502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0C53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岗位任职资格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94BA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A/B级可担任关键岗位，C/D级需持续提升</w:t>
            </w:r>
          </w:p>
        </w:tc>
      </w:tr>
      <w:tr w14:paraId="5DC3D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D27D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绩效奖金调节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07B6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技能等级与绩效奖金系数挂钩</w:t>
            </w:r>
          </w:p>
        </w:tc>
      </w:tr>
      <w:tr w14:paraId="224D4C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0045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培训需求识别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5D75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D级人员需参加专项培训</w:t>
            </w:r>
          </w:p>
        </w:tc>
      </w:tr>
      <w:tr w14:paraId="1642E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6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A66D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备份人员选拔</w:t>
            </w:r>
          </w:p>
        </w:tc>
        <w:tc>
          <w:tcPr>
            <w:tcW w:w="62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8056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A/B级人员优先作为关键岗位备份</w:t>
            </w:r>
          </w:p>
        </w:tc>
      </w:tr>
    </w:tbl>
    <w:p w14:paraId="30A4A53A">
      <w:pPr>
        <w:pStyle w:val="31"/>
        <w:rPr>
          <w:rFonts w:hint="default"/>
          <w:lang w:val="en-US" w:eastAsia="zh-CN"/>
        </w:rPr>
      </w:pPr>
    </w:p>
    <w:p w14:paraId="5C4A80BD">
      <w:pPr>
        <w:pStyle w:val="32"/>
        <w:bidi w:val="0"/>
        <w:rPr>
          <w:rFonts w:hint="default"/>
          <w:lang w:val="en-US" w:eastAsia="zh-CN"/>
        </w:rPr>
      </w:pPr>
      <w:bookmarkStart w:id="25" w:name="_Toc25732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执行跟踪</w:t>
      </w:r>
      <w:bookmarkEnd w:id="25"/>
    </w:p>
    <w:p w14:paraId="3418B28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根据《人员绩效考核及技能评价管理制度》KPI指标要求，综合部经理每半年对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执行情况进行跟踪统计：</w:t>
      </w:r>
    </w:p>
    <w:p w14:paraId="30383C3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跟踪内容：包括评定计划完成情况、参评人员覆盖率、评定结果分布、技能等级变化趋势等，形成《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结果汇总表》。</w:t>
      </w:r>
    </w:p>
    <w:p w14:paraId="6FFB15B3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覆盖率统计：技能评价覆盖率计算公式为：（实际参加技能评价的员工数/应参加技能评价员工总数）×100%，目标值为100%。综合部经理每半年对技能评价覆盖率进行汇总统计，形成《技能评价覆盖率统计表》，作为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工作改进和培训需求识别的依据。</w:t>
      </w:r>
    </w:p>
    <w:p w14:paraId="493E208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处理：对于评定结果为D级（60分以下）的员工，由部门负责人制定专项提升计划，安排导师辅导和针对性培训，限期完成能力提升；连续两次评定结果为D级的，纳入重点关注对象，由产品质量部进行跟踪帮扶。</w:t>
      </w:r>
    </w:p>
    <w:p w14:paraId="126AF287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技能提升激励：为持续提升高等级人员占比（2025年从62.5%提升至75%），2026年将继续强化技能提升激励，对技能等级提升的员工给予绩效加分和培训资源倾斜。</w:t>
      </w:r>
    </w:p>
    <w:p w14:paraId="62A2AB8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申诉机制：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结果经员工确认后，由综合部归档保存。员工对评定结果有异议的，可在结果公布后10个工作日内向产品质量部提出复核申请，产品质量部在接到申请后7个工作日内组织复核并反馈结果。</w:t>
      </w:r>
    </w:p>
    <w:p w14:paraId="51EA1E3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以上跟踪结果纳入半年度绩效考核，确保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工作有效落地，与《人员绩效考核及技能评价管理制度》形成闭环管理。</w:t>
      </w:r>
    </w:p>
    <w:p w14:paraId="5EDFC44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KPI指标：技能评价覆盖率 100%（半年度）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585730"/>
    <w:rsid w:val="04DC643E"/>
    <w:rsid w:val="0BA162D6"/>
    <w:rsid w:val="5C1F025F"/>
    <w:rsid w:val="5C881D6E"/>
    <w:rsid w:val="625C198F"/>
    <w:rsid w:val="699E6432"/>
    <w:rsid w:val="794E28E8"/>
    <w:rsid w:val="7C262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1351</Words>
  <Characters>1509</Characters>
  <Lines>0</Lines>
  <Paragraphs>0</Paragraphs>
  <TotalTime>289</TotalTime>
  <ScaleCrop>false</ScaleCrop>
  <LinksUpToDate>false</LinksUpToDate>
  <CharactersWithSpaces>1560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2026-06-11T11:08:48Z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