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7D4C2A">
      <w:pPr>
        <w:pStyle w:val="2"/>
        <w:bidi w:val="0"/>
        <w:rPr>
          <w:rFonts w:hint="eastAsia"/>
          <w:lang w:val="en-US" w:eastAsia="zh-CN"/>
        </w:rPr>
      </w:pPr>
      <w:r>
        <w:rPr>
          <w:rFonts w:hint="eastAsia"/>
          <w:lang w:val="en-US" w:eastAsia="zh-CN"/>
        </w:rPr>
        <w:t>质量管理</w:t>
      </w:r>
    </w:p>
    <w:tbl>
      <w:tblPr>
        <w:tblW w:w="141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812"/>
        <w:gridCol w:w="743"/>
        <w:gridCol w:w="2192"/>
        <w:gridCol w:w="2221"/>
        <w:gridCol w:w="2583"/>
        <w:gridCol w:w="1370"/>
        <w:gridCol w:w="4253"/>
      </w:tblGrid>
      <w:tr w14:paraId="77FD6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812" w:type="dxa"/>
            <w:tcBorders>
              <w:top w:val="single" w:color="000000" w:sz="12" w:space="0"/>
              <w:left w:val="single" w:color="000000" w:sz="12" w:space="0"/>
              <w:bottom w:val="nil"/>
              <w:right w:val="nil"/>
            </w:tcBorders>
            <w:shd w:val="clear" w:color="auto" w:fill="C0C0C0"/>
            <w:noWrap w:val="0"/>
            <w:tcMar>
              <w:top w:w="-1" w:type="dxa"/>
              <w:left w:w="-1" w:type="dxa"/>
              <w:bottom w:w="-1" w:type="dxa"/>
              <w:right w:w="-1" w:type="dxa"/>
            </w:tcMar>
            <w:vAlign w:val="center"/>
          </w:tcPr>
          <w:p w14:paraId="65916A4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序号</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5E4EFE4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能力域</w:t>
            </w:r>
          </w:p>
        </w:tc>
        <w:tc>
          <w:tcPr>
            <w:tcW w:w="2192" w:type="dxa"/>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478E38A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能力项/标准要求</w:t>
            </w:r>
          </w:p>
        </w:tc>
        <w:tc>
          <w:tcPr>
            <w:tcW w:w="2221" w:type="dxa"/>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7FC8883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评估要点</w:t>
            </w:r>
          </w:p>
        </w:tc>
        <w:tc>
          <w:tcPr>
            <w:tcW w:w="2583" w:type="dxa"/>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2900B4F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检查的文件或记录</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02B704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访谈对象</w:t>
            </w:r>
          </w:p>
        </w:tc>
        <w:tc>
          <w:tcPr>
            <w:tcW w:w="4253" w:type="dxa"/>
            <w:tcBorders>
              <w:top w:val="single" w:color="000000" w:sz="12" w:space="0"/>
              <w:left w:val="single" w:color="000000" w:sz="4" w:space="0"/>
              <w:bottom w:val="nil"/>
              <w:right w:val="single" w:color="000000" w:sz="12" w:space="0"/>
            </w:tcBorders>
            <w:shd w:val="clear" w:color="auto" w:fill="C0C0C0"/>
            <w:noWrap w:val="0"/>
            <w:tcMar>
              <w:top w:w="-1" w:type="dxa"/>
              <w:left w:w="-1" w:type="dxa"/>
              <w:bottom w:w="-1" w:type="dxa"/>
              <w:right w:w="-1" w:type="dxa"/>
            </w:tcMar>
            <w:vAlign w:val="center"/>
          </w:tcPr>
          <w:p w14:paraId="6A975EE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评估情况</w:t>
            </w:r>
          </w:p>
        </w:tc>
      </w:tr>
      <w:tr w14:paraId="6B7C0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812"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5939271C">
            <w:pPr>
              <w:keepNext w:val="0"/>
              <w:keepLines w:val="0"/>
              <w:widowControl/>
              <w:suppressLineNumbers w:val="0"/>
              <w:snapToGrid w:val="0"/>
              <w:ind w:left="0" w:leftChars="0" w:right="0" w:rightChars="0" w:firstLine="0" w:firstLineChars="0"/>
              <w:jc w:val="center"/>
              <w:textAlignment w:val="center"/>
              <w:rPr>
                <w:rFonts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p>
        </w:tc>
        <w:tc>
          <w:tcPr>
            <w:tcW w:w="0" w:type="auto"/>
            <w:vMerge w:val="restart"/>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941354D">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7.2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Style w:val="9"/>
                <w:rFonts w:ascii="宋体" w:eastAsia="宋体"/>
                <w:sz w:val="20"/>
                <w:szCs w:val="20"/>
                <w:bdr w:val="none" w:color="auto" w:sz="0" w:space="0"/>
                <w:lang w:val="en-US" w:eastAsia="zh-CN" w:bidi="ar"/>
              </w:rPr>
              <w:t>质量管理</w:t>
            </w:r>
          </w:p>
        </w:tc>
        <w:tc>
          <w:tcPr>
            <w:tcW w:w="2192"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CBFFCFB">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7.2.1 </w:t>
            </w:r>
            <w:r>
              <w:rPr>
                <w:rStyle w:val="9"/>
                <w:rFonts w:ascii="宋体" w:eastAsia="宋体"/>
                <w:sz w:val="20"/>
                <w:szCs w:val="20"/>
                <w:bdr w:val="none" w:color="auto" w:sz="0" w:space="0"/>
                <w:lang w:val="en-US" w:eastAsia="zh-CN" w:bidi="ar"/>
              </w:rPr>
              <w:t>质量策划</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Style w:val="9"/>
                <w:rFonts w:ascii="宋体" w:eastAsia="宋体"/>
                <w:sz w:val="20"/>
                <w:szCs w:val="20"/>
                <w:bdr w:val="none" w:color="auto" w:sz="0" w:space="0"/>
                <w:lang w:val="en-US" w:eastAsia="zh-CN" w:bidi="ar"/>
              </w:rPr>
              <w:t>组织建立了与运维业务相适应的质量管理目标、制度和方法，应满足：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Style w:val="9"/>
                <w:rFonts w:ascii="宋体" w:eastAsia="宋体"/>
                <w:sz w:val="20"/>
                <w:szCs w:val="20"/>
                <w:bdr w:val="none" w:color="auto" w:sz="0" w:space="0"/>
                <w:lang w:val="en-US" w:eastAsia="zh-CN" w:bidi="ar"/>
              </w:rPr>
              <w:t>建立质量目标，并在组织内和相关方得到沟通、理解和应用；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Style w:val="9"/>
                <w:rFonts w:ascii="宋体" w:eastAsia="宋体"/>
                <w:sz w:val="20"/>
                <w:szCs w:val="20"/>
                <w:bdr w:val="none" w:color="auto" w:sz="0" w:space="0"/>
                <w:lang w:val="en-US" w:eastAsia="zh-CN" w:bidi="ar"/>
              </w:rPr>
              <w:t>依据质量目标，定义质量活动的优先级，制定质量计划，并提供必要的资源保障；</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c)</w:t>
            </w:r>
            <w:r>
              <w:rPr>
                <w:rStyle w:val="9"/>
                <w:rFonts w:ascii="宋体" w:eastAsia="宋体"/>
                <w:sz w:val="20"/>
                <w:szCs w:val="20"/>
                <w:bdr w:val="none" w:color="auto" w:sz="0" w:space="0"/>
                <w:lang w:val="en-US" w:eastAsia="zh-CN" w:bidi="ar"/>
              </w:rPr>
              <w:t>建立内审、管理评审、满意度调查和质量改进等制度，并得到应用；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d)</w:t>
            </w:r>
            <w:r>
              <w:rPr>
                <w:rStyle w:val="9"/>
                <w:rFonts w:ascii="宋体" w:eastAsia="宋体"/>
                <w:sz w:val="20"/>
                <w:szCs w:val="20"/>
                <w:bdr w:val="none" w:color="auto" w:sz="0" w:space="0"/>
                <w:lang w:val="en-US" w:eastAsia="zh-CN" w:bidi="ar"/>
              </w:rPr>
              <w:t>依据项目要求，建立项目检查机制，评价项目执行情况；</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Style w:val="9"/>
                <w:rFonts w:ascii="宋体" w:eastAsia="宋体"/>
                <w:sz w:val="20"/>
                <w:szCs w:val="20"/>
                <w:bdr w:val="none" w:color="auto" w:sz="0" w:space="0"/>
                <w:lang w:val="en-US" w:eastAsia="zh-CN" w:bidi="ar"/>
              </w:rPr>
              <w:t>建立与运维服务业务相适应的运维服务质量评价指标体系。</w:t>
            </w:r>
          </w:p>
        </w:tc>
        <w:tc>
          <w:tcPr>
            <w:tcW w:w="2221"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5222E15">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9"/>
                <w:rFonts w:ascii="宋体" w:eastAsia="宋体"/>
                <w:sz w:val="20"/>
                <w:szCs w:val="20"/>
                <w:bdr w:val="none" w:color="auto" w:sz="0" w:space="0"/>
                <w:lang w:val="en-US" w:eastAsia="zh-CN" w:bidi="ar"/>
              </w:rPr>
              <w:t>查看服务质量管理相关制度（应包括内部审核、管理评审、满意度管理、投诉管理和质量改进等内容）</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Style w:val="9"/>
                <w:rFonts w:ascii="宋体" w:eastAsia="宋体"/>
                <w:sz w:val="20"/>
                <w:szCs w:val="20"/>
                <w:bdr w:val="none" w:color="auto" w:sz="0" w:space="0"/>
                <w:lang w:val="en-US" w:eastAsia="zh-CN" w:bidi="ar"/>
              </w:rPr>
              <w:t>查看服务质量管理计划，确认内容是否包括年度的服务质量管理目标、内审、管理评审、项目质量检查等活动，确认是否提供了必要的资源保障；</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Style w:val="9"/>
                <w:rFonts w:ascii="宋体" w:eastAsia="宋体"/>
                <w:sz w:val="20"/>
                <w:szCs w:val="20"/>
                <w:bdr w:val="none" w:color="auto" w:sz="0" w:space="0"/>
                <w:lang w:val="en-US" w:eastAsia="zh-CN" w:bidi="ar"/>
              </w:rPr>
              <w:t>查看组织是否建立与运维服务业务相适应的运维项目服务质量评价指标体系</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Style w:val="9"/>
                <w:rFonts w:ascii="宋体" w:eastAsia="宋体"/>
                <w:sz w:val="20"/>
                <w:szCs w:val="20"/>
                <w:bdr w:val="none" w:color="auto" w:sz="0" w:space="0"/>
                <w:lang w:val="en-US" w:eastAsia="zh-CN" w:bidi="ar"/>
              </w:rPr>
              <w:t>访谈运维相关人员，确认质量目标是否得到了组织内和相关方得到沟通、理解和应用。</w:t>
            </w:r>
          </w:p>
        </w:tc>
        <w:tc>
          <w:tcPr>
            <w:tcW w:w="2583"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58C496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《HFSJ-ITSS-0404-运维服务质量管理制度》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《HFSJ-ITSS-0407-运维服务投诉管理制度》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《HFSJ-ITSS-0401-内审管理制度》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《HFSJ-ITSS-0402-管评管理制度》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《HFSJ-ITSS-0417-2025年度质量管理计划》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《HFSJ-ITSS-0409-2025年度内审计划》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《HFSJ-ITSS-0410-2025年度内审检查表》</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《HFSJ-ITSS-0411-2025年度内审不符合报告》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《HFSJ-ITSS-0418-2025年度质量管理报告》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《HFSJ-ITSS-0413-2025年度管评计划》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《HFSJ-ITSS-0414-2025年度管评报告》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《HFSJ-ITSS-0418-2025年度质量管理报告》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《HFSJ-ITSS-0419-2026年度质量管理计划》</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C9D4A9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产品质量部经理：熊振翔</w:t>
            </w:r>
          </w:p>
        </w:tc>
        <w:tc>
          <w:tcPr>
            <w:tcW w:w="4253"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0389DFB9">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9"/>
                <w:rFonts w:ascii="宋体" w:eastAsia="宋体"/>
                <w:sz w:val="20"/>
                <w:szCs w:val="20"/>
                <w:bdr w:val="none" w:color="auto" w:sz="0" w:space="0"/>
                <w:lang w:val="en-US" w:eastAsia="zh-CN" w:bidi="ar"/>
              </w:rPr>
              <w:t>、年度能力管理计划及实施方案，从运维目标至四要素、应急交付和质量等维度进行策划，对指标进行了定义和分析，并将指标分解到了各职能部门。通过具体项目实施和交付，进一步验证了能力管理计划的适宜性和指标覆盖的完整性。</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Style w:val="9"/>
                <w:rFonts w:ascii="宋体" w:eastAsia="宋体"/>
                <w:sz w:val="20"/>
                <w:szCs w:val="20"/>
                <w:bdr w:val="none" w:color="auto" w:sz="0" w:space="0"/>
                <w:lang w:val="en-US" w:eastAsia="zh-CN" w:bidi="ar"/>
              </w:rPr>
              <w:t>、指标体系文件是能力管理计划的重要性补充，有设定目标值，对关键指标计算进行了说明。跟踪表按相关要求，统计填报指标达成情况。</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Style w:val="9"/>
                <w:rFonts w:ascii="宋体" w:eastAsia="宋体"/>
                <w:sz w:val="20"/>
                <w:szCs w:val="20"/>
                <w:bdr w:val="none" w:color="auto" w:sz="0" w:space="0"/>
                <w:lang w:val="en-US" w:eastAsia="zh-CN" w:bidi="ar"/>
              </w:rPr>
              <w:t>、建立了运维服务管理的保障体系，从质量角度、资源层面进一步保障了指标的落地、实施和达成。</w:t>
            </w:r>
          </w:p>
        </w:tc>
      </w:tr>
      <w:tr w14:paraId="2E955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812"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032DFA08">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2</w:t>
            </w:r>
          </w:p>
        </w:tc>
        <w:tc>
          <w:tcPr>
            <w:tcW w:w="0" w:type="auto"/>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691B396">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2192"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953DD23">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7.2.2 </w:t>
            </w:r>
            <w:r>
              <w:rPr>
                <w:rStyle w:val="9"/>
                <w:rFonts w:ascii="宋体" w:eastAsia="宋体"/>
                <w:sz w:val="20"/>
                <w:szCs w:val="20"/>
                <w:bdr w:val="none" w:color="auto" w:sz="0" w:space="0"/>
                <w:lang w:val="en-US" w:eastAsia="zh-CN" w:bidi="ar"/>
              </w:rPr>
              <w:t>质量评测</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Style w:val="9"/>
                <w:rFonts w:ascii="宋体" w:eastAsia="宋体"/>
                <w:sz w:val="20"/>
                <w:szCs w:val="20"/>
                <w:bdr w:val="none" w:color="auto" w:sz="0" w:space="0"/>
                <w:lang w:val="en-US" w:eastAsia="zh-CN" w:bidi="ar"/>
              </w:rPr>
              <w:t>在基本级能力要求的基础上，还应满足：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Style w:val="9"/>
                <w:rFonts w:ascii="宋体" w:eastAsia="宋体"/>
                <w:sz w:val="20"/>
                <w:szCs w:val="20"/>
                <w:bdr w:val="none" w:color="auto" w:sz="0" w:space="0"/>
                <w:lang w:val="en-US" w:eastAsia="zh-CN" w:bidi="ar"/>
              </w:rPr>
              <w:t>依据质量计划，对运维服务活动进行质量分析，形成报告；</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Style w:val="9"/>
                <w:rFonts w:ascii="宋体" w:eastAsia="宋体"/>
                <w:sz w:val="20"/>
                <w:szCs w:val="20"/>
                <w:bdr w:val="none" w:color="auto" w:sz="0" w:space="0"/>
                <w:lang w:val="en-US" w:eastAsia="zh-CN" w:bidi="ar"/>
              </w:rPr>
              <w:t>满意度调查活动覆盖关键客户和服务目录；</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c)</w:t>
            </w:r>
            <w:r>
              <w:rPr>
                <w:rStyle w:val="9"/>
                <w:rFonts w:ascii="宋体" w:eastAsia="宋体"/>
                <w:sz w:val="20"/>
                <w:szCs w:val="20"/>
                <w:bdr w:val="none" w:color="auto" w:sz="0" w:space="0"/>
                <w:lang w:val="en-US" w:eastAsia="zh-CN" w:bidi="ar"/>
              </w:rPr>
              <w:t>满意度调查结果包括对关键能力项的分析，并形成调查报告；</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Style w:val="9"/>
                <w:rFonts w:ascii="宋体" w:eastAsia="宋体"/>
                <w:sz w:val="20"/>
                <w:szCs w:val="20"/>
                <w:bdr w:val="none" w:color="auto" w:sz="0" w:space="0"/>
                <w:lang w:val="en-US" w:eastAsia="zh-CN" w:bidi="ar"/>
              </w:rPr>
              <w:t>定期开展运维服务质量评价，记录评价结果并进行应用。</w:t>
            </w:r>
          </w:p>
        </w:tc>
        <w:tc>
          <w:tcPr>
            <w:tcW w:w="2221"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EFBCB34">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9"/>
                <w:rFonts w:ascii="宋体" w:eastAsia="宋体"/>
                <w:sz w:val="20"/>
                <w:szCs w:val="20"/>
                <w:bdr w:val="none" w:color="auto" w:sz="0" w:space="0"/>
                <w:lang w:val="en-US" w:eastAsia="zh-CN" w:bidi="ar"/>
              </w:rPr>
              <w:t>查看质量活动与质量分析的实施记录，如质量计划、质量活动实施记录、质量分析报告，是否与制度和计划一致；</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Style w:val="9"/>
                <w:rFonts w:ascii="宋体" w:eastAsia="宋体"/>
                <w:sz w:val="20"/>
                <w:szCs w:val="20"/>
                <w:bdr w:val="none" w:color="auto" w:sz="0" w:space="0"/>
                <w:lang w:val="en-US" w:eastAsia="zh-CN" w:bidi="ar"/>
              </w:rPr>
              <w:t>查看满意度调查记录，判断是否覆盖了服务目录和关键客户，是否对满意度调查结果进行分析并形成调查报告；</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Style w:val="9"/>
                <w:rFonts w:ascii="宋体" w:eastAsia="宋体"/>
                <w:sz w:val="20"/>
                <w:szCs w:val="20"/>
                <w:bdr w:val="none" w:color="auto" w:sz="0" w:space="0"/>
                <w:lang w:val="en-US" w:eastAsia="zh-CN" w:bidi="ar"/>
              </w:rPr>
              <w:t>抽查运维服务项目检查记录，是否及时进行纠正与整改；</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Style w:val="9"/>
                <w:rFonts w:ascii="宋体" w:eastAsia="宋体"/>
                <w:sz w:val="20"/>
                <w:szCs w:val="20"/>
                <w:bdr w:val="none" w:color="auto" w:sz="0" w:space="0"/>
                <w:lang w:val="en-US" w:eastAsia="zh-CN" w:bidi="ar"/>
              </w:rPr>
              <w:t>查看运维服务质量评价的实施记录，判断是否依据运维服务质量评价指标体系的指标项，对项目进行定期评价，分析运维服务质量的现状和改进方向。</w:t>
            </w:r>
          </w:p>
        </w:tc>
        <w:tc>
          <w:tcPr>
            <w:tcW w:w="2583"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43D6E8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《HFSJ-ITSS-0403-满意度管理制度》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《HFSJ-ITSS-0416-2025年度满意度调查报告》</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161605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产品质量部经理：熊振翔</w:t>
            </w:r>
          </w:p>
        </w:tc>
        <w:tc>
          <w:tcPr>
            <w:tcW w:w="4253"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2F6CA1D5">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1、有服务能力管理质量体系的保障，从内审、管理评审、质量检查、满意度管理和服务改进等方面对服务质量进行管理和要求。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2、产品质量部是质量体系的归口管理部门，编制年度运维服务质量管理计划，并按计划执行跟踪，设置专职的质量工程师，定期做质量检查工作，提交年度运维服务质量管理总结报告。</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3、查看《HFSJ-ITSS-0404-运维服务质量管理制度》，包括：目的、范围、职责、质量策划、质量跟踪检查内容及检查方法、纠正措施、持续改进等。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4、按内审计划和管评计划，完成内审检查和管评工作；内审后对相关部门责任人提出了改进建议，并要求追踪不符合项的整改及验证。</w:t>
            </w:r>
          </w:p>
        </w:tc>
      </w:tr>
      <w:tr w14:paraId="19123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2" w:type="dxa"/>
            <w:tcBorders>
              <w:top w:val="single" w:color="000000" w:sz="4" w:space="0"/>
              <w:left w:val="single" w:color="000000" w:sz="12" w:space="0"/>
              <w:bottom w:val="single" w:color="000000" w:sz="12" w:space="0"/>
              <w:right w:val="nil"/>
            </w:tcBorders>
            <w:shd w:val="clear"/>
            <w:noWrap w:val="0"/>
            <w:tcMar>
              <w:top w:w="-1" w:type="dxa"/>
              <w:left w:w="-1" w:type="dxa"/>
              <w:bottom w:w="-1" w:type="dxa"/>
              <w:right w:w="-1" w:type="dxa"/>
            </w:tcMar>
            <w:vAlign w:val="center"/>
          </w:tcPr>
          <w:p w14:paraId="67EF1581">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3</w:t>
            </w:r>
          </w:p>
        </w:tc>
        <w:tc>
          <w:tcPr>
            <w:tcW w:w="745" w:type="dxa"/>
            <w:vMerge w:val="continue"/>
            <w:tcBorders>
              <w:top w:val="single" w:color="000000" w:sz="4" w:space="0"/>
              <w:left w:val="single" w:color="000000" w:sz="4" w:space="0"/>
              <w:bottom w:val="nil"/>
              <w:right w:val="single" w:color="000000" w:sz="4" w:space="0"/>
            </w:tcBorders>
            <w:shd w:val="clear"/>
            <w:noWrap w:val="0"/>
            <w:tcMar>
              <w:top w:w="-1" w:type="dxa"/>
              <w:left w:w="-1" w:type="dxa"/>
              <w:bottom w:w="-1" w:type="dxa"/>
              <w:right w:w="-1" w:type="dxa"/>
            </w:tcMar>
            <w:vAlign w:val="center"/>
          </w:tcPr>
          <w:p w14:paraId="72F8A768">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2192"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121916BA">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7.2.3 </w:t>
            </w:r>
            <w:r>
              <w:rPr>
                <w:rStyle w:val="9"/>
                <w:rFonts w:ascii="宋体" w:eastAsia="宋体"/>
                <w:sz w:val="20"/>
                <w:szCs w:val="20"/>
                <w:bdr w:val="none" w:color="auto" w:sz="0" w:space="0"/>
                <w:lang w:val="en-US" w:eastAsia="zh-CN" w:bidi="ar"/>
              </w:rPr>
              <w:t>质量改进</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Style w:val="9"/>
                <w:rFonts w:ascii="宋体" w:eastAsia="宋体"/>
                <w:sz w:val="20"/>
                <w:szCs w:val="20"/>
                <w:bdr w:val="none" w:color="auto" w:sz="0" w:space="0"/>
                <w:lang w:val="en-US" w:eastAsia="zh-CN" w:bidi="ar"/>
              </w:rPr>
              <w:t>组织基于质量改进制度，执行质量改进活动，应满足：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Style w:val="9"/>
                <w:rFonts w:ascii="宋体" w:eastAsia="宋体"/>
                <w:sz w:val="20"/>
                <w:szCs w:val="20"/>
                <w:bdr w:val="none" w:color="auto" w:sz="0" w:space="0"/>
                <w:lang w:val="en-US" w:eastAsia="zh-CN" w:bidi="ar"/>
              </w:rPr>
              <w:t>识别质量活动中的不符合，与相关方对不符合情况进行沟通和确认，确定改进项；</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Style w:val="9"/>
                <w:rFonts w:ascii="宋体" w:eastAsia="宋体"/>
                <w:sz w:val="20"/>
                <w:szCs w:val="20"/>
                <w:bdr w:val="none" w:color="auto" w:sz="0" w:space="0"/>
                <w:lang w:val="en-US" w:eastAsia="zh-CN" w:bidi="ar"/>
              </w:rPr>
              <w:t>根据对改进项的分析，确定改进措施，制定改进计划；</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Style w:val="9"/>
                <w:rFonts w:ascii="宋体" w:eastAsia="宋体"/>
                <w:sz w:val="20"/>
                <w:szCs w:val="20"/>
                <w:bdr w:val="none" w:color="auto" w:sz="0" w:space="0"/>
                <w:lang w:val="en-US" w:eastAsia="zh-CN" w:bidi="ar"/>
              </w:rPr>
              <w:t>实施改进计划，对改进效果进行评估，并保留相关记录。</w:t>
            </w:r>
          </w:p>
        </w:tc>
        <w:tc>
          <w:tcPr>
            <w:tcW w:w="2221"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4D6FBC4F">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9"/>
                <w:rFonts w:ascii="宋体" w:eastAsia="宋体"/>
                <w:sz w:val="20"/>
                <w:szCs w:val="20"/>
                <w:bdr w:val="none" w:color="auto" w:sz="0" w:space="0"/>
                <w:lang w:val="en-US" w:eastAsia="zh-CN" w:bidi="ar"/>
              </w:rPr>
              <w:t>抽查质量改进项相关记录，判断是否与相关方进行了沟通和确认；</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Style w:val="9"/>
                <w:rFonts w:ascii="宋体" w:eastAsia="宋体"/>
                <w:sz w:val="20"/>
                <w:szCs w:val="20"/>
                <w:bdr w:val="none" w:color="auto" w:sz="0" w:space="0"/>
                <w:lang w:val="en-US" w:eastAsia="zh-CN" w:bidi="ar"/>
              </w:rPr>
              <w:t>查看质量改进计划是否完整，是否与相关质量活动与质量分析报告保持一致；</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Style w:val="9"/>
                <w:rFonts w:ascii="宋体" w:eastAsia="宋体"/>
                <w:sz w:val="20"/>
                <w:szCs w:val="20"/>
                <w:bdr w:val="none" w:color="auto" w:sz="0" w:space="0"/>
                <w:lang w:val="en-US" w:eastAsia="zh-CN" w:bidi="ar"/>
              </w:rPr>
              <w:t>查看质量改进计划执行情况及分析记录，判断改进项的相关分析与改进措施是否可行，是否满足改进目标的要求。</w:t>
            </w:r>
          </w:p>
        </w:tc>
        <w:tc>
          <w:tcPr>
            <w:tcW w:w="2583"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1FA33C1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《HFSJ-ITSS-0405-运维服务质量改进管理制度》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《HFSJ-ITSS-0406-运维服务沟通管理制度》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《HFSJ-ITSS-0408-运维服务验收管理制度》</w:t>
            </w:r>
          </w:p>
        </w:tc>
        <w:tc>
          <w:tcPr>
            <w:tcW w:w="1370"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3BDE884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产品质量部经理：熊振翔</w:t>
            </w:r>
          </w:p>
        </w:tc>
        <w:tc>
          <w:tcPr>
            <w:tcW w:w="4253" w:type="dxa"/>
            <w:tcBorders>
              <w:top w:val="single" w:color="000000" w:sz="4" w:space="0"/>
              <w:left w:val="single" w:color="000000" w:sz="4" w:space="0"/>
              <w:bottom w:val="single" w:color="000000" w:sz="12" w:space="0"/>
              <w:right w:val="single" w:color="000000" w:sz="12" w:space="0"/>
            </w:tcBorders>
            <w:shd w:val="clear"/>
            <w:noWrap w:val="0"/>
            <w:tcMar>
              <w:top w:w="-1" w:type="dxa"/>
              <w:left w:w="-1" w:type="dxa"/>
              <w:bottom w:w="-1" w:type="dxa"/>
              <w:right w:w="-1" w:type="dxa"/>
            </w:tcMar>
            <w:vAlign w:val="center"/>
          </w:tcPr>
          <w:p w14:paraId="2ADF734D">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1、查《HFSJ-ITSS-0405-运维服务质量改进管理制度》，本年度内审中的不符合项改进，已纳入服务能力改进，主责部门进行讨论分析，制定改进计划，并在管评前完成改进。</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2、改进计划明确了改进项、原因分析、改进措施、改进进度、责任部门。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3、核查了客户投诉单，体系建立以来至今未发生客户投诉。</w:t>
            </w:r>
          </w:p>
        </w:tc>
      </w:tr>
    </w:tbl>
    <w:p w14:paraId="02A04DE1">
      <w:pPr>
        <w:rPr>
          <w:rFonts w:hint="default"/>
          <w:lang w:val="en-US" w:eastAsia="zh-CN"/>
        </w:rPr>
      </w:pPr>
      <w:r>
        <w:rPr>
          <w:rFonts w:hint="default"/>
          <w:lang w:val="en-US" w:eastAsia="zh-CN"/>
        </w:rPr>
        <w:br w:type="page"/>
      </w:r>
    </w:p>
    <w:p w14:paraId="48FEAEEE">
      <w:pPr>
        <w:pStyle w:val="2"/>
        <w:bidi w:val="0"/>
        <w:rPr>
          <w:rFonts w:hint="eastAsia"/>
          <w:lang w:val="en-US" w:eastAsia="zh-CN"/>
        </w:rPr>
      </w:pPr>
      <w:r>
        <w:rPr>
          <w:rFonts w:hint="eastAsia"/>
          <w:lang w:val="en-US" w:eastAsia="zh-CN"/>
        </w:rPr>
        <w:t>人员管理</w:t>
      </w:r>
    </w:p>
    <w:tbl>
      <w:tblPr>
        <w:tblW w:w="144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757"/>
        <w:gridCol w:w="1056"/>
        <w:gridCol w:w="1706"/>
        <w:gridCol w:w="2110"/>
        <w:gridCol w:w="2514"/>
        <w:gridCol w:w="1199"/>
        <w:gridCol w:w="3216"/>
        <w:gridCol w:w="1856"/>
      </w:tblGrid>
      <w:tr w14:paraId="5181E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757" w:type="dxa"/>
            <w:tcBorders>
              <w:top w:val="single" w:color="000000" w:sz="12" w:space="0"/>
              <w:left w:val="single" w:color="000000" w:sz="12" w:space="0"/>
              <w:bottom w:val="nil"/>
              <w:right w:val="nil"/>
            </w:tcBorders>
            <w:shd w:val="clear" w:color="auto" w:fill="C0C0C0"/>
            <w:noWrap w:val="0"/>
            <w:tcMar>
              <w:top w:w="-1" w:type="dxa"/>
              <w:left w:w="-1" w:type="dxa"/>
              <w:bottom w:w="-1" w:type="dxa"/>
              <w:right w:w="-1" w:type="dxa"/>
            </w:tcMar>
            <w:vAlign w:val="center"/>
          </w:tcPr>
          <w:p w14:paraId="0CF6BEC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序号</w:t>
            </w:r>
          </w:p>
        </w:tc>
        <w:tc>
          <w:tcPr>
            <w:tcW w:w="1056" w:type="dxa"/>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0A8FC04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能力域</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0414B6F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能力项/标准要求</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3C71B53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评估要点</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6121B12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记录文件</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544D3B4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访谈人</w:t>
            </w:r>
          </w:p>
        </w:tc>
        <w:tc>
          <w:tcPr>
            <w:tcW w:w="3216" w:type="dxa"/>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67145CF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审核记录</w:t>
            </w:r>
          </w:p>
        </w:tc>
        <w:tc>
          <w:tcPr>
            <w:tcW w:w="1856" w:type="dxa"/>
            <w:tcBorders>
              <w:top w:val="single" w:color="auto" w:sz="12" w:space="0"/>
              <w:left w:val="single" w:color="auto" w:sz="4" w:space="0"/>
              <w:bottom w:val="nil"/>
              <w:right w:val="single" w:color="auto" w:sz="12" w:space="0"/>
            </w:tcBorders>
            <w:shd w:val="clear"/>
            <w:noWrap w:val="0"/>
            <w:tcMar>
              <w:top w:w="-1" w:type="dxa"/>
              <w:left w:w="-1" w:type="dxa"/>
              <w:bottom w:w="-1" w:type="dxa"/>
              <w:right w:w="-1" w:type="dxa"/>
            </w:tcMar>
            <w:vAlign w:val="center"/>
          </w:tcPr>
          <w:p w14:paraId="71995BA0">
            <w:pPr>
              <w:snapToGrid w:val="0"/>
              <w:ind w:left="0" w:leftChars="0" w:right="0" w:rightChars="0" w:firstLine="0" w:firstLineChars="0"/>
              <w:jc w:val="center"/>
              <w:rPr>
                <w:rFonts w:hint="eastAsia" w:ascii="宋体" w:hAnsi="Arial" w:eastAsia="宋体" w:cs="Arial"/>
                <w:b/>
                <w:i w:val="0"/>
                <w:iCs w:val="0"/>
                <w:color w:val="000000"/>
                <w:sz w:val="20"/>
                <w:szCs w:val="20"/>
                <w:u w:val="none"/>
              </w:rPr>
            </w:pPr>
          </w:p>
        </w:tc>
      </w:tr>
      <w:tr w14:paraId="032B0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57"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37FD18D1">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p>
        </w:tc>
        <w:tc>
          <w:tcPr>
            <w:tcW w:w="1056" w:type="dxa"/>
            <w:vMerge w:val="restart"/>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D8FA95A">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7.3</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人员</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7664536">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7.3.1 </w:t>
            </w:r>
            <w:r>
              <w:rPr>
                <w:rFonts w:hint="eastAsia" w:ascii="宋体" w:hAnsi="宋体" w:eastAsia="宋体" w:cs="宋体"/>
                <w:i w:val="0"/>
                <w:iCs w:val="0"/>
                <w:color w:val="000000"/>
                <w:kern w:val="0"/>
                <w:sz w:val="20"/>
                <w:szCs w:val="20"/>
                <w:u w:val="none"/>
                <w:bdr w:val="none" w:color="auto" w:sz="0" w:space="0"/>
                <w:lang w:val="en-US" w:eastAsia="zh-CN" w:bidi="ar"/>
              </w:rPr>
              <w:t>人员能力策划</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根据能力管理目标中对人员能力的要求，建立人员能力计划，应满足：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根据运维服务业务发展趋势，识别应具备的运维人员能力需求；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对组织当前运维人员能力现状进行差距分析，识别人员能力改进方向；</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确定人员能力提升目标，制定人员能力计划。</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177D1B7">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查看运维人员能力相关计划，判断是否考虑了运维业务发展趋势及人员能力现状，是否明确未来运维人员所需具备能力；</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查看运维人员能力相关计划，判断是否通过差距分析识别了人员能力改进的方向，是否确定了人员能力改进目标。</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072DF7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《HFSJ-ITSS-0510-2025年度人员管理计划》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《HFSJ-ITSS-0511-2025年度人员管理报告》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《HFSJ-ITSS-0511-2025年度人员管理报告》</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393776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综合部经理：刘文桂</w:t>
            </w:r>
          </w:p>
        </w:tc>
        <w:tc>
          <w:tcPr>
            <w:tcW w:w="3216"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FDC88FB">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、按照年度能力管理与实施计划，制定招聘、培训、储备等相关计划。</w:t>
            </w:r>
            <w:r>
              <w:rPr>
                <w:rFonts w:hint="default" w:ascii="宋体" w:hAnsi="Arial" w:eastAsia="宋体" w:cs="Arial"/>
                <w:i w:val="0"/>
                <w:iCs w:val="0"/>
                <w:color w:val="000000"/>
                <w:kern w:val="0"/>
                <w:sz w:val="20"/>
                <w:szCs w:val="20"/>
                <w:u w:val="none"/>
                <w:bdr w:val="none" w:color="auto" w:sz="0" w:space="0"/>
                <w:lang w:val="en-US" w:eastAsia="zh-CN" w:bidi="ar"/>
              </w:rPr>
              <w:t>2025</w:t>
            </w:r>
            <w:r>
              <w:rPr>
                <w:rFonts w:hint="eastAsia" w:ascii="宋体" w:hAnsi="宋体" w:eastAsia="宋体" w:cs="宋体"/>
                <w:i w:val="0"/>
                <w:iCs w:val="0"/>
                <w:color w:val="000000"/>
                <w:kern w:val="0"/>
                <w:sz w:val="20"/>
                <w:szCs w:val="20"/>
                <w:u w:val="none"/>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1-12</w:t>
            </w:r>
            <w:r>
              <w:rPr>
                <w:rFonts w:hint="eastAsia" w:ascii="宋体" w:hAnsi="宋体" w:eastAsia="宋体" w:cs="宋体"/>
                <w:i w:val="0"/>
                <w:iCs w:val="0"/>
                <w:color w:val="000000"/>
                <w:kern w:val="0"/>
                <w:sz w:val="20"/>
                <w:szCs w:val="20"/>
                <w:u w:val="none"/>
                <w:bdr w:val="none" w:color="auto" w:sz="0" w:space="0"/>
                <w:lang w:val="en-US" w:eastAsia="zh-CN" w:bidi="ar"/>
              </w:rPr>
              <w:t>月按照与运维相关的招聘执行，通过社会招聘方式完成</w:t>
            </w:r>
            <w:r>
              <w:rPr>
                <w:rFonts w:hint="default" w:ascii="宋体" w:hAnsi="Arial" w:eastAsia="宋体" w:cs="Arial"/>
                <w:i w:val="0"/>
                <w:iCs w:val="0"/>
                <w:color w:val="000000"/>
                <w:kern w:val="0"/>
                <w:sz w:val="20"/>
                <w:szCs w:val="20"/>
                <w:u w:val="none"/>
                <w:bdr w:val="none" w:color="auto" w:sz="0" w:space="0"/>
                <w:lang w:val="en-US" w:eastAsia="zh-CN" w:bidi="ar"/>
              </w:rPr>
              <w:t>6</w:t>
            </w:r>
            <w:r>
              <w:rPr>
                <w:rFonts w:hint="eastAsia" w:ascii="宋体" w:hAnsi="宋体" w:eastAsia="宋体" w:cs="宋体"/>
                <w:i w:val="0"/>
                <w:iCs w:val="0"/>
                <w:color w:val="000000"/>
                <w:kern w:val="0"/>
                <w:sz w:val="20"/>
                <w:szCs w:val="20"/>
                <w:u w:val="none"/>
                <w:bdr w:val="none" w:color="auto" w:sz="0" w:space="0"/>
                <w:lang w:val="en-US" w:eastAsia="zh-CN" w:bidi="ar"/>
              </w:rPr>
              <w:t>人的录用。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、储备目标较明确，机制针对人员储备岗位配置、储备人员分类、入选资格等要求；计划满足当前运维业务要求。截至</w:t>
            </w:r>
            <w:r>
              <w:rPr>
                <w:rFonts w:hint="default" w:ascii="宋体" w:hAnsi="Arial" w:eastAsia="宋体" w:cs="Arial"/>
                <w:i w:val="0"/>
                <w:iCs w:val="0"/>
                <w:color w:val="000000"/>
                <w:kern w:val="0"/>
                <w:sz w:val="20"/>
                <w:szCs w:val="20"/>
                <w:u w:val="none"/>
                <w:bdr w:val="none" w:color="auto" w:sz="0" w:space="0"/>
                <w:lang w:val="en-US" w:eastAsia="zh-CN" w:bidi="ar"/>
              </w:rPr>
              <w:t>2025</w:t>
            </w:r>
            <w:r>
              <w:rPr>
                <w:rFonts w:hint="eastAsia" w:ascii="宋体" w:hAnsi="宋体" w:eastAsia="宋体" w:cs="宋体"/>
                <w:i w:val="0"/>
                <w:iCs w:val="0"/>
                <w:color w:val="000000"/>
                <w:kern w:val="0"/>
                <w:sz w:val="20"/>
                <w:szCs w:val="20"/>
                <w:u w:val="none"/>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12</w:t>
            </w:r>
            <w:r>
              <w:rPr>
                <w:rFonts w:hint="eastAsia" w:ascii="宋体" w:hAnsi="宋体" w:eastAsia="宋体" w:cs="宋体"/>
                <w:i w:val="0"/>
                <w:iCs w:val="0"/>
                <w:color w:val="000000"/>
                <w:kern w:val="0"/>
                <w:sz w:val="20"/>
                <w:szCs w:val="20"/>
                <w:u w:val="none"/>
                <w:bdr w:val="none" w:color="auto" w:sz="0" w:space="0"/>
                <w:lang w:val="en-US" w:eastAsia="zh-CN" w:bidi="ar"/>
              </w:rPr>
              <w:t>月通过内部储备方式，完成关键岗位的储备。</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、人员入职、离职或异动等有相应的制度条款，明确了交接内容、程序和要求等，记录文档内容覆盖制度条款要求。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w:t>
            </w:r>
            <w:r>
              <w:rPr>
                <w:rFonts w:hint="eastAsia" w:ascii="宋体" w:hAnsi="宋体" w:eastAsia="宋体" w:cs="宋体"/>
                <w:i w:val="0"/>
                <w:iCs w:val="0"/>
                <w:color w:val="000000"/>
                <w:kern w:val="0"/>
                <w:sz w:val="20"/>
                <w:szCs w:val="20"/>
                <w:u w:val="none"/>
                <w:bdr w:val="none" w:color="auto" w:sz="0" w:space="0"/>
                <w:lang w:val="en-US" w:eastAsia="zh-CN" w:bidi="ar"/>
              </w:rPr>
              <w:t>、职位为运维工程师，材料包括《员工离职申请表》、《员工离职工作交接记录表》等记录。</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5</w:t>
            </w:r>
            <w:r>
              <w:rPr>
                <w:rFonts w:hint="eastAsia" w:ascii="宋体" w:hAnsi="宋体" w:eastAsia="宋体" w:cs="宋体"/>
                <w:i w:val="0"/>
                <w:iCs w:val="0"/>
                <w:color w:val="000000"/>
                <w:kern w:val="0"/>
                <w:sz w:val="20"/>
                <w:szCs w:val="20"/>
                <w:u w:val="none"/>
                <w:bdr w:val="none" w:color="auto" w:sz="0" w:space="0"/>
                <w:lang w:val="en-US" w:eastAsia="zh-CN" w:bidi="ar"/>
              </w:rPr>
              <w:t>、员工培训制度较完整，根据能力管理与实施计划制定了年度培训计划，目前按计划实施培训，培训有记录及效果反馈。</w:t>
            </w:r>
          </w:p>
        </w:tc>
        <w:tc>
          <w:tcPr>
            <w:tcW w:w="1856" w:type="dxa"/>
            <w:tcBorders>
              <w:top w:val="single" w:color="auto" w:sz="4" w:space="0"/>
              <w:left w:val="single" w:color="auto" w:sz="4" w:space="0"/>
              <w:bottom w:val="nil"/>
              <w:right w:val="single" w:color="auto" w:sz="12" w:space="0"/>
            </w:tcBorders>
            <w:shd w:val="clear"/>
            <w:noWrap w:val="0"/>
            <w:tcMar>
              <w:top w:w="-1" w:type="dxa"/>
              <w:left w:w="-1" w:type="dxa"/>
              <w:bottom w:w="-1" w:type="dxa"/>
              <w:right w:w="-1" w:type="dxa"/>
            </w:tcMar>
            <w:vAlign w:val="center"/>
          </w:tcPr>
          <w:p w14:paraId="67CEF1AB">
            <w:pPr>
              <w:snapToGrid w:val="0"/>
              <w:ind w:left="0" w:leftChars="0" w:right="0" w:rightChars="0" w:firstLine="0" w:firstLineChars="0"/>
              <w:jc w:val="left"/>
              <w:rPr>
                <w:rFonts w:hint="default" w:ascii="宋体" w:hAnsi="Arial" w:eastAsia="宋体" w:cs="Arial"/>
                <w:i w:val="0"/>
                <w:iCs w:val="0"/>
                <w:color w:val="000000"/>
                <w:sz w:val="20"/>
                <w:szCs w:val="20"/>
                <w:u w:val="none"/>
              </w:rPr>
            </w:pPr>
          </w:p>
        </w:tc>
      </w:tr>
      <w:tr w14:paraId="3C6B2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57"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67FE5055">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2</w:t>
            </w:r>
          </w:p>
        </w:tc>
        <w:tc>
          <w:tcPr>
            <w:tcW w:w="1056" w:type="dxa"/>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4C06599">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56E2318">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7.3.2 </w:t>
            </w:r>
            <w:r>
              <w:rPr>
                <w:rFonts w:hint="eastAsia" w:ascii="宋体" w:hAnsi="宋体" w:eastAsia="宋体" w:cs="宋体"/>
                <w:i w:val="0"/>
                <w:iCs w:val="0"/>
                <w:color w:val="000000"/>
                <w:kern w:val="0"/>
                <w:sz w:val="20"/>
                <w:szCs w:val="20"/>
                <w:u w:val="none"/>
                <w:bdr w:val="none" w:color="auto" w:sz="0" w:space="0"/>
                <w:lang w:val="en-US" w:eastAsia="zh-CN" w:bidi="ar"/>
              </w:rPr>
              <w:t>岗位结构</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在基本级能力要求的基础上，还应满足：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运维服务业务需要；</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运维服务过程的要求；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与运维服务目录相匹配。</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37B663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查看运维人员岗位职责说明书，评估岗位的设置和要求是否满足运维服务业务需要；判断岗位设置是否满足运维服务过程的要求；判断是否与运维服务目录中的需求相匹配。</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472C67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《HFSJ-ITSS-0509-人员岗位说明书》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《HFSJ-ITSS-0201-组织架构及职责说明》</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《HFSJ-ITSS-0305-2025年度运维服务能力管理计划》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《HFSJ-ITSS-0308-2026年度运维服务能力管理计划》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《HFSJ-ITSS-0802-运维服务服务台管理制度》</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BF1F19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综合部经理：刘文桂</w:t>
            </w:r>
          </w:p>
        </w:tc>
        <w:tc>
          <w:tcPr>
            <w:tcW w:w="3216"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A32D500">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1、查看《HFSJ-ITSS-0509-人员岗位说明书》、《HFSJ-ITSS-0201-组织架构及职责说明》，设置管理岗、技术岗和操作岗，岗位职责说明书内容清晰明确。</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3、在项目过程中人员的设置以及项目管理沟通的情况，目前与内外部沟通均保持顺畅和有效沟通；以及包括对运维项目验收的管理要求。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4、抽查《HFSJ-ITSS-0802-运维服务服务台管理制度》，访谈服务台，清楚表述了服务台职责、事件处理流程、服务台的工作模式、响应呼叫、回访和关键指标等。</w:t>
            </w:r>
          </w:p>
        </w:tc>
        <w:tc>
          <w:tcPr>
            <w:tcW w:w="1856" w:type="dxa"/>
            <w:tcBorders>
              <w:top w:val="single" w:color="auto" w:sz="4" w:space="0"/>
              <w:left w:val="single" w:color="auto" w:sz="4" w:space="0"/>
              <w:bottom w:val="nil"/>
              <w:right w:val="single" w:color="auto" w:sz="12" w:space="0"/>
            </w:tcBorders>
            <w:shd w:val="clear"/>
            <w:noWrap w:val="0"/>
            <w:tcMar>
              <w:top w:w="-1" w:type="dxa"/>
              <w:left w:w="-1" w:type="dxa"/>
              <w:bottom w:w="-1" w:type="dxa"/>
              <w:right w:w="-1" w:type="dxa"/>
            </w:tcMar>
            <w:vAlign w:val="center"/>
          </w:tcPr>
          <w:p w14:paraId="64D345D8">
            <w:pPr>
              <w:snapToGrid w:val="0"/>
              <w:ind w:left="0" w:leftChars="0" w:right="0" w:rightChars="0" w:firstLine="0" w:firstLineChars="0"/>
              <w:jc w:val="left"/>
              <w:rPr>
                <w:rFonts w:hint="default" w:ascii="宋体" w:hAnsi="Arial" w:eastAsia="宋体" w:cs="Arial"/>
                <w:i w:val="0"/>
                <w:iCs w:val="0"/>
                <w:color w:val="000000"/>
                <w:sz w:val="20"/>
                <w:szCs w:val="20"/>
                <w:u w:val="none"/>
              </w:rPr>
            </w:pPr>
          </w:p>
        </w:tc>
      </w:tr>
      <w:tr w14:paraId="44D4B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57"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3E64619C">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3</w:t>
            </w:r>
          </w:p>
        </w:tc>
        <w:tc>
          <w:tcPr>
            <w:tcW w:w="1056" w:type="dxa"/>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AE6DB6E">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E27632B">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7.3.3 </w:t>
            </w:r>
            <w:r>
              <w:rPr>
                <w:rFonts w:hint="eastAsia" w:ascii="宋体" w:hAnsi="宋体" w:eastAsia="宋体" w:cs="宋体"/>
                <w:i w:val="0"/>
                <w:iCs w:val="0"/>
                <w:color w:val="000000"/>
                <w:kern w:val="0"/>
                <w:sz w:val="20"/>
                <w:szCs w:val="20"/>
                <w:u w:val="none"/>
                <w:bdr w:val="none" w:color="auto" w:sz="0" w:space="0"/>
                <w:lang w:val="en-US" w:eastAsia="zh-CN" w:bidi="ar"/>
              </w:rPr>
              <w:t>人员储备</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根据人员能力计划进行人员储备管理，应满足：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制定人员储备管理制度，对关键岗位人员进行储备；</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制定人员工作交接规范，保留工作交接记录。</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CC24BAE">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查看人员储备管理相关制度文件，评估组织是否建立人员储备机制，是否明确了关键岗位和储备人员的范围和标准；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抽查人员储备记录，判断人员储备工作是否满制度的要求；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查看人员储备相关计划，评估计划是否满足运维业务需求；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查看人员工作交接相关制度文件及工作交接记录，评估工作交接规范是否有效执行。</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FC6ED6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《HFSJ-ITSS-0502-人员储备管理制度》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《HFSJ-ITSS-0510-2025年度人员管理计划》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《HFSJ-ITSS-0511-2025年度人员管理报告》</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786E1A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综合部经理：刘文桂</w:t>
            </w:r>
          </w:p>
        </w:tc>
        <w:tc>
          <w:tcPr>
            <w:tcW w:w="3216"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EC2EC0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体系建设前，</w:t>
            </w:r>
            <w:r>
              <w:rPr>
                <w:rFonts w:hint="default" w:ascii="宋体" w:hAnsi="Arial" w:eastAsia="宋体" w:cs="Arial"/>
                <w:i w:val="0"/>
                <w:iCs w:val="0"/>
                <w:color w:val="000000"/>
                <w:kern w:val="0"/>
                <w:sz w:val="20"/>
                <w:szCs w:val="20"/>
                <w:u w:val="none"/>
                <w:bdr w:val="none" w:color="auto" w:sz="0" w:space="0"/>
                <w:lang w:val="en-US" w:eastAsia="zh-CN" w:bidi="ar"/>
              </w:rPr>
              <w:t>HR</w:t>
            </w:r>
            <w:r>
              <w:rPr>
                <w:rFonts w:hint="eastAsia" w:ascii="宋体" w:hAnsi="宋体" w:eastAsia="宋体" w:cs="宋体"/>
                <w:i w:val="0"/>
                <w:iCs w:val="0"/>
                <w:color w:val="000000"/>
                <w:kern w:val="0"/>
                <w:sz w:val="20"/>
                <w:szCs w:val="20"/>
                <w:u w:val="none"/>
                <w:bdr w:val="none" w:color="auto" w:sz="0" w:space="0"/>
                <w:lang w:val="en-US" w:eastAsia="zh-CN" w:bidi="ar"/>
              </w:rPr>
              <w:t>对岗位设置进行了分析、优化，体系建立后与运维相关14人。同时，在体系运行时，确认关键岗以内部备份的方式，目前</w:t>
            </w:r>
            <w:r>
              <w:rPr>
                <w:rFonts w:hint="default" w:ascii="宋体" w:hAnsi="Arial" w:eastAsia="宋体" w:cs="Arial"/>
                <w:i w:val="0"/>
                <w:iCs w:val="0"/>
                <w:color w:val="000000"/>
                <w:kern w:val="0"/>
                <w:sz w:val="20"/>
                <w:szCs w:val="20"/>
                <w:u w:val="none"/>
                <w:bdr w:val="none" w:color="auto" w:sz="0" w:space="0"/>
                <w:lang w:val="en-US" w:eastAsia="zh-CN" w:bidi="ar"/>
              </w:rPr>
              <w:t>2025</w:t>
            </w:r>
            <w:r>
              <w:rPr>
                <w:rFonts w:hint="eastAsia" w:ascii="宋体" w:hAnsi="宋体" w:eastAsia="宋体" w:cs="宋体"/>
                <w:i w:val="0"/>
                <w:iCs w:val="0"/>
                <w:color w:val="000000"/>
                <w:kern w:val="0"/>
                <w:sz w:val="20"/>
                <w:szCs w:val="20"/>
                <w:u w:val="none"/>
                <w:bdr w:val="none" w:color="auto" w:sz="0" w:space="0"/>
                <w:lang w:val="en-US" w:eastAsia="zh-CN" w:bidi="ar"/>
              </w:rPr>
              <w:t>年关键岗12月完成储备。</w:t>
            </w:r>
          </w:p>
        </w:tc>
        <w:tc>
          <w:tcPr>
            <w:tcW w:w="1856" w:type="dxa"/>
            <w:tcBorders>
              <w:top w:val="single" w:color="auto" w:sz="4" w:space="0"/>
              <w:left w:val="single" w:color="auto" w:sz="4" w:space="0"/>
              <w:bottom w:val="nil"/>
              <w:right w:val="single" w:color="auto" w:sz="12" w:space="0"/>
            </w:tcBorders>
            <w:shd w:val="clear"/>
            <w:noWrap w:val="0"/>
            <w:tcMar>
              <w:top w:w="-1" w:type="dxa"/>
              <w:left w:w="-1" w:type="dxa"/>
              <w:bottom w:w="-1" w:type="dxa"/>
              <w:right w:w="-1" w:type="dxa"/>
            </w:tcMar>
            <w:vAlign w:val="center"/>
          </w:tcPr>
          <w:p w14:paraId="46DBB7E2">
            <w:pPr>
              <w:snapToGrid w:val="0"/>
              <w:ind w:left="0" w:leftChars="0" w:right="0" w:rightChars="0" w:firstLine="0" w:firstLineChars="0"/>
              <w:jc w:val="left"/>
              <w:rPr>
                <w:rFonts w:hint="default" w:ascii="宋体" w:hAnsi="Arial" w:eastAsia="宋体" w:cs="Arial"/>
                <w:i w:val="0"/>
                <w:iCs w:val="0"/>
                <w:color w:val="000000"/>
                <w:sz w:val="20"/>
                <w:szCs w:val="20"/>
                <w:u w:val="none"/>
              </w:rPr>
            </w:pPr>
          </w:p>
        </w:tc>
      </w:tr>
      <w:tr w14:paraId="3A952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57"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385B77FA">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4</w:t>
            </w:r>
          </w:p>
        </w:tc>
        <w:tc>
          <w:tcPr>
            <w:tcW w:w="1056" w:type="dxa"/>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B9EF407">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21D6679">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7.3.4 </w:t>
            </w:r>
            <w:r>
              <w:rPr>
                <w:rFonts w:hint="eastAsia" w:ascii="宋体" w:hAnsi="宋体" w:eastAsia="宋体" w:cs="宋体"/>
                <w:i w:val="0"/>
                <w:iCs w:val="0"/>
                <w:color w:val="000000"/>
                <w:kern w:val="0"/>
                <w:sz w:val="20"/>
                <w:szCs w:val="20"/>
                <w:u w:val="none"/>
                <w:bdr w:val="none" w:color="auto" w:sz="0" w:space="0"/>
                <w:lang w:val="en-US" w:eastAsia="zh-CN" w:bidi="ar"/>
              </w:rPr>
              <w:t>人员培训</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根据人员能力计划进行人员培训和管理，应满足：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制定培训管理制度；</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实施培训，评价培训效果，保留培训记录。</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C693EA4">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查看人员培训管理相关制度文件，评估组织是否建立人员培训管理流程；</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查看培训计划，评估培训需求来源是否依据运维业务发展的需要，培训计划是否满足参训人员的需要；</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查看培训课程体系，评估课程设计是否满足培训计划的要求；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w:t>
            </w:r>
            <w:r>
              <w:rPr>
                <w:rFonts w:hint="eastAsia" w:ascii="宋体" w:hAnsi="宋体" w:eastAsia="宋体" w:cs="宋体"/>
                <w:i w:val="0"/>
                <w:iCs w:val="0"/>
                <w:color w:val="000000"/>
                <w:kern w:val="0"/>
                <w:sz w:val="20"/>
                <w:szCs w:val="20"/>
                <w:u w:val="none"/>
                <w:bdr w:val="none" w:color="auto" w:sz="0" w:space="0"/>
                <w:lang w:val="en-US" w:eastAsia="zh-CN" w:bidi="ar"/>
              </w:rPr>
              <w:t>查看培训效果评价相关规范，评估效果评价的方法是否能够客观、全面地评价培训的效果；</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抽查培训相关记录，评估培训记录的完整性和培训实施的有效性。</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83BEE4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《HFSJ-ITSS-0503-人员培训管理制度》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《HFSJ-ITSS-0510-2025年度人员管理计划》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《HFSJ-ITSS-0511-2025年度人员管理报告》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培训课件</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培训签到表</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培训效果评价记录</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58256A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综合部经理：刘文桂</w:t>
            </w:r>
          </w:p>
        </w:tc>
        <w:tc>
          <w:tcPr>
            <w:tcW w:w="3216"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3802AEC">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1、目前已建立培训管理体系，体系中包含了培训形式、方法、内容及相关考核要求等。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2、培训课程的内容包括基础管理类、专业技能类、项目业务类、服务管理体系培训等。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抽查：培训签到表、培训记录表、培训课件和培训反馈记录，如抽查ITSS体系文件（服务台规范培训）培训，培训学时4小时，课件以PPT与工具在线操作方式，培训记录表中有参训人员8人，培训考核以实操为主，有签到、出勤情况、培训记录等，培训效果反馈综合得分100分，学员取得成效显著。</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4、查看《HFSJ-ITSS-0509-人员岗位说明书》，针对不同岗位和职级的人员，对知识提出了相应的知识要求，以确保公司运维目标的实现和服务项目的交付和完成。</w:t>
            </w:r>
          </w:p>
        </w:tc>
        <w:tc>
          <w:tcPr>
            <w:tcW w:w="1856" w:type="dxa"/>
            <w:tcBorders>
              <w:top w:val="single" w:color="auto" w:sz="4" w:space="0"/>
              <w:left w:val="single" w:color="auto" w:sz="4" w:space="0"/>
              <w:bottom w:val="nil"/>
              <w:right w:val="single" w:color="auto" w:sz="12" w:space="0"/>
            </w:tcBorders>
            <w:shd w:val="clear"/>
            <w:noWrap w:val="0"/>
            <w:tcMar>
              <w:top w:w="-1" w:type="dxa"/>
              <w:left w:w="-1" w:type="dxa"/>
              <w:bottom w:w="-1" w:type="dxa"/>
              <w:right w:w="-1" w:type="dxa"/>
            </w:tcMar>
            <w:vAlign w:val="center"/>
          </w:tcPr>
          <w:p w14:paraId="27EC626E">
            <w:pPr>
              <w:keepNext w:val="0"/>
              <w:keepLines w:val="0"/>
              <w:widowControl/>
              <w:suppressLineNumbers w:val="0"/>
              <w:snapToGrid w:val="0"/>
              <w:ind w:left="0" w:leftChars="0" w:right="0" w:rightChars="0" w:firstLine="0" w:firstLineChars="0"/>
              <w:jc w:val="left"/>
              <w:textAlignment w:val="bottom"/>
              <w:rPr>
                <w:rFonts w:hint="eastAsia" w:ascii="宋体" w:hAnsi="宋体" w:eastAsia="宋体" w:cs="宋体"/>
                <w:i w:val="0"/>
                <w:iCs w:val="0"/>
                <w:color w:val="FF0000"/>
                <w:sz w:val="20"/>
                <w:szCs w:val="20"/>
                <w:u w:val="none"/>
              </w:rPr>
            </w:pPr>
            <w:r>
              <w:rPr>
                <w:rFonts w:hint="eastAsia" w:ascii="宋体" w:hAnsi="宋体" w:eastAsia="宋体" w:cs="宋体"/>
                <w:i w:val="0"/>
                <w:iCs w:val="0"/>
                <w:color w:val="FF0000"/>
                <w:kern w:val="0"/>
                <w:sz w:val="20"/>
                <w:szCs w:val="20"/>
                <w:u w:val="none"/>
                <w:bdr w:val="none" w:color="auto" w:sz="0" w:space="0"/>
                <w:lang w:val="en-US" w:eastAsia="zh-CN" w:bidi="ar"/>
              </w:rPr>
              <w:t>查运维部在10月组织的“机房设备基础知识培训”培训中，未发现培训签到表。不符合 ：T/CESA 1299-2023中 7.3 人员7.3.4 人员培训b) 实施培训，评价培训效果，保留培训记录。</w:t>
            </w:r>
          </w:p>
        </w:tc>
      </w:tr>
      <w:tr w14:paraId="438F9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57"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375355B8">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5</w:t>
            </w:r>
          </w:p>
        </w:tc>
        <w:tc>
          <w:tcPr>
            <w:tcW w:w="1056" w:type="dxa"/>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C6EC190">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57B0E8D">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7.3.5 </w:t>
            </w:r>
            <w:r>
              <w:rPr>
                <w:rFonts w:hint="eastAsia" w:ascii="宋体" w:hAnsi="宋体" w:eastAsia="宋体" w:cs="宋体"/>
                <w:i w:val="0"/>
                <w:iCs w:val="0"/>
                <w:color w:val="000000"/>
                <w:kern w:val="0"/>
                <w:sz w:val="20"/>
                <w:szCs w:val="20"/>
                <w:u w:val="none"/>
                <w:bdr w:val="none" w:color="auto" w:sz="0" w:space="0"/>
                <w:lang w:val="en-US" w:eastAsia="zh-CN" w:bidi="ar"/>
              </w:rPr>
              <w:t>绩效管理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根据人员能力计划进行人员绩效管理，应满足：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制定绩效管理制度并执行；</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确定各岗位人员绩效目标，根据运维岗位特点制定具体的、差异化的绩效管理计划；</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依据绩效管理计划实施绩效管理。</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D33B30F">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查看绩效管理相关制度文件，评估组织是否建立了绩效管理机制；</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查看绩效管理计划，评估绩效目标是否根据不同运维岗位的特点进行差异化制定；</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抽查不同岗位人员的绩效管理相关记录，评估绩效评价是否公正、客观，基于可靠的数据和信息进行。</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457ACB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《HFSJ-ITSS-0505-人员绩效考核及技能评价管理制度》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2025年1-12月绩效考核表</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3781EE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综合部经理：刘文桂</w:t>
            </w:r>
          </w:p>
        </w:tc>
        <w:tc>
          <w:tcPr>
            <w:tcW w:w="3216"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E51FFFC">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、查看人才绩效评价奖励，包括总则、适用范围、考核总体要求、组织原则，考核程序，等级划分，考核面谈与辅导等内容。</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、公司绩效考核制度执行为按季度考核工作绩效，抽查《</w:t>
            </w:r>
            <w:r>
              <w:rPr>
                <w:rFonts w:hint="default" w:ascii="宋体" w:hAnsi="Arial" w:eastAsia="宋体" w:cs="Arial"/>
                <w:i w:val="0"/>
                <w:iCs w:val="0"/>
                <w:color w:val="000000"/>
                <w:kern w:val="0"/>
                <w:sz w:val="20"/>
                <w:szCs w:val="20"/>
                <w:u w:val="none"/>
                <w:bdr w:val="none" w:color="auto" w:sz="0" w:space="0"/>
                <w:lang w:val="en-US" w:eastAsia="zh-CN" w:bidi="ar"/>
              </w:rPr>
              <w:t>2025</w:t>
            </w:r>
            <w:r>
              <w:rPr>
                <w:rFonts w:hint="eastAsia" w:ascii="宋体" w:hAnsi="宋体" w:eastAsia="宋体" w:cs="宋体"/>
                <w:i w:val="0"/>
                <w:iCs w:val="0"/>
                <w:color w:val="000000"/>
                <w:kern w:val="0"/>
                <w:sz w:val="20"/>
                <w:szCs w:val="20"/>
                <w:u w:val="none"/>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1-12</w:t>
            </w:r>
            <w:r>
              <w:rPr>
                <w:rFonts w:hint="eastAsia" w:ascii="宋体" w:hAnsi="宋体" w:eastAsia="宋体" w:cs="宋体"/>
                <w:i w:val="0"/>
                <w:iCs w:val="0"/>
                <w:color w:val="000000"/>
                <w:kern w:val="0"/>
                <w:sz w:val="20"/>
                <w:szCs w:val="20"/>
                <w:u w:val="none"/>
                <w:bdr w:val="none" w:color="auto" w:sz="0" w:space="0"/>
                <w:lang w:val="en-US" w:eastAsia="zh-CN" w:bidi="ar"/>
              </w:rPr>
              <w:t>月绩效考核表》，部门不同其设置不同，相关指标细项与能力管理指标挂钩。</w:t>
            </w:r>
          </w:p>
        </w:tc>
        <w:tc>
          <w:tcPr>
            <w:tcW w:w="1856" w:type="dxa"/>
            <w:tcBorders>
              <w:top w:val="single" w:color="auto" w:sz="4" w:space="0"/>
              <w:left w:val="single" w:color="auto" w:sz="4" w:space="0"/>
              <w:bottom w:val="nil"/>
              <w:right w:val="single" w:color="auto" w:sz="12" w:space="0"/>
            </w:tcBorders>
            <w:shd w:val="clear"/>
            <w:noWrap w:val="0"/>
            <w:tcMar>
              <w:top w:w="-1" w:type="dxa"/>
              <w:left w:w="-1" w:type="dxa"/>
              <w:bottom w:w="-1" w:type="dxa"/>
              <w:right w:w="-1" w:type="dxa"/>
            </w:tcMar>
            <w:vAlign w:val="center"/>
          </w:tcPr>
          <w:p w14:paraId="20711859">
            <w:pPr>
              <w:snapToGrid w:val="0"/>
              <w:ind w:left="0" w:leftChars="0" w:right="0" w:rightChars="0" w:firstLine="0" w:firstLineChars="0"/>
              <w:jc w:val="left"/>
              <w:rPr>
                <w:rFonts w:hint="default" w:ascii="宋体" w:hAnsi="Arial" w:eastAsia="宋体" w:cs="Arial"/>
                <w:i w:val="0"/>
                <w:iCs w:val="0"/>
                <w:color w:val="000000"/>
                <w:sz w:val="20"/>
                <w:szCs w:val="20"/>
                <w:u w:val="none"/>
              </w:rPr>
            </w:pPr>
          </w:p>
        </w:tc>
      </w:tr>
      <w:tr w14:paraId="3DB09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single" w:color="000000" w:sz="12" w:space="0"/>
              <w:bottom w:val="single" w:color="000000" w:sz="12" w:space="0"/>
              <w:right w:val="nil"/>
            </w:tcBorders>
            <w:shd w:val="clear"/>
            <w:noWrap w:val="0"/>
            <w:tcMar>
              <w:top w:w="-1" w:type="dxa"/>
              <w:left w:w="-1" w:type="dxa"/>
              <w:bottom w:w="-1" w:type="dxa"/>
              <w:right w:w="-1" w:type="dxa"/>
            </w:tcMar>
            <w:vAlign w:val="center"/>
          </w:tcPr>
          <w:p w14:paraId="189D902F">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6</w:t>
            </w:r>
          </w:p>
        </w:tc>
        <w:tc>
          <w:tcPr>
            <w:tcW w:w="1056" w:type="dxa"/>
            <w:vMerge w:val="continue"/>
            <w:tcBorders>
              <w:top w:val="single" w:color="000000" w:sz="4" w:space="0"/>
              <w:left w:val="single" w:color="000000" w:sz="4" w:space="0"/>
              <w:bottom w:val="single" w:color="000000" w:sz="4" w:space="0"/>
              <w:right w:val="single" w:color="000000" w:sz="4" w:space="0"/>
            </w:tcBorders>
            <w:shd w:val="clear"/>
            <w:noWrap w:val="0"/>
            <w:tcMar>
              <w:top w:w="-1" w:type="dxa"/>
              <w:left w:w="-1" w:type="dxa"/>
              <w:bottom w:w="-1" w:type="dxa"/>
              <w:right w:w="-1" w:type="dxa"/>
            </w:tcMar>
            <w:vAlign w:val="center"/>
          </w:tcPr>
          <w:p w14:paraId="7350D6C4">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1706"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4BBF43C7">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7.3.6 </w:t>
            </w:r>
            <w:r>
              <w:rPr>
                <w:rFonts w:hint="eastAsia" w:ascii="宋体" w:hAnsi="宋体" w:eastAsia="宋体" w:cs="宋体"/>
                <w:i w:val="0"/>
                <w:iCs w:val="0"/>
                <w:color w:val="000000"/>
                <w:kern w:val="0"/>
                <w:sz w:val="20"/>
                <w:szCs w:val="20"/>
                <w:u w:val="none"/>
                <w:bdr w:val="none" w:color="auto" w:sz="0" w:space="0"/>
                <w:lang w:val="en-US" w:eastAsia="zh-CN" w:bidi="ar"/>
              </w:rPr>
              <w:t>能力评价</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根据人员能力计划开展人员能力评价，应满足：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建立人员能力评价标准和评价机制；</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实施人员能力评价，并依据评价结果对人员能力进行持续改进。</w:t>
            </w:r>
          </w:p>
        </w:tc>
        <w:tc>
          <w:tcPr>
            <w:tcW w:w="2110"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5A27EF53">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查看人员能力评价相关制度文件，评估组织是否建立人员能力评价标准和评价机制；</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抽查人员简历（内部人员和外包人员），判断：是否具备信息技术相关的基础知识；是否具备从事运行维护服务所需的基本技能、专业技能、软技能；是否具备从事运行维护服务所需的经验；</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抽查人员专业技能证书和特殊环境人员资格证书，并判断是否满足服务目录和运维业务发展要求；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抽查人员能力评价记录和人员能力改进记录，评估人员能力评价工作是否符合相关制度要求。</w:t>
            </w:r>
          </w:p>
        </w:tc>
        <w:tc>
          <w:tcPr>
            <w:tcW w:w="2514"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6B62FC9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《HFSJ-ITSS-0505-人员绩效考核及技能评价管理制度》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运维人员技能评审表</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人员证书</w:t>
            </w:r>
          </w:p>
        </w:tc>
        <w:tc>
          <w:tcPr>
            <w:tcW w:w="1199"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6F48402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综合部经理：刘文桂</w:t>
            </w:r>
          </w:p>
        </w:tc>
        <w:tc>
          <w:tcPr>
            <w:tcW w:w="3216"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3A3D8ACE">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1、运维人员技能评审，包含了实施程序及要求、人员技能级别评定标准、评审结果应用和模版等。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3、查看《HFSJ-ITSS-0509-人员岗位说明书》，针对不同岗位和职级的人员，对知识提出了相应的专业技能要求。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4、抽查获证人员名单，4人持有工程技术与信息技术服务相关证书。</w:t>
            </w:r>
          </w:p>
        </w:tc>
        <w:tc>
          <w:tcPr>
            <w:tcW w:w="1856" w:type="dxa"/>
            <w:tcBorders>
              <w:top w:val="single" w:color="auto" w:sz="4" w:space="0"/>
              <w:left w:val="single" w:color="auto" w:sz="4" w:space="0"/>
              <w:bottom w:val="single" w:color="auto" w:sz="12" w:space="0"/>
              <w:right w:val="single" w:color="auto" w:sz="12" w:space="0"/>
            </w:tcBorders>
            <w:shd w:val="clear"/>
            <w:noWrap w:val="0"/>
            <w:tcMar>
              <w:top w:w="-1" w:type="dxa"/>
              <w:left w:w="-1" w:type="dxa"/>
              <w:bottom w:w="-1" w:type="dxa"/>
              <w:right w:w="-1" w:type="dxa"/>
            </w:tcMar>
            <w:vAlign w:val="center"/>
          </w:tcPr>
          <w:p w14:paraId="5DF5B711">
            <w:pPr>
              <w:snapToGrid w:val="0"/>
              <w:ind w:left="0" w:leftChars="0" w:right="0" w:rightChars="0" w:firstLine="0" w:firstLineChars="0"/>
              <w:jc w:val="left"/>
              <w:rPr>
                <w:rFonts w:hint="default" w:ascii="宋体" w:hAnsi="Arial" w:eastAsia="宋体" w:cs="Arial"/>
                <w:i w:val="0"/>
                <w:iCs w:val="0"/>
                <w:color w:val="000000"/>
                <w:sz w:val="20"/>
                <w:szCs w:val="20"/>
                <w:u w:val="none"/>
              </w:rPr>
            </w:pPr>
          </w:p>
        </w:tc>
      </w:tr>
    </w:tbl>
    <w:p w14:paraId="2E46C5BF">
      <w:pPr>
        <w:rPr>
          <w:rFonts w:hint="default"/>
          <w:lang w:val="en-US" w:eastAsia="zh-CN"/>
        </w:rPr>
      </w:pPr>
      <w:r>
        <w:rPr>
          <w:rFonts w:hint="default"/>
          <w:lang w:val="en-US" w:eastAsia="zh-CN"/>
        </w:rPr>
        <w:br w:type="page"/>
      </w:r>
    </w:p>
    <w:p w14:paraId="7B01B627">
      <w:pPr>
        <w:pStyle w:val="2"/>
        <w:bidi w:val="0"/>
        <w:rPr>
          <w:rFonts w:hint="eastAsia"/>
          <w:lang w:val="en-US" w:eastAsia="zh-CN"/>
        </w:rPr>
      </w:pPr>
      <w:r>
        <w:rPr>
          <w:rFonts w:hint="eastAsia"/>
          <w:lang w:val="en-US" w:eastAsia="zh-CN"/>
        </w:rPr>
        <w:t>资源管理</w:t>
      </w:r>
    </w:p>
    <w:tbl>
      <w:tblPr>
        <w:tblW w:w="141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812"/>
        <w:gridCol w:w="743"/>
        <w:gridCol w:w="2192"/>
        <w:gridCol w:w="2221"/>
        <w:gridCol w:w="2583"/>
        <w:gridCol w:w="1370"/>
        <w:gridCol w:w="4253"/>
      </w:tblGrid>
      <w:tr w14:paraId="40253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812" w:type="dxa"/>
            <w:tcBorders>
              <w:top w:val="single" w:color="000000" w:sz="12" w:space="0"/>
              <w:left w:val="single" w:color="000000" w:sz="12" w:space="0"/>
              <w:bottom w:val="nil"/>
              <w:right w:val="nil"/>
            </w:tcBorders>
            <w:shd w:val="clear" w:color="auto" w:fill="C0C0C0"/>
            <w:noWrap w:val="0"/>
            <w:tcMar>
              <w:top w:w="-1" w:type="dxa"/>
              <w:left w:w="-1" w:type="dxa"/>
              <w:bottom w:w="-1" w:type="dxa"/>
              <w:right w:w="-1" w:type="dxa"/>
            </w:tcMar>
            <w:vAlign w:val="center"/>
          </w:tcPr>
          <w:p w14:paraId="2D01518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序号</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5187916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能力域</w:t>
            </w:r>
          </w:p>
        </w:tc>
        <w:tc>
          <w:tcPr>
            <w:tcW w:w="2192" w:type="dxa"/>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4F3D932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能力项/标准要求</w:t>
            </w:r>
          </w:p>
        </w:tc>
        <w:tc>
          <w:tcPr>
            <w:tcW w:w="2221" w:type="dxa"/>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2ABA4DD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评估要点</w:t>
            </w:r>
          </w:p>
        </w:tc>
        <w:tc>
          <w:tcPr>
            <w:tcW w:w="2583" w:type="dxa"/>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54585D3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检查的文件或记录</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69876F6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访谈对象</w:t>
            </w:r>
          </w:p>
        </w:tc>
        <w:tc>
          <w:tcPr>
            <w:tcW w:w="4253" w:type="dxa"/>
            <w:tcBorders>
              <w:top w:val="single" w:color="000000" w:sz="12" w:space="0"/>
              <w:left w:val="single" w:color="000000" w:sz="4" w:space="0"/>
              <w:bottom w:val="nil"/>
              <w:right w:val="single" w:color="000000" w:sz="12" w:space="0"/>
            </w:tcBorders>
            <w:shd w:val="clear" w:color="auto" w:fill="C0C0C0"/>
            <w:noWrap w:val="0"/>
            <w:tcMar>
              <w:top w:w="-1" w:type="dxa"/>
              <w:left w:w="-1" w:type="dxa"/>
              <w:bottom w:w="-1" w:type="dxa"/>
              <w:right w:w="-1" w:type="dxa"/>
            </w:tcMar>
            <w:vAlign w:val="center"/>
          </w:tcPr>
          <w:p w14:paraId="5784E89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评估情况</w:t>
            </w:r>
          </w:p>
        </w:tc>
      </w:tr>
      <w:tr w14:paraId="5CC42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812"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28B05366">
            <w:pPr>
              <w:keepNext w:val="0"/>
              <w:keepLines w:val="0"/>
              <w:widowControl/>
              <w:suppressLineNumbers w:val="0"/>
              <w:snapToGrid w:val="0"/>
              <w:ind w:left="0" w:leftChars="0" w:right="0" w:rightChars="0" w:firstLine="0" w:firstLineChars="0"/>
              <w:jc w:val="center"/>
              <w:textAlignment w:val="center"/>
              <w:rPr>
                <w:rFonts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p>
        </w:tc>
        <w:tc>
          <w:tcPr>
            <w:tcW w:w="0" w:type="auto"/>
            <w:vMerge w:val="restart"/>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5834F11">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7.2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质量管理</w:t>
            </w:r>
          </w:p>
        </w:tc>
        <w:tc>
          <w:tcPr>
            <w:tcW w:w="2192"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292A733">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7.2.1 </w:t>
            </w:r>
            <w:r>
              <w:rPr>
                <w:rFonts w:hint="eastAsia" w:ascii="宋体" w:hAnsi="宋体" w:eastAsia="宋体" w:cs="宋体"/>
                <w:i w:val="0"/>
                <w:iCs w:val="0"/>
                <w:color w:val="000000"/>
                <w:kern w:val="0"/>
                <w:sz w:val="20"/>
                <w:szCs w:val="20"/>
                <w:u w:val="none"/>
                <w:bdr w:val="none" w:color="auto" w:sz="0" w:space="0"/>
                <w:lang w:val="en-US" w:eastAsia="zh-CN" w:bidi="ar"/>
              </w:rPr>
              <w:t>质量策划</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组织建立了与运维业务相适应的质量管理目标、制度和方法，应满足：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建立质量目标，并在组织内和相关方得到沟通、理解和应用；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依据质量目标，定义质量活动的优先级，制定质量计划，并提供必要的资源保障；</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c)</w:t>
            </w:r>
            <w:r>
              <w:rPr>
                <w:rFonts w:hint="eastAsia" w:ascii="宋体" w:hAnsi="宋体" w:eastAsia="宋体" w:cs="宋体"/>
                <w:i w:val="0"/>
                <w:iCs w:val="0"/>
                <w:color w:val="000000"/>
                <w:kern w:val="0"/>
                <w:sz w:val="20"/>
                <w:szCs w:val="20"/>
                <w:u w:val="none"/>
                <w:bdr w:val="none" w:color="auto" w:sz="0" w:space="0"/>
                <w:lang w:val="en-US" w:eastAsia="zh-CN" w:bidi="ar"/>
              </w:rPr>
              <w:t>建立内审、管理评审、满意度调查和质量改进等制度，并得到应用；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d)</w:t>
            </w:r>
            <w:r>
              <w:rPr>
                <w:rFonts w:hint="eastAsia" w:ascii="宋体" w:hAnsi="宋体" w:eastAsia="宋体" w:cs="宋体"/>
                <w:i w:val="0"/>
                <w:iCs w:val="0"/>
                <w:color w:val="000000"/>
                <w:kern w:val="0"/>
                <w:sz w:val="20"/>
                <w:szCs w:val="20"/>
                <w:u w:val="none"/>
                <w:bdr w:val="none" w:color="auto" w:sz="0" w:space="0"/>
                <w:lang w:val="en-US" w:eastAsia="zh-CN" w:bidi="ar"/>
              </w:rPr>
              <w:t>依据项目要求，建立项目检查机制，评价项目执行情况；</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建立与运维服务业务相适应的运维服务质量评价指标体系。</w:t>
            </w:r>
          </w:p>
        </w:tc>
        <w:tc>
          <w:tcPr>
            <w:tcW w:w="2221"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C644697">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查看服务质量管理相关制度（应包括内部审核、管理评审、满意度管理、投诉管理和质量改进等内容）</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查看服务质量管理计划，确认内容是否包括年度的服务质量管理目标、内审、管理评审、项目质量检查等活动，确认是否提供了必要的资源保障；</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查看组织是否建立与运维服务业务相适应的运维项目服务质量评价指标体系</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访谈运维相关人员，确认质量目标是否得到了组织内和相关方得到沟通、理解和应用。</w:t>
            </w:r>
          </w:p>
        </w:tc>
        <w:tc>
          <w:tcPr>
            <w:tcW w:w="2583"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DA0717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《HFSJ-ITSS-0404-运维服务质量管理制度》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《HFSJ-ITSS-0407-运维服务投诉管理制度》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《HFSJ-ITSS-0401-内审管理制度》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《HFSJ-ITSS-0402-管评管理制度》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《HFSJ-ITSS-0417-2025年度质量管理计划》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《HFSJ-ITSS-0409-2025年度内审计划》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《HFSJ-ITSS-0410-2025年度内审检查表》</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《HFSJ-ITSS-0411-2025年度内审不符合报告》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《HFSJ-ITSS-0418-2025年度质量管理报告》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《HFSJ-ITSS-0413-2025年度管评计划》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《HFSJ-ITSS-0414-2025年度管评报告》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《HFSJ-ITSS-0418-2025年度质量管理报告》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《HFSJ-ITSS-0419-2026年度质量管理计划》</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12C9B6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产品质量部经理：熊振翔</w:t>
            </w:r>
          </w:p>
        </w:tc>
        <w:tc>
          <w:tcPr>
            <w:tcW w:w="4253"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43B95A03">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年度能力管理计划及实施方案，从运维目标至四要素、应急交付和质量等维度进行策划，对指标进行了定义和分析，并将指标分解到了各职能部门。通过具体项目实施和交付，进一步验证了能力管理计划的适宜性和指标覆盖的完整性。</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、指标体系文件是能力管理计划的重要性补充，有设定目标值，对关键指标计算进行了说明。跟踪表按相关要求，统计填报指标达成情况。</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、建立了运维服务管理的保障体系，从质量角度、资源层面进一步保障了指标的落地、实施和达成。</w:t>
            </w:r>
          </w:p>
        </w:tc>
      </w:tr>
      <w:tr w14:paraId="5CFDF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812"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0E147939">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2</w:t>
            </w:r>
          </w:p>
        </w:tc>
        <w:tc>
          <w:tcPr>
            <w:tcW w:w="0" w:type="auto"/>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12F9BD5">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2192"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F1DA1D4">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7.2.2 </w:t>
            </w:r>
            <w:r>
              <w:rPr>
                <w:rFonts w:hint="eastAsia" w:ascii="宋体" w:hAnsi="宋体" w:eastAsia="宋体" w:cs="宋体"/>
                <w:i w:val="0"/>
                <w:iCs w:val="0"/>
                <w:color w:val="000000"/>
                <w:kern w:val="0"/>
                <w:sz w:val="20"/>
                <w:szCs w:val="20"/>
                <w:u w:val="none"/>
                <w:bdr w:val="none" w:color="auto" w:sz="0" w:space="0"/>
                <w:lang w:val="en-US" w:eastAsia="zh-CN" w:bidi="ar"/>
              </w:rPr>
              <w:t>质量评测</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在基本级能力要求的基础上，还应满足：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依据质量计划，对运维服务活动进行质量分析，形成报告；</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满意度调查活动覆盖关键客户和服务目录；</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c)</w:t>
            </w:r>
            <w:r>
              <w:rPr>
                <w:rFonts w:hint="eastAsia" w:ascii="宋体" w:hAnsi="宋体" w:eastAsia="宋体" w:cs="宋体"/>
                <w:i w:val="0"/>
                <w:iCs w:val="0"/>
                <w:color w:val="000000"/>
                <w:kern w:val="0"/>
                <w:sz w:val="20"/>
                <w:szCs w:val="20"/>
                <w:u w:val="none"/>
                <w:bdr w:val="none" w:color="auto" w:sz="0" w:space="0"/>
                <w:lang w:val="en-US" w:eastAsia="zh-CN" w:bidi="ar"/>
              </w:rPr>
              <w:t>满意度调查结果包括对关键能力项的分析，并形成调查报告；</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定期开展运维服务质量评价，记录评价结果并进行应用。</w:t>
            </w:r>
          </w:p>
        </w:tc>
        <w:tc>
          <w:tcPr>
            <w:tcW w:w="2221"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8E23BD9">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查看质量活动与质量分析的实施记录，如质量计划、质量活动实施记录、质量分析报告，是否与制度和计划一致；</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查看满意度调查记录，判断是否覆盖了服务目录和关键客户，是否对满意度调查结果进行分析并形成调查报告；</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抽查运维服务项目检查记录，是否及时进行纠正与整改；</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查看运维服务质量评价的实施记录，判断是否依据运维服务质量评价指标体系的指标项，对项目进行定期评价，分析运维服务质量的现状和改进方向。</w:t>
            </w:r>
          </w:p>
        </w:tc>
        <w:tc>
          <w:tcPr>
            <w:tcW w:w="2583"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D8B22D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《HFSJ-ITSS-0403-满意度管理制度》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《HFSJ-ITSS-0416-2025年度满意度调查报告》</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0A36CA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产品质量部经理：熊振翔</w:t>
            </w:r>
          </w:p>
        </w:tc>
        <w:tc>
          <w:tcPr>
            <w:tcW w:w="4253"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38A2781C">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1、有服务能力管理质量体系的保障，从内审、管理评审、质量检查、满意度管理和服务改进等方面对服务质量进行管理和要求。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2、产品质量部是质量体系的归口管理部门，编制年度运维服务质量管理计划，并按计划执行跟踪，设置专职的质量工程师，定期做质量检查工作，提交年度运维服务质量管理总结报告。</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3、查看《HFSJ-ITSS-0404-运维服务质量管理制度》，包括：目的、范围、职责、质量策划、质量跟踪检查内容及检查方法、纠正措施、持续改进等。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4、按内审计划和管评计划，完成内审检查和管评工作；内审后对相关部门责任人提出了改进建议，并要求追踪不符合项的整改及验证。</w:t>
            </w:r>
          </w:p>
        </w:tc>
      </w:tr>
      <w:tr w14:paraId="24AA7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812" w:type="dxa"/>
            <w:tcBorders>
              <w:top w:val="single" w:color="000000" w:sz="4" w:space="0"/>
              <w:left w:val="single" w:color="000000" w:sz="12" w:space="0"/>
              <w:bottom w:val="single" w:color="000000" w:sz="12" w:space="0"/>
              <w:right w:val="nil"/>
            </w:tcBorders>
            <w:shd w:val="clear"/>
            <w:noWrap w:val="0"/>
            <w:tcMar>
              <w:top w:w="-1" w:type="dxa"/>
              <w:left w:w="-1" w:type="dxa"/>
              <w:bottom w:w="-1" w:type="dxa"/>
              <w:right w:w="-1" w:type="dxa"/>
            </w:tcMar>
            <w:vAlign w:val="center"/>
          </w:tcPr>
          <w:p w14:paraId="79F98E3D">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3</w:t>
            </w:r>
          </w:p>
        </w:tc>
        <w:tc>
          <w:tcPr>
            <w:tcW w:w="745" w:type="dxa"/>
            <w:vMerge w:val="continue"/>
            <w:tcBorders>
              <w:top w:val="single" w:color="000000" w:sz="4" w:space="0"/>
              <w:left w:val="single" w:color="000000" w:sz="4" w:space="0"/>
              <w:bottom w:val="nil"/>
              <w:right w:val="single" w:color="000000" w:sz="4" w:space="0"/>
            </w:tcBorders>
            <w:shd w:val="clear"/>
            <w:noWrap w:val="0"/>
            <w:tcMar>
              <w:top w:w="-1" w:type="dxa"/>
              <w:left w:w="-1" w:type="dxa"/>
              <w:bottom w:w="-1" w:type="dxa"/>
              <w:right w:w="-1" w:type="dxa"/>
            </w:tcMar>
            <w:vAlign w:val="center"/>
          </w:tcPr>
          <w:p w14:paraId="1D82FE64">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2192"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4600A3D2">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7.2.3 </w:t>
            </w:r>
            <w:r>
              <w:rPr>
                <w:rFonts w:hint="eastAsia" w:ascii="宋体" w:hAnsi="宋体" w:eastAsia="宋体" w:cs="宋体"/>
                <w:i w:val="0"/>
                <w:iCs w:val="0"/>
                <w:color w:val="000000"/>
                <w:kern w:val="0"/>
                <w:sz w:val="20"/>
                <w:szCs w:val="20"/>
                <w:u w:val="none"/>
                <w:bdr w:val="none" w:color="auto" w:sz="0" w:space="0"/>
                <w:lang w:val="en-US" w:eastAsia="zh-CN" w:bidi="ar"/>
              </w:rPr>
              <w:t>质量改进</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组织基于质量改进制度，执行质量改进活动，应满足：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识别质量活动中的不符合，与相关方对不符合情况进行沟通和确认，确定改进项；</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根据对改进项的分析，确定改进措施，制定改进计划；</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实施改进计划，对改进效果进行评估，并保留相关记录。</w:t>
            </w:r>
          </w:p>
        </w:tc>
        <w:tc>
          <w:tcPr>
            <w:tcW w:w="2221"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7BF70EF0">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抽查质量改进项相关记录，判断是否与相关方进行了沟通和确认；</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查看质量改进计划是否完整，是否与相关质量活动与质量分析报告保持一致；</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查看质量改进计划执行情况及分析记录，判断改进项的相关分析与改进措施是否可行，是否满足改进目标的要求。</w:t>
            </w:r>
          </w:p>
        </w:tc>
        <w:tc>
          <w:tcPr>
            <w:tcW w:w="2583"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0CB229F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《HFSJ-ITSS-0405-运维服务质量改进管理制度》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《HFSJ-ITSS-0406-运维服务沟通管理制度》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《HFSJ-ITSS-0408-运维服务验收管理制度》</w:t>
            </w:r>
          </w:p>
        </w:tc>
        <w:tc>
          <w:tcPr>
            <w:tcW w:w="1370"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2ECD94D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产品质量部经理：熊振翔</w:t>
            </w:r>
          </w:p>
        </w:tc>
        <w:tc>
          <w:tcPr>
            <w:tcW w:w="4253" w:type="dxa"/>
            <w:tcBorders>
              <w:top w:val="single" w:color="000000" w:sz="4" w:space="0"/>
              <w:left w:val="single" w:color="000000" w:sz="4" w:space="0"/>
              <w:bottom w:val="single" w:color="000000" w:sz="12" w:space="0"/>
              <w:right w:val="single" w:color="000000" w:sz="12" w:space="0"/>
            </w:tcBorders>
            <w:shd w:val="clear"/>
            <w:noWrap w:val="0"/>
            <w:tcMar>
              <w:top w:w="-1" w:type="dxa"/>
              <w:left w:w="-1" w:type="dxa"/>
              <w:bottom w:w="-1" w:type="dxa"/>
              <w:right w:w="-1" w:type="dxa"/>
            </w:tcMar>
            <w:vAlign w:val="center"/>
          </w:tcPr>
          <w:p w14:paraId="5F825133">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1、查《HFSJ-ITSS-0405-运维服务质量改进管理制度》，本年度内审中的不符合项改进，已纳入服务能力改进，主责部门进行讨论分析，制定改进计划，并在管评前完成改进。</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2、改进计划明确了改进项、原因分析、改进措施、改进进度、责任部门。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3、核查了客户投诉单，体系建立以来至今未发生客户投诉。</w:t>
            </w:r>
          </w:p>
        </w:tc>
      </w:tr>
    </w:tbl>
    <w:p w14:paraId="7FD462C6">
      <w:pPr>
        <w:rPr>
          <w:rFonts w:hint="default"/>
          <w:lang w:val="en-US" w:eastAsia="zh-CN"/>
        </w:rPr>
      </w:pPr>
      <w:r>
        <w:rPr>
          <w:rFonts w:hint="default"/>
          <w:lang w:val="en-US" w:eastAsia="zh-CN"/>
        </w:rPr>
        <w:br w:type="page"/>
      </w:r>
    </w:p>
    <w:p w14:paraId="2127FA27">
      <w:pPr>
        <w:pStyle w:val="2"/>
        <w:bidi w:val="0"/>
        <w:rPr>
          <w:rFonts w:hint="eastAsia"/>
          <w:lang w:val="en-US" w:eastAsia="zh-CN"/>
        </w:rPr>
      </w:pPr>
      <w:r>
        <w:rPr>
          <w:rFonts w:hint="eastAsia"/>
          <w:lang w:val="en-US" w:eastAsia="zh-CN"/>
        </w:rPr>
        <w:t>技术管理</w:t>
      </w:r>
    </w:p>
    <w:tbl>
      <w:tblPr>
        <w:tblW w:w="141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801"/>
        <w:gridCol w:w="541"/>
        <w:gridCol w:w="2665"/>
        <w:gridCol w:w="2307"/>
        <w:gridCol w:w="2374"/>
        <w:gridCol w:w="1120"/>
        <w:gridCol w:w="4366"/>
      </w:tblGrid>
      <w:tr w14:paraId="5A1BA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801" w:type="dxa"/>
            <w:tcBorders>
              <w:top w:val="single" w:color="000000" w:sz="12" w:space="0"/>
              <w:left w:val="single" w:color="000000" w:sz="12" w:space="0"/>
              <w:bottom w:val="nil"/>
              <w:right w:val="nil"/>
            </w:tcBorders>
            <w:shd w:val="clear" w:color="auto" w:fill="C0C0C0"/>
            <w:noWrap w:val="0"/>
            <w:tcMar>
              <w:top w:w="-1" w:type="dxa"/>
              <w:left w:w="-1" w:type="dxa"/>
              <w:bottom w:w="-1" w:type="dxa"/>
              <w:right w:w="-1" w:type="dxa"/>
            </w:tcMar>
            <w:vAlign w:val="center"/>
          </w:tcPr>
          <w:p w14:paraId="7B29AF7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0"/>
                <w:u w:val="none"/>
              </w:rPr>
            </w:pPr>
            <w:r>
              <w:rPr>
                <w:rFonts w:hint="eastAsia" w:ascii="宋体" w:hAnsi="宋体" w:eastAsia="宋体" w:cs="宋体"/>
                <w:b/>
                <w:bCs/>
                <w:i w:val="0"/>
                <w:iCs w:val="0"/>
                <w:color w:val="000000"/>
                <w:kern w:val="0"/>
                <w:sz w:val="21"/>
                <w:szCs w:val="20"/>
                <w:u w:val="none"/>
                <w:bdr w:val="none" w:color="auto" w:sz="0" w:space="0"/>
                <w:lang w:val="en-US" w:eastAsia="zh-CN" w:bidi="ar"/>
              </w:rPr>
              <w:t>序号</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2B53D0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能力域</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4CA702A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能力项/标准要求</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19EC073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评估要点</w:t>
            </w:r>
          </w:p>
        </w:tc>
        <w:tc>
          <w:tcPr>
            <w:tcW w:w="2374" w:type="dxa"/>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2530A5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记录文件</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053DA0A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访谈人</w:t>
            </w:r>
          </w:p>
        </w:tc>
        <w:tc>
          <w:tcPr>
            <w:tcW w:w="4366" w:type="dxa"/>
            <w:tcBorders>
              <w:top w:val="single" w:color="000000" w:sz="12" w:space="0"/>
              <w:left w:val="single" w:color="000000" w:sz="4" w:space="0"/>
              <w:bottom w:val="nil"/>
              <w:right w:val="single" w:color="000000" w:sz="12" w:space="0"/>
            </w:tcBorders>
            <w:shd w:val="clear" w:color="auto" w:fill="C0C0C0"/>
            <w:noWrap w:val="0"/>
            <w:tcMar>
              <w:top w:w="-1" w:type="dxa"/>
              <w:left w:w="-1" w:type="dxa"/>
              <w:bottom w:w="-1" w:type="dxa"/>
              <w:right w:w="-1" w:type="dxa"/>
            </w:tcMar>
            <w:vAlign w:val="center"/>
          </w:tcPr>
          <w:p w14:paraId="3EE3F13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审核记录</w:t>
            </w:r>
          </w:p>
        </w:tc>
      </w:tr>
      <w:tr w14:paraId="2E541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801"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4C337014">
            <w:pPr>
              <w:keepNext w:val="0"/>
              <w:keepLines w:val="0"/>
              <w:widowControl/>
              <w:suppressLineNumbers w:val="0"/>
              <w:snapToGrid w:val="0"/>
              <w:ind w:left="0" w:leftChars="0" w:right="0" w:rightChars="0" w:firstLine="0" w:firstLineChars="0"/>
              <w:jc w:val="center"/>
              <w:textAlignment w:val="center"/>
              <w:rPr>
                <w:rFonts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p>
        </w:tc>
        <w:tc>
          <w:tcPr>
            <w:tcW w:w="0" w:type="auto"/>
            <w:vMerge w:val="restart"/>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B6D5B0F">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7.5</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技术</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AB33C48">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7.5.1 </w:t>
            </w:r>
            <w:r>
              <w:rPr>
                <w:rFonts w:hint="eastAsia" w:ascii="宋体" w:hAnsi="宋体" w:eastAsia="宋体" w:cs="宋体"/>
                <w:i w:val="0"/>
                <w:iCs w:val="0"/>
                <w:color w:val="000000"/>
                <w:kern w:val="0"/>
                <w:sz w:val="20"/>
                <w:szCs w:val="20"/>
                <w:u w:val="none"/>
                <w:bdr w:val="none" w:color="auto" w:sz="0" w:space="0"/>
                <w:lang w:val="en-US" w:eastAsia="zh-CN" w:bidi="ar"/>
              </w:rPr>
              <w:t>技术管理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组织应建立研发管理制度，并配备必要的资源，管理技术研发活动：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根据运维服务需求，建立技术研发管理制度；</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确定技术研发范围，管理技术研发活动；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分配和管理研发资金和预算，配备必要的研发环境和研发队伍。</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25B3289">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查看技术研发管理制度，判断制度是否与运维业务特征与要求保持一致，判断制度是否定义了运维技术研发管理过程活动、研发成果应用相关活动；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查看技术研发范围，判断内容是否符合技术研发管理制度和运维服务业务场景要求；抽查技术研发活动记录，判断是否符合技术研发管理制度的要求；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查看技术研发的资金、预算、研发环境和研发队伍，判断是否符合技术研发管理制度的要求。</w:t>
            </w:r>
          </w:p>
        </w:tc>
        <w:tc>
          <w:tcPr>
            <w:tcW w:w="2374"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346EB9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《HFSJ-ITSS-0701-运维服务研发管理制度》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《HFSJ-ITSS-0703-2025年度研发规划》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《HFSJ-ITSS-0705-2026年度研发规划》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《HFSJ-ITSS-0704-2025年度研发报告》</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BB922B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研发部经理：黄正宇</w:t>
            </w:r>
          </w:p>
        </w:tc>
        <w:tc>
          <w:tcPr>
            <w:tcW w:w="4366"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6DE614B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1、查看《HFSJ-ITSS-0703-2025年度研发规划》，重点描述了对解决问题的研发项、相关运维工具的研发项，以及研发团队的学习和培训。具体介绍了各项研发的目的、环境准备、研发团队组建、项目管理和研发投入。</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2、查看《HFSJ-ITSS-0704-2025年度研发报告》，支撑了体系建立后运维项目的服务和交付过程。当前已使用研发费用总计47万多元。</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3、目前，与运维相关研发投入3人，其中研发部经理1人、研发工程师1人、测试工程师1人。访谈研发部经理进行了沟通，其对部门职责的理解是清晰。</w:t>
            </w:r>
          </w:p>
        </w:tc>
      </w:tr>
      <w:tr w14:paraId="76FAD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801"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64EF7078">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2</w:t>
            </w:r>
          </w:p>
        </w:tc>
        <w:tc>
          <w:tcPr>
            <w:tcW w:w="0" w:type="auto"/>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1759340">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02F1892">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7.5.2 </w:t>
            </w:r>
            <w:r>
              <w:rPr>
                <w:rFonts w:hint="eastAsia" w:ascii="宋体" w:hAnsi="宋体" w:eastAsia="宋体" w:cs="宋体"/>
                <w:i w:val="0"/>
                <w:iCs w:val="0"/>
                <w:color w:val="000000"/>
                <w:kern w:val="0"/>
                <w:sz w:val="20"/>
                <w:szCs w:val="20"/>
                <w:u w:val="none"/>
                <w:bdr w:val="none" w:color="auto" w:sz="0" w:space="0"/>
                <w:lang w:val="en-US" w:eastAsia="zh-CN" w:bidi="ar"/>
              </w:rPr>
              <w:t>技术研发</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在基本级能力要求的基础上，并应：</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根据运维业务需求，制定运维技术研发规划，明确技术研发实现路径；</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确定并选择成熟技术转化为服务能力的方式方法；</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验证、确认和发布技术研发成果。</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FD55018">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查看技术研发规划，验证内容是否与运维业务发展要求保持一致，验证技术研发实现路径的可行性；</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抽查将技术转化为服务能力的记录，如发现和解决问题的技术手段、方案和手册等，判断组织是否具备将技术转化为服务的能力；</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抽查技术研发成果，判断是否对成果进行了验证、确认并正式发布。</w:t>
            </w:r>
          </w:p>
        </w:tc>
        <w:tc>
          <w:tcPr>
            <w:tcW w:w="2374"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87D5CF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《HFSJ-ITSS-0703-2025年度研发规划》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产品研发需求调研</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69EF1A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研发部经理：黄正宇</w:t>
            </w:r>
          </w:p>
        </w:tc>
        <w:tc>
          <w:tcPr>
            <w:tcW w:w="4366"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38FA7F2E">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1、查看《HFSJ-ITSS-0703-2025年度研发规划》，运维监控系统的研发与运维业务发展要求一致。</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查看服务知识，有对运维工作过程中发现问题的描述，并有故障处理的过程、诊断方法等。根据运维服务内容，制定了相关作业指导书、操作手册、测试方法及标准等文件。建立了一些典型故障分析文档，包括常见运维问题解决手册文档对于故障的现象、描述、分析方案、解决方案等内容进行了描述。</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服务台是主要获取问题的渠道。公司发现问题的技术包括：监控服务（各类监控工具）、巡检服务（根据不同项目采取周、月、季度巡查方式）、客户反馈等。对于用户提出的问题，通过了解故障现象进行判断，首先寻求服务知识进行电话解决，若解决不了则派工程师到现场实地解决。在现场监控或巡检服务中发现了问题，根据所显示信息或故障的现象，对问题进行诊断和分析，同时借助服务知识解决问题。</w:t>
            </w:r>
          </w:p>
        </w:tc>
      </w:tr>
      <w:tr w14:paraId="1AF45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01" w:type="dxa"/>
            <w:tcBorders>
              <w:top w:val="single" w:color="000000" w:sz="4" w:space="0"/>
              <w:left w:val="single" w:color="000000" w:sz="12" w:space="0"/>
              <w:bottom w:val="single" w:color="000000" w:sz="12" w:space="0"/>
              <w:right w:val="nil"/>
            </w:tcBorders>
            <w:shd w:val="clear"/>
            <w:noWrap w:val="0"/>
            <w:tcMar>
              <w:top w:w="-1" w:type="dxa"/>
              <w:left w:w="-1" w:type="dxa"/>
              <w:bottom w:w="-1" w:type="dxa"/>
              <w:right w:w="-1" w:type="dxa"/>
            </w:tcMar>
            <w:vAlign w:val="center"/>
          </w:tcPr>
          <w:p w14:paraId="3D38888B">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3</w:t>
            </w:r>
          </w:p>
        </w:tc>
        <w:tc>
          <w:tcPr>
            <w:tcW w:w="541" w:type="dxa"/>
            <w:vMerge w:val="continue"/>
            <w:tcBorders>
              <w:top w:val="single" w:color="000000" w:sz="4" w:space="0"/>
              <w:left w:val="single" w:color="000000" w:sz="4" w:space="0"/>
              <w:bottom w:val="single" w:color="000000" w:sz="4" w:space="0"/>
              <w:right w:val="single" w:color="000000" w:sz="4" w:space="0"/>
            </w:tcBorders>
            <w:shd w:val="clear"/>
            <w:noWrap w:val="0"/>
            <w:tcMar>
              <w:top w:w="-1" w:type="dxa"/>
              <w:left w:w="-1" w:type="dxa"/>
              <w:bottom w:w="-1" w:type="dxa"/>
              <w:right w:w="-1" w:type="dxa"/>
            </w:tcMar>
            <w:vAlign w:val="center"/>
          </w:tcPr>
          <w:p w14:paraId="35581C58">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2665"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03A42419">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7.5.3 </w:t>
            </w:r>
            <w:r>
              <w:rPr>
                <w:rFonts w:hint="eastAsia" w:ascii="宋体" w:hAnsi="宋体" w:eastAsia="宋体" w:cs="宋体"/>
                <w:i w:val="0"/>
                <w:iCs w:val="0"/>
                <w:color w:val="000000"/>
                <w:kern w:val="0"/>
                <w:sz w:val="20"/>
                <w:szCs w:val="20"/>
                <w:u w:val="none"/>
                <w:bdr w:val="none" w:color="auto" w:sz="0" w:space="0"/>
                <w:lang w:val="en-US" w:eastAsia="zh-CN" w:bidi="ar"/>
              </w:rPr>
              <w:t>技术应用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组织应对技术成果应用进行管理：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根据运维业务需求和业务场景，识别技术成果应用机会；</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制定技术成果应用方案并实施。</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记录技术应用的工作数据。</w:t>
            </w:r>
          </w:p>
        </w:tc>
        <w:tc>
          <w:tcPr>
            <w:tcW w:w="2307"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5A4799BB">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查看组织识别的技术成果应用机会记录，判断是否来源于运维业务需求和业务场景；</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抽查技术成果的应用方案、实施记录和工作数据，判断是否有包含应用场景描述、应用效果分析等内容，判断组织是否对技术成果应用进行了管理。</w:t>
            </w:r>
          </w:p>
        </w:tc>
        <w:tc>
          <w:tcPr>
            <w:tcW w:w="2374"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28E937D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《HFSJ-ITSS-0704-2025年度研发报告》</w:t>
            </w:r>
          </w:p>
        </w:tc>
        <w:tc>
          <w:tcPr>
            <w:tcW w:w="1120"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1525ED0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研发部经理：黄正宇</w:t>
            </w:r>
          </w:p>
        </w:tc>
        <w:tc>
          <w:tcPr>
            <w:tcW w:w="4366" w:type="dxa"/>
            <w:tcBorders>
              <w:top w:val="single" w:color="000000" w:sz="4" w:space="0"/>
              <w:left w:val="single" w:color="000000" w:sz="4" w:space="0"/>
              <w:bottom w:val="single" w:color="000000" w:sz="12" w:space="0"/>
              <w:right w:val="single" w:color="000000" w:sz="12" w:space="0"/>
            </w:tcBorders>
            <w:shd w:val="clear"/>
            <w:noWrap w:val="0"/>
            <w:tcMar>
              <w:top w:w="-1" w:type="dxa"/>
              <w:left w:w="-1" w:type="dxa"/>
              <w:bottom w:w="-1" w:type="dxa"/>
              <w:right w:w="-1" w:type="dxa"/>
            </w:tcMar>
            <w:vAlign w:val="center"/>
          </w:tcPr>
          <w:p w14:paraId="21E55511">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具有典型故障的解决方案。在服务知识中的各类典型故障或问题的解决方案，描述了各类问题的分析、排查流程、测试流程等方面内容；方案对当前运维服务项目中的故障排查、处理等具体指导意义。</w:t>
            </w:r>
          </w:p>
        </w:tc>
      </w:tr>
    </w:tbl>
    <w:p w14:paraId="571B75F0">
      <w:pPr>
        <w:rPr>
          <w:rFonts w:hint="default"/>
          <w:lang w:val="en-US" w:eastAsia="zh-CN"/>
        </w:rPr>
      </w:pPr>
      <w:r>
        <w:rPr>
          <w:rFonts w:hint="default"/>
          <w:lang w:val="en-US" w:eastAsia="zh-CN"/>
        </w:rPr>
        <w:br w:type="page"/>
      </w:r>
    </w:p>
    <w:p w14:paraId="3B7227D8">
      <w:pPr>
        <w:pStyle w:val="2"/>
        <w:bidi w:val="0"/>
        <w:rPr>
          <w:rFonts w:hint="eastAsia"/>
          <w:lang w:val="en-US" w:eastAsia="zh-CN"/>
        </w:rPr>
      </w:pPr>
      <w:r>
        <w:rPr>
          <w:rFonts w:hint="eastAsia"/>
          <w:lang w:val="en-US" w:eastAsia="zh-CN"/>
        </w:rPr>
        <w:t>过程管理</w:t>
      </w:r>
    </w:p>
    <w:tbl>
      <w:tblPr>
        <w:tblW w:w="141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9"/>
        <w:gridCol w:w="2401"/>
        <w:gridCol w:w="3075"/>
        <w:gridCol w:w="3033"/>
        <w:gridCol w:w="1068"/>
        <w:gridCol w:w="3508"/>
      </w:tblGrid>
      <w:tr w14:paraId="5577F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1089" w:type="dxa"/>
            <w:tcBorders>
              <w:top w:val="single" w:color="000000" w:sz="12" w:space="0"/>
              <w:left w:val="single" w:color="000000" w:sz="12" w:space="0"/>
              <w:bottom w:val="nil"/>
              <w:right w:val="nil"/>
            </w:tcBorders>
            <w:shd w:val="clear" w:color="auto" w:fill="C0C0C0"/>
            <w:noWrap w:val="0"/>
            <w:tcMar>
              <w:top w:w="-1" w:type="dxa"/>
              <w:left w:w="-1" w:type="dxa"/>
              <w:bottom w:w="-1" w:type="dxa"/>
              <w:right w:w="-1" w:type="dxa"/>
            </w:tcMar>
            <w:vAlign w:val="center"/>
          </w:tcPr>
          <w:p w14:paraId="32D342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能力域</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221E86C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能力项/标准要求</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76D9139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评估要点</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429791E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记录文件</w:t>
            </w:r>
          </w:p>
        </w:tc>
        <w:tc>
          <w:tcPr>
            <w:tcW w:w="1068" w:type="dxa"/>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31B28A1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访谈人</w:t>
            </w:r>
          </w:p>
        </w:tc>
        <w:tc>
          <w:tcPr>
            <w:tcW w:w="3507" w:type="dxa"/>
            <w:tcBorders>
              <w:top w:val="single" w:color="000000" w:sz="12" w:space="0"/>
              <w:left w:val="single" w:color="000000" w:sz="4" w:space="0"/>
              <w:bottom w:val="nil"/>
              <w:right w:val="single" w:color="000000" w:sz="12" w:space="0"/>
            </w:tcBorders>
            <w:shd w:val="clear" w:color="auto" w:fill="C0C0C0"/>
            <w:noWrap w:val="0"/>
            <w:tcMar>
              <w:top w:w="-1" w:type="dxa"/>
              <w:left w:w="-1" w:type="dxa"/>
              <w:bottom w:w="-1" w:type="dxa"/>
              <w:right w:w="-1" w:type="dxa"/>
            </w:tcMar>
            <w:vAlign w:val="center"/>
          </w:tcPr>
          <w:p w14:paraId="46A2297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审核记录</w:t>
            </w:r>
          </w:p>
        </w:tc>
      </w:tr>
      <w:tr w14:paraId="17CD3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89" w:type="dxa"/>
            <w:vMerge w:val="restart"/>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5B88C56A">
            <w:pPr>
              <w:keepNext w:val="0"/>
              <w:keepLines w:val="0"/>
              <w:widowControl/>
              <w:suppressLineNumbers w:val="0"/>
              <w:snapToGrid w:val="0"/>
              <w:ind w:left="0" w:leftChars="0" w:right="0" w:rightChars="0" w:firstLine="0" w:firstLineChars="0"/>
              <w:jc w:val="center"/>
              <w:textAlignment w:val="center"/>
              <w:rPr>
                <w:rFonts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7.4</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过程</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3F69CFE">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7.4.1 </w:t>
            </w:r>
            <w:r>
              <w:rPr>
                <w:rFonts w:hint="eastAsia" w:ascii="宋体" w:hAnsi="宋体" w:eastAsia="宋体" w:cs="宋体"/>
                <w:i w:val="0"/>
                <w:iCs w:val="0"/>
                <w:color w:val="000000"/>
                <w:kern w:val="0"/>
                <w:sz w:val="20"/>
                <w:szCs w:val="20"/>
                <w:u w:val="none"/>
                <w:bdr w:val="none" w:color="auto" w:sz="0" w:space="0"/>
                <w:lang w:val="en-US" w:eastAsia="zh-CN" w:bidi="ar"/>
              </w:rPr>
              <w:t>过程框架设计</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组织应建立并执行过程框架设计管理制度：</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建立过程框架设计管理制度；</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设计运维服务过程框架，保留相关设计记录。</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B796EBC">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查看服务过程框架设计管理相关制度文件，评估组织是否建立了服务过程框架设计过程；</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查看实施服务过程设计的相关记录及成果，评估过程框架是否能满足运维服务管理的要求，包括各过程的业务范围、组织范围、典型应用场景及过程间接口等；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查看过程各项指标达成情况，评估是否能满足管理要求。</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0C76CE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《HFSJ-ITSS-0601-运维服务过程框架管理制度》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《过程框架需求分析报告》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《HFSJ-ITSS-0304-2025年度运维服务能力指标完成情况》</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《HFSJ-ITSS-0304-2025年度运维服务能力指标完成情况》</w:t>
            </w:r>
          </w:p>
        </w:tc>
        <w:tc>
          <w:tcPr>
            <w:tcW w:w="1068"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797BA1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p>
        </w:tc>
        <w:tc>
          <w:tcPr>
            <w:tcW w:w="3507"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21E796B1">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1、公司建立了《HFSJ-ITSS-0601-运维服务过程框架管理制度》，定义了人员职责、需求识别与分析、需求确认、过程框架设计、过程框架评审、评价与改进、管理原则与关键指标等。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2、制定过程框架设计方案。明确过程之间密切的协作和关联关系，以指导各服务过程的建设和持续完善，提升公司服务管理水平。 运维管理部策划了公司运维服务过程框架，以指导各运维服务过程的建设和持续完善。</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3、抽查“过程框架设计需求分析报告”，明确项目服务过程中所涉及的运维服务管理需求，与相关方进行充分调研、反复沟通，确保服务内容覆盖完整并满足运维各相关方的需求。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4、项目过程框架设计需求分析报告内容记录齐全，并经过审批后提交用户。</w:t>
            </w:r>
          </w:p>
        </w:tc>
      </w:tr>
      <w:tr w14:paraId="14B09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089" w:type="dxa"/>
            <w:vMerge w:val="continue"/>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1B1D671F">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4CA7913">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7.4.2 </w:t>
            </w:r>
            <w:r>
              <w:rPr>
                <w:rFonts w:hint="eastAsia" w:ascii="宋体" w:hAnsi="宋体" w:eastAsia="宋体" w:cs="宋体"/>
                <w:i w:val="0"/>
                <w:iCs w:val="0"/>
                <w:color w:val="000000"/>
                <w:kern w:val="0"/>
                <w:sz w:val="20"/>
                <w:szCs w:val="20"/>
                <w:u w:val="none"/>
                <w:bdr w:val="none" w:color="auto" w:sz="0" w:space="0"/>
                <w:lang w:val="en-US" w:eastAsia="zh-CN" w:bidi="ar"/>
              </w:rPr>
              <w:t>服务级别管理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在基本级能力要求的基础上，还应满足：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建立与服务级别管理相一致的活动，包括识别、约定、监控、评估等；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定期识别服务级别需求，并进行调整；</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建立服务级别考核评估的管理机制。</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F6DABE1">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查看服务级别管理相关制度文件，判断是否包括对服务需求的识别和服务级别的约定、监控、评估等关键活动的要求，以及对服务级别达成情况的考核评估办法；</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抽查组织签订的服务级别协议及对其进行监控、考核、评估的相关记录，评估组织是否依据管理要求实施了关键活动；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评估组织是否周期性地识别并跟踪了需方的需求及其变化，针对需求变化，组织是否对服务目录、服务级别协议进行了必要的调整。</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5F4446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《HFSJ-ITSS-0602-运维服务级别管理制度》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《HFSJ-ITSS-0102-组织级运维服务目录》</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2025年国电电力湖南新能源系统运维项目建设项目</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《HFSJ-ITSS-0304-2025年度运维服务能力指标完成情况》</w:t>
            </w:r>
          </w:p>
        </w:tc>
        <w:tc>
          <w:tcPr>
            <w:tcW w:w="1068"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30EE94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p>
        </w:tc>
        <w:tc>
          <w:tcPr>
            <w:tcW w:w="3507"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1AABA55F">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1、公司建立了《HFSJ-ITSS-0602-运维服务级别管理制度》，制度包含了概述、术语、岗位与职责、工作流程、流程衡量、相关文件和记录等方面内容。</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2、与运维项目相关负责人沟通，能够较好掌握服务级别过程，并在项目中实施。</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检查《2025年国电电力湖南新能源系统运维项目建设项目》，合同中明确了项目的维护内容、服务承诺响应级别、故障处理响应要求等级别指标方面的要求，查见有“8小时内响应并在24小时内上门服务，并保证最迟在48小时内解决相应问题”等技术要求。</w:t>
            </w:r>
          </w:p>
        </w:tc>
      </w:tr>
      <w:tr w14:paraId="512FF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089" w:type="dxa"/>
            <w:vMerge w:val="continue"/>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3A1DB155">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A3E6638">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7.4.3 </w:t>
            </w:r>
            <w:r>
              <w:rPr>
                <w:rFonts w:hint="eastAsia" w:ascii="宋体" w:hAnsi="宋体" w:eastAsia="宋体" w:cs="宋体"/>
                <w:i w:val="0"/>
                <w:iCs w:val="0"/>
                <w:color w:val="000000"/>
                <w:kern w:val="0"/>
                <w:sz w:val="20"/>
                <w:szCs w:val="20"/>
                <w:u w:val="none"/>
                <w:bdr w:val="none" w:color="auto" w:sz="0" w:space="0"/>
                <w:lang w:val="en-US" w:eastAsia="zh-CN" w:bidi="ar"/>
              </w:rPr>
              <w:t>服务报告管理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在基本级能力要求的基础上，还应满足：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建立与服务报告管理相一致的活动，包括计划、编制、审批、提交、归档等；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制定服务报告模板；</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制定服务报告计划，按报告计划约定编制和提供服务报告。</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E2242A2">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查看服务报告管理相关制度文件，判断是否包括对服务报告的计划、编制、审批、提交、归档等关键活动的要求；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抽查服务报告模板，判断是否根据组织级和项目实际要求建立了不同类型的模板，评估模板内容是否充分；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抽查服务报告计划及服务报告，判断是否预先对服务报告的类别、接收对象、提交方式、频度和日期等进行了计划，评估是否按照制度要求及服务报告计划输出服务报告。</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E51C61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《HFSJ-ITSS-0603-运维服务报告管理制度》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《HFSJ-ITSS-0905-2025年国电电力湖南新能源系统运维项目-年度巡检报告》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《HFSJ-ITSS-0904-2025年国电电力湖南新能源系统运维项目-2025年度总结报告》</w:t>
            </w:r>
          </w:p>
        </w:tc>
        <w:tc>
          <w:tcPr>
            <w:tcW w:w="1068"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4EDCB3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p>
        </w:tc>
        <w:tc>
          <w:tcPr>
            <w:tcW w:w="3507"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07AB18D4">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1、《HFSJ-ITSS-0603-运维服务报告管理制度》包括：包含了概述、实用范围、角色与职责、工作流程、流程衡量、相关文件和记录等方面内容。</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检查2025年国电电力湖南新能源系统运维项目建设项目项目9月份服务报告、服务报告中包含了事件、问题、配置、变更和发布的管理情况、满意度情况、满意度分析等内容，服务报告中对于服务过程中存在的问题提出了改进措施，并进行了跟踪。</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3、抽查的服务报告包含了运维服务相关的基本要素。</w:t>
            </w:r>
          </w:p>
        </w:tc>
      </w:tr>
      <w:tr w14:paraId="5E176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089" w:type="dxa"/>
            <w:vMerge w:val="continue"/>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1143F378">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7E2C514">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7.4.4 </w:t>
            </w:r>
            <w:r>
              <w:rPr>
                <w:rFonts w:hint="eastAsia" w:ascii="宋体" w:hAnsi="宋体" w:eastAsia="宋体" w:cs="宋体"/>
                <w:i w:val="0"/>
                <w:iCs w:val="0"/>
                <w:color w:val="000000"/>
                <w:kern w:val="0"/>
                <w:sz w:val="20"/>
                <w:szCs w:val="20"/>
                <w:u w:val="none"/>
                <w:bdr w:val="none" w:color="auto" w:sz="0" w:space="0"/>
                <w:lang w:val="en-US" w:eastAsia="zh-CN" w:bidi="ar"/>
              </w:rPr>
              <w:t>事件管理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在基本级能力要求的基础上，还应满足：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建立与事件管理相一致的活动，包括事件识别、上报、受理、调查和诊断、解决、进展监控与跟踪、关闭等；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建立事件分类、分级、升级、回访机制；</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c)</w:t>
            </w:r>
            <w:r>
              <w:rPr>
                <w:rFonts w:hint="eastAsia" w:ascii="宋体" w:hAnsi="宋体" w:eastAsia="宋体" w:cs="宋体"/>
                <w:i w:val="0"/>
                <w:iCs w:val="0"/>
                <w:color w:val="000000"/>
                <w:kern w:val="0"/>
                <w:sz w:val="20"/>
                <w:szCs w:val="20"/>
                <w:u w:val="none"/>
                <w:bdr w:val="none" w:color="auto" w:sz="0" w:space="0"/>
                <w:lang w:val="en-US" w:eastAsia="zh-CN" w:bidi="ar"/>
              </w:rPr>
              <w:t>统计分析事件数据和解决情况，建立事件评估和改进机制；</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d)</w:t>
            </w:r>
            <w:r>
              <w:rPr>
                <w:rFonts w:hint="eastAsia" w:ascii="宋体" w:hAnsi="宋体" w:eastAsia="宋体" w:cs="宋体"/>
                <w:i w:val="0"/>
                <w:iCs w:val="0"/>
                <w:color w:val="000000"/>
                <w:kern w:val="0"/>
                <w:sz w:val="20"/>
                <w:szCs w:val="20"/>
                <w:u w:val="none"/>
                <w:bdr w:val="none" w:color="auto" w:sz="0" w:space="0"/>
                <w:lang w:val="en-US" w:eastAsia="zh-CN" w:bidi="ar"/>
              </w:rPr>
              <w:t>将未知原因、无法解决和共性的事件，与问题管理建立必要的关联；</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采用工具管理事件，保留记录。</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D83C26C">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事件管理相关制度文件，判断是否包括对事件的识别、上报、受理、调查和诊断、解决、进展监控与跟踪、关闭等关键活动的要求，以及对事件分类、分级、升级、回访、事件数据分析、过程改进及与问题过程关联的管理办法；</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查看组织采用的事件管理工具，评估工具对事件管理要求的满足程度；</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抽查事件记录，判断是否按照制度要求对事件进行了实施和管理，针对必要情况是否生成了问题；</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抽查针对事件及其解决情况的数据统计、分析记录，判断是否收集了与结果、效率及满意度相关的管理指标，是否根据指标达成情况进行必要的改进。</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CFD0E6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《HFSJ-ITSS-0604-运维服务事件管理制度》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事件记录</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2025年国电电力湖南新能源系统运维项目建设项目项目</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《HFSJ-ITSS-0306-2025年度运维服务能力管理报告》</w:t>
            </w:r>
          </w:p>
        </w:tc>
        <w:tc>
          <w:tcPr>
            <w:tcW w:w="1068"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ADD570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p>
        </w:tc>
        <w:tc>
          <w:tcPr>
            <w:tcW w:w="3507"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40D96603">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1、公司有《HFSJ-ITSS-0604-运维服务事件管理制度》，在运维平台上有事件记录管理，抽查了一个2025年12月的事件记录的响应时间和最终解决时间。</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公司运用了itop管理事件，抽查2025年国电电力湖南新能源系统运维项目建设项目项目的事件等，事件详单中包含了事件的类型、优先级、事件描述、故障分析及解决方案、开单时间、响应时间、解决时间等方面内容，记录较完整。</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检查2025年国电电力湖南新能源系统运维项目建设项目项目6月份服务报告，报告中分析了事件、问题、变更、发布、配置及满意度等，包含了事件管理回顾的情况，包括事件分类别统计、工作量统计等方面内容。</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4、项目经理对流程的理解、关键节点的描述、分级</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和分类的理解，理解基本到位。</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5、在人员绩效考核中将事件的关键指标与人员绩效考核进行了适当的挂钩。</w:t>
            </w:r>
          </w:p>
        </w:tc>
      </w:tr>
      <w:tr w14:paraId="3AA6D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89" w:type="dxa"/>
            <w:vMerge w:val="continue"/>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118FAB4E">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474C4D1">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7.4.5 </w:t>
            </w:r>
            <w:r>
              <w:rPr>
                <w:rFonts w:hint="eastAsia" w:ascii="宋体" w:hAnsi="宋体" w:eastAsia="宋体" w:cs="宋体"/>
                <w:i w:val="0"/>
                <w:iCs w:val="0"/>
                <w:color w:val="000000"/>
                <w:kern w:val="0"/>
                <w:sz w:val="20"/>
                <w:szCs w:val="20"/>
                <w:u w:val="none"/>
                <w:bdr w:val="none" w:color="auto" w:sz="0" w:space="0"/>
                <w:lang w:val="en-US" w:eastAsia="zh-CN" w:bidi="ar"/>
              </w:rPr>
              <w:t>问题管理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组织对问题进行管理，应满足：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建立与问题管理相一致的活动，包括问题识别、分类、调查和诊断、解决、关闭等；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建立问题分类、分级机制；</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记录问题，统计问题数据和解决情况，并与服务知识建立必要的关联。</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CC101FA">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查看问题管理相关制度文件，判断是否包括对问题的识别、分类、调查和诊断、解决、关闭等关键活动的要求，以及对问题分类、分级、与服务知识过程关联的管理办法；</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抽查问题记录以及针对问题及其解决情况的数据统计、分析记录，判断是否按照制度要求对问题进行了实施和管理，针对必要情况是否应用或生成了服务知识。</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75A54B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《HFSJ-ITSS-0605-运维服务问题管理制度》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itop的问题记录</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服务知识记录</w:t>
            </w:r>
          </w:p>
        </w:tc>
        <w:tc>
          <w:tcPr>
            <w:tcW w:w="1068"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3DFA77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p>
        </w:tc>
        <w:tc>
          <w:tcPr>
            <w:tcW w:w="3507"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0FABCD58">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1、公司建立了《HFSJ-ITSS-0605-运维服务问题管理制度》，制度包括了目的、过程定义、术语、问题类型、问题分类、与其他流程关系、流程、过程描述、相关记录、相关文档等方面内容。</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2、在itop上有问题记录管理，抽查了一个2025年6月的问题记录，是由事件升级而来的问题。</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3、抽查服务知识“PC服务器异常断电相关问题处置操作”等知识记录。</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4、定义了问题平均解决时间和问题解决率等指标，并对指标完成情况进行了跟踪。</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5、抽查问题解决率平均值为100%。</w:t>
            </w:r>
          </w:p>
        </w:tc>
      </w:tr>
      <w:tr w14:paraId="7CF1F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89" w:type="dxa"/>
            <w:vMerge w:val="continue"/>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437CFB84">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5C17D5E">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7.4.6 </w:t>
            </w:r>
            <w:r>
              <w:rPr>
                <w:rFonts w:hint="eastAsia" w:ascii="宋体" w:hAnsi="宋体" w:eastAsia="宋体" w:cs="宋体"/>
                <w:i w:val="0"/>
                <w:iCs w:val="0"/>
                <w:color w:val="000000"/>
                <w:kern w:val="0"/>
                <w:sz w:val="20"/>
                <w:szCs w:val="20"/>
                <w:u w:val="none"/>
                <w:bdr w:val="none" w:color="auto" w:sz="0" w:space="0"/>
                <w:lang w:val="en-US" w:eastAsia="zh-CN" w:bidi="ar"/>
              </w:rPr>
              <w:t>变更管理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组织对变更进行管理，应满足：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建立与变更管理相一致的活动，包括变更请求、评估、审核、实施、确认和回顾等；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明确变更范围，定义变更类型，建立变更分类、分级管理机制；</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c)</w:t>
            </w:r>
            <w:r>
              <w:rPr>
                <w:rFonts w:hint="eastAsia" w:ascii="宋体" w:hAnsi="宋体" w:eastAsia="宋体" w:cs="宋体"/>
                <w:i w:val="0"/>
                <w:iCs w:val="0"/>
                <w:color w:val="000000"/>
                <w:kern w:val="0"/>
                <w:sz w:val="20"/>
                <w:szCs w:val="20"/>
                <w:u w:val="none"/>
                <w:bdr w:val="none" w:color="auto" w:sz="0" w:space="0"/>
                <w:lang w:val="en-US" w:eastAsia="zh-CN" w:bidi="ar"/>
              </w:rPr>
              <w:t>明确不同变更类型的审批角色和职责；</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记录变更数据和变更实施情况。</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9177370">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变更管理相关制度文件，判断：是否包括对变更的请求、评估、审核、实施、确认和回顾等关键活动的要求；是否包括对变更范围、变更类型及分类、分级的管理办法；是否包括针对不同类型的变更是否明确了相关实施过程、审批角色及其职责；</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抽查变更记录，判断是否按照制度要求对变更进行了实施和管理。</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3D29FB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《HFSJ-ITSS-0606-运维服务变更管理制度》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itop的变更记录</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变更申请单</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变更报告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测试报告</w:t>
            </w:r>
          </w:p>
        </w:tc>
        <w:tc>
          <w:tcPr>
            <w:tcW w:w="1068"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16EC0D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p>
        </w:tc>
        <w:tc>
          <w:tcPr>
            <w:tcW w:w="3507"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6DA949D3">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、公司建立了《</w:t>
            </w:r>
            <w:r>
              <w:rPr>
                <w:rFonts w:hint="default" w:ascii="宋体" w:hAnsi="Arial" w:eastAsia="宋体" w:cs="Arial"/>
                <w:i w:val="0"/>
                <w:iCs w:val="0"/>
                <w:color w:val="000000"/>
                <w:kern w:val="0"/>
                <w:sz w:val="20"/>
                <w:szCs w:val="20"/>
                <w:u w:val="none"/>
                <w:bdr w:val="none" w:color="auto" w:sz="0" w:space="0"/>
                <w:lang w:val="en-US" w:eastAsia="zh-CN" w:bidi="ar"/>
              </w:rPr>
              <w:t>HFSJ-ITSS-0606-</w:t>
            </w:r>
            <w:r>
              <w:rPr>
                <w:rFonts w:hint="eastAsia" w:ascii="宋体" w:hAnsi="宋体" w:eastAsia="宋体" w:cs="宋体"/>
                <w:i w:val="0"/>
                <w:iCs w:val="0"/>
                <w:color w:val="000000"/>
                <w:kern w:val="0"/>
                <w:sz w:val="20"/>
                <w:szCs w:val="20"/>
                <w:u w:val="none"/>
                <w:bdr w:val="none" w:color="auto" w:sz="0" w:space="0"/>
                <w:lang w:val="en-US" w:eastAsia="zh-CN" w:bidi="ar"/>
              </w:rPr>
              <w:t>运维服务变更管理制度》，包含了目的、过程定义、角色职责、术语、参考文件、与其他流程关系、优先级定义、不同变更类型流程、参考文件和记录等方面内容。</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、抽查了变更编号为</w:t>
            </w:r>
            <w:r>
              <w:rPr>
                <w:rFonts w:hint="default" w:ascii="宋体" w:hAnsi="Arial" w:eastAsia="宋体" w:cs="Arial"/>
                <w:i w:val="0"/>
                <w:iCs w:val="0"/>
                <w:color w:val="000000"/>
                <w:kern w:val="0"/>
                <w:sz w:val="20"/>
                <w:szCs w:val="20"/>
                <w:u w:val="none"/>
                <w:bdr w:val="none" w:color="auto" w:sz="0" w:space="0"/>
                <w:lang w:val="en-US" w:eastAsia="zh-CN" w:bidi="ar"/>
              </w:rPr>
              <w:t>“20251128-bg-08”</w:t>
            </w:r>
            <w:r>
              <w:rPr>
                <w:rFonts w:hint="eastAsia" w:ascii="宋体" w:hAnsi="宋体" w:eastAsia="宋体" w:cs="宋体"/>
                <w:i w:val="0"/>
                <w:iCs w:val="0"/>
                <w:color w:val="000000"/>
                <w:kern w:val="0"/>
                <w:sz w:val="20"/>
                <w:szCs w:val="20"/>
                <w:u w:val="none"/>
                <w:bdr w:val="none" w:color="auto" w:sz="0" w:space="0"/>
                <w:lang w:val="en-US" w:eastAsia="zh-CN" w:bidi="ar"/>
              </w:rPr>
              <w:t>的，内容为数据同步程序变更，申请表和变更报告，包含了变更的类型、变更原因、内容、优先级、影响范围、风险规避方案、审批等方面内容。</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、变更管理过程的指标涵盖了年度服务能力管理指标体系对应的指标；</w:t>
            </w:r>
          </w:p>
        </w:tc>
      </w:tr>
      <w:tr w14:paraId="0F2BB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89" w:type="dxa"/>
            <w:vMerge w:val="continue"/>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50B3C05A">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F06BA92">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7.4.7 </w:t>
            </w:r>
            <w:r>
              <w:rPr>
                <w:rFonts w:hint="eastAsia" w:ascii="宋体" w:hAnsi="宋体" w:eastAsia="宋体" w:cs="宋体"/>
                <w:i w:val="0"/>
                <w:iCs w:val="0"/>
                <w:color w:val="000000"/>
                <w:kern w:val="0"/>
                <w:sz w:val="20"/>
                <w:szCs w:val="20"/>
                <w:u w:val="none"/>
                <w:bdr w:val="none" w:color="auto" w:sz="0" w:space="0"/>
                <w:lang w:val="en-US" w:eastAsia="zh-CN" w:bidi="ar"/>
              </w:rPr>
              <w:t>发布管理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组织对发布进行管理，应满足：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建立与发布管理相一致的活动，包括发布计划、测试、部署和验证等；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明确发布范围，定义发布类型；</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c)</w:t>
            </w:r>
            <w:r>
              <w:rPr>
                <w:rFonts w:hint="eastAsia" w:ascii="宋体" w:hAnsi="宋体" w:eastAsia="宋体" w:cs="宋体"/>
                <w:i w:val="0"/>
                <w:iCs w:val="0"/>
                <w:color w:val="000000"/>
                <w:kern w:val="0"/>
                <w:sz w:val="20"/>
                <w:szCs w:val="20"/>
                <w:u w:val="none"/>
                <w:bdr w:val="none" w:color="auto" w:sz="0" w:space="0"/>
                <w:lang w:val="en-US" w:eastAsia="zh-CN" w:bidi="ar"/>
              </w:rPr>
              <w:t>记录发布过程数据和发布情况，包括发布计划、测试方案、回退方案、发布记录、发布评估报告等；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d)</w:t>
            </w:r>
            <w:r>
              <w:rPr>
                <w:rFonts w:hint="eastAsia" w:ascii="宋体" w:hAnsi="宋体" w:eastAsia="宋体" w:cs="宋体"/>
                <w:i w:val="0"/>
                <w:iCs w:val="0"/>
                <w:color w:val="000000"/>
                <w:kern w:val="0"/>
                <w:sz w:val="20"/>
                <w:szCs w:val="20"/>
                <w:u w:val="none"/>
                <w:bdr w:val="none" w:color="auto" w:sz="0" w:space="0"/>
                <w:lang w:val="en-US" w:eastAsia="zh-CN" w:bidi="ar"/>
              </w:rPr>
              <w:t>建立与变更管理必要的关联。</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A3C01A3">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查看发布管理相关制度文件，判断是否包括对发布的计划、测试、部署和验证等关键活动的要求，以及对发布范围、发布类型、与变更过程关联的管理办法；</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抽查发布记录，包括发布计划、测试方案、回退方案、发布记录、发布评估报告等，判断是否按照制度要求对发布进行了实施和管理，是否与变更过程进行了必要的关联。</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77F291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《HFSJ-ITSS-0607-运维服务发布管理制度》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itop的发布记录</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发布申请表</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发布计划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方案发布报告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《HFSJ-ITSS-0306-2025年度运维服务能力管理报告》</w:t>
            </w:r>
          </w:p>
        </w:tc>
        <w:tc>
          <w:tcPr>
            <w:tcW w:w="1068"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D8B768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p>
        </w:tc>
        <w:tc>
          <w:tcPr>
            <w:tcW w:w="3507"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3799F984">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公司建立了《HFSJ-ITSS-0607-运维服务发布管理制度》，发布管理程序包含了目的、过程定义、角色职责、术语、与其他流程关系、流程（发布管理流程、发布过程描述、制定发布策略、审核、发布计划、回退计划、发布前测试、制定发布实施人、发布前的准备、执行发布、执行回退、跟新配置信息）、参考文件和记录等方面内容。</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2、抽查数据同步程序的变更记录对应的发布记录，建立了对应的发布的类型、发布内容、发布方案、测试方案、回退及风险等内容。</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3、发布流程节点完整，并按照流程进行了记录。</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4、制定了完整的发布计划、发布方案和回退方案。</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5、对发布关键指标进行了统计。</w:t>
            </w:r>
          </w:p>
        </w:tc>
      </w:tr>
      <w:tr w14:paraId="34E3F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89" w:type="dxa"/>
            <w:vMerge w:val="continue"/>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7509EA00">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0F7F9E8">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7.4.8 </w:t>
            </w:r>
            <w:r>
              <w:rPr>
                <w:rFonts w:hint="eastAsia" w:ascii="宋体" w:hAnsi="宋体" w:eastAsia="宋体" w:cs="宋体"/>
                <w:i w:val="0"/>
                <w:iCs w:val="0"/>
                <w:color w:val="000000"/>
                <w:kern w:val="0"/>
                <w:sz w:val="20"/>
                <w:szCs w:val="20"/>
                <w:u w:val="none"/>
                <w:bdr w:val="none" w:color="auto" w:sz="0" w:space="0"/>
                <w:lang w:val="en-US" w:eastAsia="zh-CN" w:bidi="ar"/>
              </w:rPr>
              <w:t>配置管理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组织对配置进行管理，应满足：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建立与配置管理相一致的活动，包括配置项的识别、收集、记录、更新和审核等；</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建立与业务相适应的配置管理数据库；</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建立配置管理的审核机制，保留配置管理活动的完整记录，确保配置数据的准确、完整、有效、可用和可追溯。</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27622CE">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查看配置管理相关制度文件，判断是否包括对配置项的识别、收集、记录、更新和审核等关键活动的要求，以及对配置管理数据库的建立、更新维护和审核的管理办法；</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查看配置管理数据库，抽查配置项记录、配置管理过程记录及配置审核记录，判断是否按照制度要求对配置管理过程进行了实施和管理。</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98C9BD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《HFSJ-ITSS-0608-运维服务配置管理制度》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itop的配置记录</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配置管理数据库审计报告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2025年国电电力湖南新能源系统运维项目建设项目项目</w:t>
            </w:r>
          </w:p>
        </w:tc>
        <w:tc>
          <w:tcPr>
            <w:tcW w:w="1068"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11304A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p>
        </w:tc>
        <w:tc>
          <w:tcPr>
            <w:tcW w:w="3507"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32FA444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1、公司建立了《HFSJ-ITSS-0608-运维服务配置管理制度》，包含了目的、过程定义、角色职责、术语、参考文件、与其他流程关系、流程、过程描述、相关记录等方面内容。</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2、抽查2025年国电电力湖南新能源系统运维项目建设项目项目“配置信息统计表”，包含了调度系统、应用软件版本等方面内容。</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3、抽查2025年国电电力湖南新能源系统运维项目建设项目项目“2025年6月份的CMDB配置审计报告”，对设备32项、人员8项、软件2个和文档6份进行审计，审计结果符合率100％。</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4、抽查2025年国电电力湖南新能源系统运维项目建设项目项目配置审计计划，包括审计时间、范围、取样、数据收集方法、步骤等内容。</w:t>
            </w:r>
          </w:p>
        </w:tc>
      </w:tr>
      <w:tr w14:paraId="6CE9F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89" w:type="dxa"/>
            <w:vMerge w:val="continue"/>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59476BF8">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9D4E0D5">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7.4.9 </w:t>
            </w:r>
            <w:r>
              <w:rPr>
                <w:rFonts w:hint="eastAsia" w:ascii="宋体" w:hAnsi="宋体" w:eastAsia="宋体" w:cs="宋体"/>
                <w:i w:val="0"/>
                <w:iCs w:val="0"/>
                <w:color w:val="000000"/>
                <w:kern w:val="0"/>
                <w:sz w:val="20"/>
                <w:szCs w:val="20"/>
                <w:u w:val="none"/>
                <w:bdr w:val="none" w:color="auto" w:sz="0" w:space="0"/>
                <w:lang w:val="en-US" w:eastAsia="zh-CN" w:bidi="ar"/>
              </w:rPr>
              <w:t>服务可用性和连续性管理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组织对服务可用性和连续性进行管理，应满足：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建立与服务可用性和连续性管理相一致的活动，包括识别分析可用性和连续性需求、定义指标、监控、检查和分析等；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制定服务可用性连续性计划，保留相关实施记录。</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9BFF9A9">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查看服务可用性和连续性管理相关制度文件，判断是否包括对识别分析可用性和连续性需求、定义指标、监控、检查和分析等关键活动的要求；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训、演练。</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C8B430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 xml:space="preserve">《HFSJ-ITSS-0609-运维服务服务可用性和连续性管理制度》 </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《HFSJ-ITSS-0612-2025年国电电力湖南新能源系统运维项目-服务可用性和连续性管理计划》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《HFSJ-ITSS-0613-2025年国电电力湖南新能源系统运维项目-一季度服务可用性和连续性管理报告》</w:t>
            </w:r>
          </w:p>
        </w:tc>
        <w:tc>
          <w:tcPr>
            <w:tcW w:w="1068"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CFB458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p>
        </w:tc>
        <w:tc>
          <w:tcPr>
            <w:tcW w:w="3507"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1936CB48">
            <w:pPr>
              <w:keepNext w:val="0"/>
              <w:keepLines w:val="0"/>
              <w:widowControl/>
              <w:suppressLineNumbers w:val="0"/>
              <w:snapToGrid w:val="0"/>
              <w:spacing w:after="200" w:afterAutospacing="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1、公司建立了《HFSJ-ITSS-0609-运维服务服务可用性和连续性管理制度》，定义了识别分析可用性和连续性需求分析、方案设计、方案评审、方案实施、监督改进、关键指标和与其他流程的关系等。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查看《可用性和连续性实施方案》，包含可用性和连续性实施目标、实施方式、必要的资源等信息，并由客户服务部经理组织市场人员、运维专家等相关人员对项目《可用性和连续性实施方案》进行评审，确保方案在业务、技术、成本等方面的合理和可行性。</w:t>
            </w:r>
          </w:p>
        </w:tc>
      </w:tr>
      <w:tr w14:paraId="6B351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89" w:type="dxa"/>
            <w:vMerge w:val="continue"/>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7F5F1463">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4A72161">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7.4.10 </w:t>
            </w:r>
            <w:r>
              <w:rPr>
                <w:rFonts w:hint="eastAsia" w:ascii="宋体" w:hAnsi="宋体" w:eastAsia="宋体" w:cs="宋体"/>
                <w:i w:val="0"/>
                <w:iCs w:val="0"/>
                <w:color w:val="000000"/>
                <w:kern w:val="0"/>
                <w:sz w:val="20"/>
                <w:szCs w:val="20"/>
                <w:u w:val="none"/>
                <w:bdr w:val="none" w:color="auto" w:sz="0" w:space="0"/>
                <w:lang w:val="en-US" w:eastAsia="zh-CN" w:bidi="ar"/>
              </w:rPr>
              <w:t>系统容量管理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组织对系统容量进行管理，应满足：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建立与系统容量管理相一致的活动，包括识别分析系统容量需求、规划实现、评估和调整等；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制定系统容量计划，保留相关监测和实施记录。</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805DFBD">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查看系统容量管理相关制度文件，判断是否包括对识别分析系统容量需求、规划实现、评估和调整等关键活动的要求；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抽查系统容量计划、容量监控和计划实施记录，判断是否按照制度要求及管理计划内容对系统容量管理过程进行了实施和管理，管理成果是否满足系统容量需求。</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91BC80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《HFSJ-ITSS-0610-运维服务容量管理制度》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2025年国电电力湖南新能源系统运维项目建设项目项目系统容量计划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硬盘与Redis容量规划</w:t>
            </w:r>
          </w:p>
        </w:tc>
        <w:tc>
          <w:tcPr>
            <w:tcW w:w="1068"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DEF5B5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p>
        </w:tc>
        <w:tc>
          <w:tcPr>
            <w:tcW w:w="3507"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1B4B284F">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1、公司建立了《HFSJ-ITSS-0610-运维服务容量管理制度》，定义了人员职责、容量规划、容量监控、容量分析和评估、容量优化、管理原则、关键指标、与其他流程关系等。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2、查看《2025年国电电力湖南新能源系统运维项目建设项目项目系统容量计划》包含资产接入标准、性能监控标准等方面。运维部协同运维专家从技术、成本、业务的角度对项目《硬盘与Redis容量规划》 进行评审，确保项目具备足够的容量。</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公司组织对客户业务需求、业务系统容量数据、项目资源容量数据、进行分析和评估，分析容量趋势和变化，识别容量风险。必要情况下采取临时措2025年国电电力湖南新能源系统运维项目建设项目项目容量扩容报告》提交用户。</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4、查看《硬盘与Redis容量规划》针对容量风险，制定相应的控制方式，并明确优化措施和实施计划。</w:t>
            </w:r>
          </w:p>
        </w:tc>
      </w:tr>
      <w:tr w14:paraId="2AC70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089" w:type="dxa"/>
            <w:vMerge w:val="continue"/>
            <w:tcBorders>
              <w:top w:val="single" w:color="000000" w:sz="4" w:space="0"/>
              <w:left w:val="single" w:color="000000" w:sz="12" w:space="0"/>
              <w:bottom w:val="single" w:color="000000" w:sz="4" w:space="0"/>
              <w:right w:val="single" w:color="000000" w:sz="4" w:space="0"/>
            </w:tcBorders>
            <w:shd w:val="clear"/>
            <w:noWrap w:val="0"/>
            <w:tcMar>
              <w:top w:w="-1" w:type="dxa"/>
              <w:left w:w="-1" w:type="dxa"/>
              <w:bottom w:w="-1" w:type="dxa"/>
              <w:right w:w="-1" w:type="dxa"/>
            </w:tcMar>
            <w:vAlign w:val="center"/>
          </w:tcPr>
          <w:p w14:paraId="5B08BC2F">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2401"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342CD3E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7.4.11信息安全管理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组织对信息安全进行管理，应满足：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建立与信息安全管理相一致的活动，包括管理计划、风险识别、风险评估和风险处置等；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按照信息安全管理要求开展信息安全管理活动，保留活动记录和信息安全事件记录。</w:t>
            </w:r>
          </w:p>
        </w:tc>
        <w:tc>
          <w:tcPr>
            <w:tcW w:w="3075"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6474F970">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查看信息安全管理相关制度文件，判断是否包括对风险管理计划、风险识别、风险评估和风险处置等关键活动的要求；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信息安全管理活动和信息安全事件记录，如信息安全风险评估记录、风险处置计划、应急预案、信息安全事件单，判断是否按照制度要求及管理计划内容对信息安全管理过程进行了实施和管理，管理成果是否满足信息安全管理目标。</w:t>
            </w:r>
          </w:p>
        </w:tc>
        <w:tc>
          <w:tcPr>
            <w:tcW w:w="3033"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7C57415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《HFSJ-ITSS-0611-运维服务信息安全管理制度》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《HFSJ-ITSS-0615-2025年国电电力湖南新能源系统运维项目-2025年信息安全管理计划.docx》</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HFSJ-ITSS-0616-2025年国电电力湖南新能源系统运维项目-2025年信息安全管理报告</w:t>
            </w:r>
          </w:p>
        </w:tc>
        <w:tc>
          <w:tcPr>
            <w:tcW w:w="1068"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522E0C7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p>
        </w:tc>
        <w:tc>
          <w:tcPr>
            <w:tcW w:w="3507" w:type="dxa"/>
            <w:tcBorders>
              <w:top w:val="single" w:color="000000" w:sz="4" w:space="0"/>
              <w:left w:val="single" w:color="000000" w:sz="4" w:space="0"/>
              <w:bottom w:val="single" w:color="000000" w:sz="12" w:space="0"/>
              <w:right w:val="single" w:color="000000" w:sz="12" w:space="0"/>
            </w:tcBorders>
            <w:shd w:val="clear"/>
            <w:noWrap w:val="0"/>
            <w:tcMar>
              <w:top w:w="-1" w:type="dxa"/>
              <w:left w:w="-1" w:type="dxa"/>
              <w:bottom w:w="-1" w:type="dxa"/>
              <w:right w:w="-1" w:type="dxa"/>
            </w:tcMar>
            <w:vAlign w:val="center"/>
          </w:tcPr>
          <w:p w14:paraId="63DC2D22">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1、检查了《HFSJ-ITSS-0611-运维服务信息安全管理制度》，程序包含了目的、范围、术语和定义、角色与职责、工作要求、指标要求、相关记录和相关文档等方面内容。</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2、2025年国电电力湖南新能源系统运维项目建设项目项目上会有相应的“信息安全计划”，并根据计划对信息安全工作进行检查。</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3、已建立了信息安全管理机制；在管理过程中，对信息资产进行了识别和风险评估，信息安全管理相关的记录较完整。</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4、运维人员遵循客户要求和公司《信息安全管理程序》，确保运维项目的信息安全管理。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5、截止目前未发生信息安全事件；为了确保不会有信息安全事件发生，公司不定期组织信息安全的内训和对用户培训。</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6、有信息安全的控制措施。</w:t>
            </w:r>
          </w:p>
        </w:tc>
      </w:tr>
    </w:tbl>
    <w:p w14:paraId="58E18750">
      <w:pPr>
        <w:rPr>
          <w:rFonts w:hint="default"/>
          <w:lang w:val="en-US" w:eastAsia="zh-CN"/>
        </w:rPr>
      </w:pPr>
      <w:r>
        <w:rPr>
          <w:rFonts w:hint="default"/>
          <w:lang w:val="en-US" w:eastAsia="zh-CN"/>
        </w:rPr>
        <w:br w:type="page"/>
      </w:r>
    </w:p>
    <w:p w14:paraId="1502F1AD">
      <w:pPr>
        <w:pStyle w:val="2"/>
        <w:bidi w:val="0"/>
        <w:rPr>
          <w:rFonts w:hint="eastAsia"/>
          <w:lang w:val="en-US" w:eastAsia="zh-CN"/>
        </w:rPr>
      </w:pPr>
      <w:r>
        <w:rPr>
          <w:rFonts w:hint="eastAsia"/>
          <w:lang w:val="en-US" w:eastAsia="zh-CN"/>
        </w:rPr>
        <w:t>交付和应急管理</w:t>
      </w:r>
    </w:p>
    <w:tbl>
      <w:tblPr>
        <w:tblW w:w="141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775"/>
        <w:gridCol w:w="576"/>
        <w:gridCol w:w="2395"/>
        <w:gridCol w:w="2258"/>
        <w:gridCol w:w="3226"/>
        <w:gridCol w:w="1388"/>
        <w:gridCol w:w="3556"/>
      </w:tblGrid>
      <w:tr w14:paraId="371E0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775" w:type="dxa"/>
            <w:tcBorders>
              <w:top w:val="single" w:color="000000" w:sz="12" w:space="0"/>
              <w:left w:val="single" w:color="000000" w:sz="12" w:space="0"/>
              <w:bottom w:val="nil"/>
              <w:right w:val="nil"/>
            </w:tcBorders>
            <w:shd w:val="clear" w:color="auto" w:fill="C0C0C0"/>
            <w:noWrap w:val="0"/>
            <w:tcMar>
              <w:top w:w="-1" w:type="dxa"/>
              <w:left w:w="-1" w:type="dxa"/>
              <w:bottom w:w="-1" w:type="dxa"/>
              <w:right w:w="-1" w:type="dxa"/>
            </w:tcMar>
            <w:vAlign w:val="center"/>
          </w:tcPr>
          <w:p w14:paraId="33E0223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0"/>
                <w:u w:val="none"/>
              </w:rPr>
            </w:pPr>
            <w:r>
              <w:rPr>
                <w:rFonts w:hint="eastAsia" w:ascii="宋体" w:hAnsi="宋体" w:eastAsia="宋体" w:cs="宋体"/>
                <w:b/>
                <w:bCs/>
                <w:i w:val="0"/>
                <w:iCs w:val="0"/>
                <w:color w:val="000000"/>
                <w:kern w:val="0"/>
                <w:sz w:val="21"/>
                <w:szCs w:val="20"/>
                <w:u w:val="none"/>
                <w:bdr w:val="none" w:color="auto" w:sz="0" w:space="0"/>
                <w:lang w:val="en-US" w:eastAsia="zh-CN" w:bidi="ar"/>
              </w:rPr>
              <w:t>序号</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200A6C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能力域</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32B25E2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能力项/标准要求</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702FEDF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评估要点</w:t>
            </w:r>
          </w:p>
        </w:tc>
        <w:tc>
          <w:tcPr>
            <w:tcW w:w="3226" w:type="dxa"/>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518C04D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记录文件</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1FE646C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访谈人</w:t>
            </w:r>
          </w:p>
        </w:tc>
        <w:tc>
          <w:tcPr>
            <w:tcW w:w="3556" w:type="dxa"/>
            <w:tcBorders>
              <w:top w:val="single" w:color="000000" w:sz="12" w:space="0"/>
              <w:left w:val="single" w:color="000000" w:sz="4" w:space="0"/>
              <w:bottom w:val="nil"/>
              <w:right w:val="single" w:color="000000" w:sz="12" w:space="0"/>
            </w:tcBorders>
            <w:shd w:val="clear" w:color="auto" w:fill="C0C0C0"/>
            <w:noWrap w:val="0"/>
            <w:tcMar>
              <w:top w:w="-1" w:type="dxa"/>
              <w:left w:w="-1" w:type="dxa"/>
              <w:bottom w:w="-1" w:type="dxa"/>
              <w:right w:w="-1" w:type="dxa"/>
            </w:tcMar>
            <w:vAlign w:val="center"/>
          </w:tcPr>
          <w:p w14:paraId="4FA0D70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审核记录</w:t>
            </w:r>
          </w:p>
        </w:tc>
      </w:tr>
      <w:tr w14:paraId="274D7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75"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14209C9F">
            <w:pPr>
              <w:keepNext w:val="0"/>
              <w:keepLines w:val="0"/>
              <w:widowControl/>
              <w:suppressLineNumbers w:val="0"/>
              <w:snapToGrid w:val="0"/>
              <w:ind w:left="0" w:leftChars="0" w:right="0" w:rightChars="0" w:firstLine="0" w:firstLineChars="0"/>
              <w:jc w:val="center"/>
              <w:textAlignment w:val="center"/>
              <w:rPr>
                <w:rFonts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p>
        </w:tc>
        <w:tc>
          <w:tcPr>
            <w:tcW w:w="0" w:type="auto"/>
            <w:vMerge w:val="restart"/>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AA39DD5">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7.7</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交付</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D23F9AE">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7.7.1 </w:t>
            </w:r>
            <w:r>
              <w:rPr>
                <w:rFonts w:hint="eastAsia" w:ascii="宋体" w:hAnsi="宋体" w:eastAsia="宋体" w:cs="宋体"/>
                <w:i w:val="0"/>
                <w:iCs w:val="0"/>
                <w:color w:val="000000"/>
                <w:kern w:val="0"/>
                <w:sz w:val="20"/>
                <w:szCs w:val="20"/>
                <w:u w:val="none"/>
                <w:bdr w:val="none" w:color="auto" w:sz="0" w:space="0"/>
                <w:lang w:val="en-US" w:eastAsia="zh-CN" w:bidi="ar"/>
              </w:rPr>
              <w:t>交付策划</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在基本级能力要求的基础上，还应满足：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根据项目服务级别协议要求，策划交付方案；</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形成交付策划报告或项目交付方案。形成交付策划报告或项目交付方案。</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2D08CC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抽查交付方案或交付策划报告，判断能否覆盖对应项目的合同要求或服务级别协议。</w:t>
            </w:r>
          </w:p>
        </w:tc>
        <w:tc>
          <w:tcPr>
            <w:tcW w:w="3226"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7A8A46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《HFSJ-ITSS-0102-组织级运维服务目录》</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《HFSJ-ITSS-0902-2025年国电电力湖南新能源系统运维项目-2025年度实施方案》</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《HFSJ-ITSS-0901-运维服务交付管理制度》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《HFSJ-ITSS-0305-2025年度运维服务能力管理计划》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《HFSJ-ITSS-0308-2026年度运维服务能力管理计划》</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D0A1F2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研发部经理：黄正宇</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产品质量部经理：熊振翔</w:t>
            </w:r>
          </w:p>
        </w:tc>
        <w:tc>
          <w:tcPr>
            <w:tcW w:w="3556"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12F4147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1、经检查，公司建有《HFSJ-ITSS-0102-组织级运维服务目录》，明确了服务内容及定价策略,2025年1-12月公司与客户共签订合同5份，合同内容均包含服务级别协议。</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公司针对服务目录中分类的不同服务内容，分别制定了运维服务合同模板及服务级别协议模板，公</w:t>
            </w:r>
            <w:bookmarkStart w:id="0" w:name="_GoBack"/>
            <w:bookmarkEnd w:id="0"/>
            <w:r>
              <w:rPr>
                <w:rFonts w:hint="eastAsia" w:ascii="宋体" w:hAnsi="宋体" w:eastAsia="宋体" w:cs="宋体"/>
                <w:i w:val="0"/>
                <w:iCs w:val="0"/>
                <w:color w:val="000000"/>
                <w:kern w:val="0"/>
                <w:sz w:val="20"/>
                <w:szCs w:val="20"/>
                <w:u w:val="none"/>
                <w:bdr w:val="none" w:color="auto" w:sz="0" w:space="0"/>
                <w:lang w:val="en-US" w:eastAsia="zh-CN" w:bidi="ar"/>
              </w:rPr>
              <w:t>司规定SLA达成率100%；服务级别协议涵盖服务目录比率100%。</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2、查看《HFSJ-ITSS-0901-运维服务交付管理制度》内容包含：交付管理、交付内容、交付方式、交付成果等，</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3、查看《HFSJ-ITSS-0902-2025年国电电力湖南新能源系统运维项目-2025年度实施方案》，对项目交付内容、人员配置等内容做了策划；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4、查看《HFSJ-ITSS-0305-2025年度运维服务能力管理计划》中对资源的准备和使用情况做了规范要求。并对检查计划、服务交付实施改进措施和计划。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5、查看风险评估计划，制定安全管理机制和风险规避计划，建立风险清单，制定和实施风险应对计划。</w:t>
            </w:r>
          </w:p>
        </w:tc>
      </w:tr>
      <w:tr w14:paraId="44026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75"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61F62A2A">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2</w:t>
            </w:r>
          </w:p>
        </w:tc>
        <w:tc>
          <w:tcPr>
            <w:tcW w:w="0" w:type="auto"/>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39CC853">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011B13A">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7.7.2 </w:t>
            </w:r>
            <w:r>
              <w:rPr>
                <w:rFonts w:hint="eastAsia" w:ascii="宋体" w:hAnsi="宋体" w:eastAsia="宋体" w:cs="宋体"/>
                <w:i w:val="0"/>
                <w:iCs w:val="0"/>
                <w:color w:val="000000"/>
                <w:kern w:val="0"/>
                <w:sz w:val="20"/>
                <w:szCs w:val="20"/>
                <w:u w:val="none"/>
                <w:bdr w:val="none" w:color="auto" w:sz="0" w:space="0"/>
                <w:lang w:val="en-US" w:eastAsia="zh-CN" w:bidi="ar"/>
              </w:rPr>
              <w:t>交付实施</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在基本级能力要求的基础上，还应满足：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根据项目交付方案的要求，完成交付实施工作；</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形成交付实施工作报告。</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EE1EDD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查看该项目的实施记录，判断是否满足交付方案的要求。</w:t>
            </w:r>
          </w:p>
        </w:tc>
        <w:tc>
          <w:tcPr>
            <w:tcW w:w="3226"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B5A558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项目运维故障处理报告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《HFSJ-ITSS-0904-2025年国电电力湖南新能源系统运维项目-2025年度总结报告》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《HFSJ-ITSS-0901-运维服务交付管理制度》</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96FBF0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研发部经理：黄正宇</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产品质量部经理：熊振翔</w:t>
            </w:r>
          </w:p>
        </w:tc>
        <w:tc>
          <w:tcPr>
            <w:tcW w:w="3556"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75EE86D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1、有项目运维故障处理报告，对本年度的运维服务做了相关计划安排，并按计划实施。建立了与顾客相关过程控制程序，为与用户沟通建立了有效机制。有运维服务和合同5份，交用户的服务报告</w:t>
            </w:r>
            <w:r>
              <w:rPr>
                <w:rFonts w:hint="default" w:ascii="宋体" w:hAnsi="Arial" w:eastAsia="宋体" w:cs="Arial"/>
                <w:i w:val="0"/>
                <w:iCs w:val="0"/>
                <w:color w:val="000000"/>
                <w:kern w:val="0"/>
                <w:sz w:val="20"/>
                <w:szCs w:val="20"/>
                <w:u w:val="none"/>
                <w:bdr w:val="none" w:color="auto" w:sz="0" w:space="0"/>
                <w:lang w:val="en-US" w:eastAsia="zh-CN" w:bidi="ar"/>
              </w:rPr>
              <w:t>40</w:t>
            </w:r>
            <w:r>
              <w:rPr>
                <w:rFonts w:hint="eastAsia" w:ascii="宋体" w:hAnsi="宋体" w:eastAsia="宋体" w:cs="宋体"/>
                <w:i w:val="0"/>
                <w:iCs w:val="0"/>
                <w:color w:val="000000"/>
                <w:kern w:val="0"/>
                <w:sz w:val="20"/>
                <w:szCs w:val="20"/>
                <w:u w:val="none"/>
                <w:bdr w:val="none" w:color="auto" w:sz="0" w:space="0"/>
                <w:lang w:val="en-US" w:eastAsia="zh-CN" w:bidi="ar"/>
              </w:rPr>
              <w:t>份等。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、抽查服务派工单</w:t>
            </w:r>
            <w:r>
              <w:rPr>
                <w:rFonts w:hint="default" w:ascii="宋体" w:hAnsi="Arial" w:eastAsia="宋体" w:cs="Arial"/>
                <w:i w:val="0"/>
                <w:iCs w:val="0"/>
                <w:color w:val="000000"/>
                <w:kern w:val="0"/>
                <w:sz w:val="20"/>
                <w:szCs w:val="20"/>
                <w:u w:val="none"/>
                <w:bdr w:val="none" w:color="auto" w:sz="0" w:space="0"/>
                <w:lang w:val="en-US" w:eastAsia="zh-CN" w:bidi="ar"/>
              </w:rPr>
              <w:t>7</w:t>
            </w:r>
            <w:r>
              <w:rPr>
                <w:rFonts w:hint="eastAsia" w:ascii="宋体" w:hAnsi="宋体" w:eastAsia="宋体" w:cs="宋体"/>
                <w:i w:val="0"/>
                <w:iCs w:val="0"/>
                <w:color w:val="000000"/>
                <w:kern w:val="0"/>
                <w:sz w:val="20"/>
                <w:szCs w:val="20"/>
                <w:u w:val="none"/>
                <w:bdr w:val="none" w:color="auto" w:sz="0" w:space="0"/>
                <w:lang w:val="en-US" w:eastAsia="zh-CN" w:bidi="ar"/>
              </w:rPr>
              <w:t>份；客户资产登记</w:t>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套；备件备品领用记录</w:t>
            </w: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份；信息发布及知识成果归档</w:t>
            </w:r>
            <w:r>
              <w:rPr>
                <w:rFonts w:hint="default" w:ascii="宋体" w:hAnsi="Arial" w:eastAsia="宋体" w:cs="Arial"/>
                <w:i w:val="0"/>
                <w:iCs w:val="0"/>
                <w:color w:val="000000"/>
                <w:kern w:val="0"/>
                <w:sz w:val="20"/>
                <w:szCs w:val="20"/>
                <w:u w:val="none"/>
                <w:bdr w:val="none" w:color="auto" w:sz="0" w:space="0"/>
                <w:lang w:val="en-US" w:eastAsia="zh-CN" w:bidi="ar"/>
              </w:rPr>
              <w:t>10</w:t>
            </w:r>
            <w:r>
              <w:rPr>
                <w:rFonts w:hint="eastAsia" w:ascii="宋体" w:hAnsi="宋体" w:eastAsia="宋体" w:cs="宋体"/>
                <w:i w:val="0"/>
                <w:iCs w:val="0"/>
                <w:color w:val="000000"/>
                <w:kern w:val="0"/>
                <w:sz w:val="20"/>
                <w:szCs w:val="20"/>
                <w:u w:val="none"/>
                <w:bdr w:val="none" w:color="auto" w:sz="0" w:space="0"/>
                <w:lang w:val="en-US" w:eastAsia="zh-CN" w:bidi="ar"/>
              </w:rPr>
              <w:t>条记录信息。服务台专员对按服务类别做了登记和分析。</w:t>
            </w:r>
          </w:p>
        </w:tc>
      </w:tr>
      <w:tr w14:paraId="7F728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75"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0BFCB81C">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3</w:t>
            </w:r>
          </w:p>
        </w:tc>
        <w:tc>
          <w:tcPr>
            <w:tcW w:w="0" w:type="auto"/>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2942F7D">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8017D93">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7.7.3 </w:t>
            </w:r>
            <w:r>
              <w:rPr>
                <w:rFonts w:hint="eastAsia" w:ascii="宋体" w:hAnsi="宋体" w:eastAsia="宋体" w:cs="宋体"/>
                <w:i w:val="0"/>
                <w:iCs w:val="0"/>
                <w:color w:val="000000"/>
                <w:kern w:val="0"/>
                <w:sz w:val="20"/>
                <w:szCs w:val="20"/>
                <w:u w:val="none"/>
                <w:bdr w:val="none" w:color="auto" w:sz="0" w:space="0"/>
                <w:lang w:val="en-US" w:eastAsia="zh-CN" w:bidi="ar"/>
              </w:rPr>
              <w:t>交付检查</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在基本级能力要求的基础上，还应满足：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根据项目交付方案的要求，进行交付检查，包括服务级别协议达成和客户满意度等情况；</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发现交付实施过程中存在的问题；</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形成交付检查工作报告。</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D7216B7">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查看交付检查活动产生的记录或报告，判断是否符合项目交付的要求，判断内容是否包括服务级别达成情况、用户满意度记录以及发现的问题等。</w:t>
            </w:r>
            <w:r>
              <w:rPr>
                <w:rFonts w:hint="default" w:ascii="宋体" w:hAnsi="Arial" w:eastAsia="宋体" w:cs="Arial"/>
                <w:i w:val="0"/>
                <w:iCs w:val="0"/>
                <w:color w:val="000000"/>
                <w:kern w:val="0"/>
                <w:sz w:val="20"/>
                <w:szCs w:val="20"/>
                <w:u w:val="none"/>
                <w:bdr w:val="none" w:color="auto" w:sz="0" w:space="0"/>
                <w:lang w:val="en-US" w:eastAsia="zh-CN" w:bidi="ar"/>
              </w:rPr>
              <w:t xml:space="preserve"> </w:t>
            </w:r>
          </w:p>
        </w:tc>
        <w:tc>
          <w:tcPr>
            <w:tcW w:w="3226"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0F92D1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《HFSJ-ITSS-0404-运维服务质量管理制度》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《HFSJ-ITSS-0417-2025年度质量管理计划》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《HFSJ-ITSS-0419-2026年度质量管理计划》</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ED12F0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研发部经理：黄正宇</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产品质量部经理：熊振翔</w:t>
            </w:r>
          </w:p>
        </w:tc>
        <w:tc>
          <w:tcPr>
            <w:tcW w:w="3556"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4049E1D2">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1、经检查，《HFSJ-ITSS-0417-2025年度质量管理计划》</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《HFSJ-ITSS-0419-2026年度质量管理计划》等，2025年1-12月公司与客户共签订合同5份，合同内容均包含服务级别协议。交付检查报告42份、用户满意度报告抽样5份。</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 xml:space="preserve">    SLA达成率100%；服务级别协议涵盖服务目录比率100%。</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2、2025年1-12月针对交付检查未发现不达标情况。</w:t>
            </w:r>
          </w:p>
        </w:tc>
      </w:tr>
      <w:tr w14:paraId="14C59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75"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418D139C">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4</w:t>
            </w:r>
          </w:p>
        </w:tc>
        <w:tc>
          <w:tcPr>
            <w:tcW w:w="0" w:type="auto"/>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8A4E9D7">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A59DB77">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7.7.4 </w:t>
            </w:r>
            <w:r>
              <w:rPr>
                <w:rFonts w:hint="eastAsia" w:ascii="宋体" w:hAnsi="宋体" w:eastAsia="宋体" w:cs="宋体"/>
                <w:i w:val="0"/>
                <w:iCs w:val="0"/>
                <w:color w:val="000000"/>
                <w:kern w:val="0"/>
                <w:sz w:val="20"/>
                <w:szCs w:val="20"/>
                <w:u w:val="none"/>
                <w:bdr w:val="none" w:color="auto" w:sz="0" w:space="0"/>
                <w:lang w:val="en-US" w:eastAsia="zh-CN" w:bidi="ar"/>
              </w:rPr>
              <w:t>交付改进</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在基本级能力要求的基础上，还应满足：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根据项目交付方案的要求，开展交付改进工作，对交付中存在的问题提出改进建议；</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跟踪改进过程，评估改进效果；</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形成交付改进工作报告。</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A24CBE7">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查看交付改进工作报告，判断是否符合项目交付方案的要求，判断内容是否包含改进工作的跟踪和效果评价。</w:t>
            </w:r>
          </w:p>
        </w:tc>
        <w:tc>
          <w:tcPr>
            <w:tcW w:w="3226"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86D9DB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内审、管理评审记录、安全风险分析报告、安全隐患处置结果反馈表</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130965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研发部经理：黄正宇</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产品质量部经理：熊振翔</w:t>
            </w:r>
          </w:p>
        </w:tc>
        <w:tc>
          <w:tcPr>
            <w:tcW w:w="3556"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6C9CC91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1、经查</w:t>
            </w:r>
            <w:r>
              <w:rPr>
                <w:rFonts w:hint="default" w:ascii="宋体" w:hAnsi="Arial" w:eastAsia="宋体" w:cs="Arial"/>
                <w:i w:val="0"/>
                <w:iCs w:val="0"/>
                <w:color w:val="000000"/>
                <w:kern w:val="0"/>
                <w:sz w:val="20"/>
                <w:szCs w:val="20"/>
                <w:u w:val="none"/>
                <w:bdr w:val="none" w:color="auto" w:sz="0" w:space="0"/>
                <w:lang w:val="en-US" w:eastAsia="zh-CN" w:bidi="ar"/>
              </w:rPr>
              <w:t>2025</w:t>
            </w:r>
            <w:r>
              <w:rPr>
                <w:rFonts w:hint="eastAsia" w:ascii="宋体" w:hAnsi="宋体" w:eastAsia="宋体" w:cs="宋体"/>
                <w:i w:val="0"/>
                <w:iCs w:val="0"/>
                <w:color w:val="000000"/>
                <w:kern w:val="0"/>
                <w:sz w:val="20"/>
                <w:szCs w:val="20"/>
                <w:u w:val="none"/>
                <w:bdr w:val="none" w:color="auto" w:sz="0" w:space="0"/>
                <w:lang w:val="en-US" w:eastAsia="zh-CN" w:bidi="ar"/>
              </w:rPr>
              <w:t>年质量报告及内审总结，</w:t>
            </w:r>
            <w:r>
              <w:rPr>
                <w:rFonts w:hint="default" w:ascii="宋体" w:hAnsi="Arial" w:eastAsia="宋体" w:cs="Arial"/>
                <w:i w:val="0"/>
                <w:iCs w:val="0"/>
                <w:color w:val="000000"/>
                <w:kern w:val="0"/>
                <w:sz w:val="20"/>
                <w:szCs w:val="20"/>
                <w:u w:val="none"/>
                <w:bdr w:val="none" w:color="auto" w:sz="0" w:space="0"/>
                <w:lang w:val="en-US" w:eastAsia="zh-CN" w:bidi="ar"/>
              </w:rPr>
              <w:t>2025</w:t>
            </w:r>
            <w:r>
              <w:rPr>
                <w:rFonts w:hint="eastAsia" w:ascii="宋体" w:hAnsi="宋体" w:eastAsia="宋体" w:cs="宋体"/>
                <w:i w:val="0"/>
                <w:iCs w:val="0"/>
                <w:color w:val="000000"/>
                <w:kern w:val="0"/>
                <w:sz w:val="20"/>
                <w:szCs w:val="20"/>
                <w:u w:val="none"/>
                <w:bdr w:val="none" w:color="auto" w:sz="0" w:space="0"/>
                <w:lang w:val="en-US" w:eastAsia="zh-CN" w:bidi="ar"/>
              </w:rPr>
              <w:t>年运维服务项目均是一次性验收通过，服务交付内容均经用户代表签字确认，用户在项目交付签收单中共提议4点改进意见；项目经理组织项目组成员针对用户提出的改进项上会进行了讨论，并制定了改进措施，由项目质量管理专员进行跟踪、验证、关闭。</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w:t>
            </w:r>
            <w:r>
              <w:rPr>
                <w:rFonts w:hint="default" w:ascii="宋体" w:hAnsi="Arial" w:eastAsia="宋体" w:cs="Arial"/>
                <w:i w:val="0"/>
                <w:iCs w:val="0"/>
                <w:color w:val="000000"/>
                <w:kern w:val="0"/>
                <w:sz w:val="20"/>
                <w:szCs w:val="20"/>
                <w:u w:val="none"/>
                <w:bdr w:val="none" w:color="auto" w:sz="0" w:space="0"/>
                <w:lang w:val="en-US" w:eastAsia="zh-CN" w:bidi="ar"/>
              </w:rPr>
              <w:t>2025</w:t>
            </w:r>
            <w:r>
              <w:rPr>
                <w:rFonts w:hint="eastAsia" w:ascii="宋体" w:hAnsi="宋体" w:eastAsia="宋体" w:cs="宋体"/>
                <w:i w:val="0"/>
                <w:iCs w:val="0"/>
                <w:color w:val="000000"/>
                <w:kern w:val="0"/>
                <w:sz w:val="20"/>
                <w:szCs w:val="20"/>
                <w:u w:val="none"/>
                <w:bdr w:val="none" w:color="auto" w:sz="0" w:space="0"/>
                <w:lang w:val="en-US" w:eastAsia="zh-CN" w:bidi="ar"/>
              </w:rPr>
              <w:t>年签订运维服务合同的2个项目均制定了安全风险评估报告。</w:t>
            </w:r>
          </w:p>
        </w:tc>
      </w:tr>
      <w:tr w14:paraId="28F12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75"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7935660B">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5</w:t>
            </w:r>
          </w:p>
        </w:tc>
        <w:tc>
          <w:tcPr>
            <w:tcW w:w="0" w:type="auto"/>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F65283F">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48D4E31">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7.7.5 </w:t>
            </w:r>
            <w:r>
              <w:rPr>
                <w:rFonts w:hint="eastAsia" w:ascii="宋体" w:hAnsi="宋体" w:eastAsia="宋体" w:cs="宋体"/>
                <w:i w:val="0"/>
                <w:iCs w:val="0"/>
                <w:color w:val="000000"/>
                <w:kern w:val="0"/>
                <w:sz w:val="20"/>
                <w:szCs w:val="20"/>
                <w:u w:val="none"/>
                <w:bdr w:val="none" w:color="auto" w:sz="0" w:space="0"/>
                <w:lang w:val="en-US" w:eastAsia="zh-CN" w:bidi="ar"/>
              </w:rPr>
              <w:t>例行操作</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组织具备例行操作能力组织开展例行操作工作，应满足：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根据项目交付方案的要求，制定例行操作的工作计划，包括交付目标、内容、范围、周期和人员安排等；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按照项目服务级别协议提供客户所需例行操作服务；</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记录例行操作服务工作，形成例行操作的工作报告或交付成果。</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2C1A5C1">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查看例行操作计划，判断是否符合项目交付方案的要求，判断内容是否包含了目标、内容、范围、周期和人员安排等内容，判断是否支撑项目的合同要求或服务级别协议；</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抽查例行操作工作记录，评估记录是否完整清晰。</w:t>
            </w:r>
          </w:p>
        </w:tc>
        <w:tc>
          <w:tcPr>
            <w:tcW w:w="3226"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4FCECE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《HFSJ-ITSS-0901-运维服务交付管理制度》</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519048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研发部经理：黄正宇</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产品质量部经理：熊振翔</w:t>
            </w:r>
          </w:p>
        </w:tc>
        <w:tc>
          <w:tcPr>
            <w:tcW w:w="3556"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7B5A8053">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检查《HFSJ-ITSS-0901-运维服务交付管理制度》中的例行操作相关内容，内容包含：例行操作的交付目标、内容、范围、周期和人员安排；每个运维项目监理了配套的指导手册，内容包括：任务清单、各项任务的操作步骤及说明、运行状态是否正常的判定标准、运行状态信息的记录要求、异常状况处置流程（角色定义、处置方法、流转过程、结束要求）、报告模版。</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2、检查运维服务工具中项目的过程文档均在工具中归档备查。</w:t>
            </w:r>
          </w:p>
        </w:tc>
      </w:tr>
      <w:tr w14:paraId="708A3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75"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1100C8D9">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6</w:t>
            </w:r>
          </w:p>
        </w:tc>
        <w:tc>
          <w:tcPr>
            <w:tcW w:w="0" w:type="auto"/>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714D771">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1AE1F7D">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7.7.6 </w:t>
            </w:r>
            <w:r>
              <w:rPr>
                <w:rFonts w:hint="eastAsia" w:ascii="宋体" w:hAnsi="宋体" w:eastAsia="宋体" w:cs="宋体"/>
                <w:i w:val="0"/>
                <w:iCs w:val="0"/>
                <w:color w:val="000000"/>
                <w:kern w:val="0"/>
                <w:sz w:val="20"/>
                <w:szCs w:val="20"/>
                <w:u w:val="none"/>
                <w:bdr w:val="none" w:color="auto" w:sz="0" w:space="0"/>
                <w:lang w:val="en-US" w:eastAsia="zh-CN" w:bidi="ar"/>
              </w:rPr>
              <w:t>响应支持</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在基本级能力要求的基础上，还应满足：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根据项目交付方案的要求，确定响应支持的受理渠道及要求；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按照项目服务级别协议提供客户所需响应支持服务；</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记录响应支持服务工作，形成响应支持的工作报告或交付成果。</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118494E">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查看响应支持的受理渠道和要求，判断其是否符合项目交付方案的要求；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抽查响应支持活动记录，判断响应支持记录是否完整清晰，判断是否符合项目服务级别协议要求；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抽查响应支持服务工作记录（如工作报告或交付成果），判断其是否符合项目交付方案的要求。</w:t>
            </w:r>
          </w:p>
        </w:tc>
        <w:tc>
          <w:tcPr>
            <w:tcW w:w="3226"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CAA2E4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《HFSJ-ITSS-0901-运维服务交付管理制度》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服务台记录</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30113E5">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运维部：姚耿桂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研发部经理：黄正宇</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产品质量部经理：熊振翔</w:t>
            </w:r>
          </w:p>
        </w:tc>
        <w:tc>
          <w:tcPr>
            <w:tcW w:w="3556"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44A7F81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1、查运维服务合同及服务级别协议，每个运维项目合同中均包含响应支持条款。设服务台专员岗位，负责服务热线的接听等工作.提供7x24小时客户服务热线。</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 xml:space="preserve"> 2、负责服务请求处理，1-12月共接到服务请求73 个，有效的处理73个；未处理事项 0 个；申报问题 0 个。</w:t>
            </w:r>
          </w:p>
        </w:tc>
      </w:tr>
      <w:tr w14:paraId="7A947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75"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3C435CDB">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7</w:t>
            </w:r>
          </w:p>
        </w:tc>
        <w:tc>
          <w:tcPr>
            <w:tcW w:w="0" w:type="auto"/>
            <w:vMerge w:val="restart"/>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47C39E8">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7.8</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应急管理</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460D7D8">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7.8.1 </w:t>
            </w:r>
            <w:r>
              <w:rPr>
                <w:rFonts w:hint="eastAsia" w:ascii="宋体" w:hAnsi="宋体" w:eastAsia="宋体" w:cs="宋体"/>
                <w:i w:val="0"/>
                <w:iCs w:val="0"/>
                <w:color w:val="000000"/>
                <w:kern w:val="0"/>
                <w:sz w:val="20"/>
                <w:szCs w:val="20"/>
                <w:u w:val="none"/>
                <w:bdr w:val="none" w:color="auto" w:sz="0" w:space="0"/>
                <w:lang w:val="en-US" w:eastAsia="zh-CN" w:bidi="ar"/>
              </w:rPr>
              <w:t>应急组织与制度</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在基本级能力要求的基础上，并应：</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建立并完善应急响应管理制度和应急处置过程规范；</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明确应急响应组织的相关方，包括服务需方、服务供方、设备或系统供应商、专家团队等。</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CFE3750">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查看应急响应制度和应急处置过程规范，判断该制度是否被组织内部的相关人员知晓，是否适用项目或组织的需要；</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查看应急响应组织的相关方，判断是否包括服务需方、服务供方、设备或系统供应商、专家团队等。</w:t>
            </w:r>
          </w:p>
        </w:tc>
        <w:tc>
          <w:tcPr>
            <w:tcW w:w="3226"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787F2A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《HFSJ-ITSS-1001-运维服务应急管理制度》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《HFSJ-ITSS-1003-2025年国电电力湖南新能源系统运维项目-2025年度应急演练预案》</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D43FA9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研发部经理：黄正宇</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产品质量部经理：熊振翔</w:t>
            </w:r>
          </w:p>
        </w:tc>
        <w:tc>
          <w:tcPr>
            <w:tcW w:w="3556"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1E3861B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1、运维管理部在服务组工作职责中包含应急响应及演练职责，并由专人负责。</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2、查《HFSJ-ITSS-1003-2025年国电电力湖南新能源系统运维项目-2025年度应急演练预案》应急演练记录，参与者有：客户代表、公司项目经理、项目组成员、供应商等，各方并在应急演练结束后留下电话号码，做为后期沟通联系方式。</w:t>
            </w:r>
          </w:p>
        </w:tc>
      </w:tr>
      <w:tr w14:paraId="47305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75"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5D4CE927">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8</w:t>
            </w:r>
          </w:p>
        </w:tc>
        <w:tc>
          <w:tcPr>
            <w:tcW w:w="0" w:type="auto"/>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C625EC8">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1381115">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7.8.2 </w:t>
            </w:r>
            <w:r>
              <w:rPr>
                <w:rFonts w:hint="eastAsia" w:ascii="宋体" w:hAnsi="宋体" w:eastAsia="宋体" w:cs="宋体"/>
                <w:i w:val="0"/>
                <w:iCs w:val="0"/>
                <w:color w:val="000000"/>
                <w:kern w:val="0"/>
                <w:sz w:val="20"/>
                <w:szCs w:val="20"/>
                <w:u w:val="none"/>
                <w:bdr w:val="none" w:color="auto" w:sz="0" w:space="0"/>
                <w:lang w:val="en-US" w:eastAsia="zh-CN" w:bidi="ar"/>
              </w:rPr>
              <w:t>应急预案</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组织应制定应急预案：</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根据应急响应制度，制定应急预案；</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检查或检验应急预案的可执行性。</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FC7FEC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抽查应急预案，判断应急预案的内容是否符合应急制度和对应应急场景的要求，并判断应急预案的可执行性。</w:t>
            </w:r>
          </w:p>
        </w:tc>
        <w:tc>
          <w:tcPr>
            <w:tcW w:w="3226"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95F032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《HFSJ-ITSS-1001-运维服务应急管理制度》、《HFSJ-ITSS-1003-2025年国电电力湖南新能源系统运维项目-2025年度应急演练预案》</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58D609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研发部经理：黄正宇</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产品质量部经理：熊振翔</w:t>
            </w:r>
          </w:p>
        </w:tc>
        <w:tc>
          <w:tcPr>
            <w:tcW w:w="3556"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65FEDEE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HFSJ-ITSS-1003-2025年国电电力湖南新能源系统运维项目-2025年度应急演练预案》，依据风险评估报告中《2025年国电电力湖南新能源系统运维项目建设项目》出现的风险，制定了2025年国电电力湖南新能源系统运维项目建设项目运维项目出现的风险。并由项目经理组织用户方、供应商、项目总监进行了评审批准后发布执行。</w:t>
            </w:r>
          </w:p>
        </w:tc>
      </w:tr>
      <w:tr w14:paraId="7536D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75"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2F2FC67C">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9</w:t>
            </w:r>
          </w:p>
        </w:tc>
        <w:tc>
          <w:tcPr>
            <w:tcW w:w="0" w:type="auto"/>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53B46BC">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C26D95A">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7.8.3 </w:t>
            </w:r>
            <w:r>
              <w:rPr>
                <w:rFonts w:hint="eastAsia" w:ascii="宋体" w:hAnsi="宋体" w:eastAsia="宋体" w:cs="宋体"/>
                <w:i w:val="0"/>
                <w:iCs w:val="0"/>
                <w:color w:val="000000"/>
                <w:kern w:val="0"/>
                <w:sz w:val="20"/>
                <w:szCs w:val="20"/>
                <w:u w:val="none"/>
                <w:bdr w:val="none" w:color="auto" w:sz="0" w:space="0"/>
                <w:lang w:val="en-US" w:eastAsia="zh-CN" w:bidi="ar"/>
              </w:rPr>
              <w:t>应急处置</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在基本级能力要求的基础上，并应：</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按照应急响应制度和应急处置过程规范，开展应急调度；</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按照应急处置过程规范及时开展应急处理和恢复工作；</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基于应急处置过程记录</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eastAsia" w:ascii="宋体" w:hAnsi="宋体" w:eastAsia="宋体" w:cs="宋体"/>
                <w:i w:val="0"/>
                <w:iCs w:val="0"/>
                <w:color w:val="000000"/>
                <w:kern w:val="0"/>
                <w:sz w:val="20"/>
                <w:szCs w:val="20"/>
                <w:u w:val="none"/>
                <w:bdr w:val="none" w:color="auto" w:sz="0" w:space="0"/>
                <w:lang w:val="en-US" w:eastAsia="zh-CN" w:bidi="ar"/>
              </w:rPr>
              <w:t>形成应急事件报告。</w:t>
            </w:r>
            <w:r>
              <w:rPr>
                <w:rFonts w:hint="default" w:ascii="宋体" w:hAnsi="Arial" w:eastAsia="宋体" w:cs="Arial"/>
                <w:i w:val="0"/>
                <w:iCs w:val="0"/>
                <w:color w:val="000000"/>
                <w:kern w:val="0"/>
                <w:sz w:val="20"/>
                <w:szCs w:val="20"/>
                <w:u w:val="none"/>
                <w:bdr w:val="none" w:color="auto" w:sz="0" w:space="0"/>
                <w:lang w:val="en-US" w:eastAsia="zh-CN" w:bidi="ar"/>
              </w:rPr>
              <w:t xml:space="preserve"> </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6F983D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抽查应急处置过程记录和应急事件报告，判断应急调度、应急处理和应急恢复工作是否符合应急响应制度和应急处置过程规范。</w:t>
            </w:r>
          </w:p>
        </w:tc>
        <w:tc>
          <w:tcPr>
            <w:tcW w:w="3226"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A51797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《HFSJ-ITSS-1003-2025年国电电力湖南新能源系统运维项目-2025年度应急演练预案》</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《HFSJ-ITSS-1004-2025年国电电力湖南新能源系统运维项目-2025年度应急演练计划》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《HFSJ-ITSS-1005-2025年国电电力湖南新能源系统运维项目-2025年度应急演练报告》</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42039B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研发部经理：黄正宇</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产品质量部经理：熊振翔</w:t>
            </w:r>
          </w:p>
        </w:tc>
        <w:tc>
          <w:tcPr>
            <w:tcW w:w="3556"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45B619D8">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公司建立了应急响应预案启动的策略和程序，并根据应急响应预案策略和程序，分别对运维项目制定了专项的应急预案执行流程。并对应急响应预案进行了演练总结</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 xml:space="preserve">  </w:t>
            </w:r>
          </w:p>
        </w:tc>
      </w:tr>
      <w:tr w14:paraId="17582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75" w:type="dxa"/>
            <w:tcBorders>
              <w:top w:val="single" w:color="000000" w:sz="4" w:space="0"/>
              <w:left w:val="single" w:color="000000" w:sz="12" w:space="0"/>
              <w:bottom w:val="single" w:color="000000" w:sz="12" w:space="0"/>
              <w:right w:val="nil"/>
            </w:tcBorders>
            <w:shd w:val="clear"/>
            <w:noWrap w:val="0"/>
            <w:tcMar>
              <w:top w:w="-1" w:type="dxa"/>
              <w:left w:w="-1" w:type="dxa"/>
              <w:bottom w:w="-1" w:type="dxa"/>
              <w:right w:w="-1" w:type="dxa"/>
            </w:tcMar>
            <w:vAlign w:val="center"/>
          </w:tcPr>
          <w:p w14:paraId="3B2769C7">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10</w:t>
            </w:r>
          </w:p>
        </w:tc>
        <w:tc>
          <w:tcPr>
            <w:tcW w:w="576" w:type="dxa"/>
            <w:vMerge w:val="continue"/>
            <w:tcBorders>
              <w:top w:val="single" w:color="000000" w:sz="4" w:space="0"/>
              <w:left w:val="single" w:color="000000" w:sz="4" w:space="0"/>
              <w:bottom w:val="single" w:color="000000" w:sz="4" w:space="0"/>
              <w:right w:val="single" w:color="000000" w:sz="4" w:space="0"/>
            </w:tcBorders>
            <w:shd w:val="clear"/>
            <w:noWrap w:val="0"/>
            <w:tcMar>
              <w:top w:w="-1" w:type="dxa"/>
              <w:left w:w="-1" w:type="dxa"/>
              <w:bottom w:w="-1" w:type="dxa"/>
              <w:right w:w="-1" w:type="dxa"/>
            </w:tcMar>
            <w:vAlign w:val="center"/>
          </w:tcPr>
          <w:p w14:paraId="3FBE6E12">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2395"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1496C630">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7.8.4 </w:t>
            </w:r>
            <w:r>
              <w:rPr>
                <w:rFonts w:hint="eastAsia" w:ascii="宋体" w:hAnsi="宋体" w:eastAsia="宋体" w:cs="宋体"/>
                <w:i w:val="0"/>
                <w:iCs w:val="0"/>
                <w:color w:val="000000"/>
                <w:kern w:val="0"/>
                <w:sz w:val="20"/>
                <w:szCs w:val="20"/>
                <w:u w:val="none"/>
                <w:bdr w:val="none" w:color="auto" w:sz="0" w:space="0"/>
                <w:lang w:val="en-US" w:eastAsia="zh-CN" w:bidi="ar"/>
              </w:rPr>
              <w:t>应急总结与改进</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组织应开展应急总结和持续改进工作：</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开展应急工作总结，形成应急工作总结报告；</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根据应急工作总结发现的问题，进行应急响应持续改进。</w:t>
            </w:r>
          </w:p>
        </w:tc>
        <w:tc>
          <w:tcPr>
            <w:tcW w:w="2258"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4AFE2EA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抽查应急工作的总结报告，判断报告内容是否对应当期应急工作的活动，是否对发现的问题制定了改进计划并实施改进。</w:t>
            </w:r>
          </w:p>
        </w:tc>
        <w:tc>
          <w:tcPr>
            <w:tcW w:w="3226"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2E04D77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《HFSJ-ITSS-1005-2025年国电电力湖南新能源系统运维项目-2025年度应急演练报告》</w:t>
            </w:r>
          </w:p>
        </w:tc>
        <w:tc>
          <w:tcPr>
            <w:tcW w:w="1388"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2ECA978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运维部：姚耿桂</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研发部经理：黄正宇</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产品质量部经理：熊振翔</w:t>
            </w:r>
          </w:p>
        </w:tc>
        <w:tc>
          <w:tcPr>
            <w:tcW w:w="3556" w:type="dxa"/>
            <w:tcBorders>
              <w:top w:val="single" w:color="000000" w:sz="4" w:space="0"/>
              <w:left w:val="single" w:color="000000" w:sz="4" w:space="0"/>
              <w:bottom w:val="single" w:color="000000" w:sz="12" w:space="0"/>
              <w:right w:val="single" w:color="000000" w:sz="12" w:space="0"/>
            </w:tcBorders>
            <w:shd w:val="clear"/>
            <w:noWrap w:val="0"/>
            <w:tcMar>
              <w:top w:w="-1" w:type="dxa"/>
              <w:left w:w="-1" w:type="dxa"/>
              <w:bottom w:w="-1" w:type="dxa"/>
              <w:right w:w="-1" w:type="dxa"/>
            </w:tcMar>
            <w:vAlign w:val="center"/>
          </w:tcPr>
          <w:p w14:paraId="724CA652">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查《HFSJ-ITSS-1005-2025年国电电力湖南新能源系统运维项目-2025年度应急演练报告》对应急响应工作定期进行了分析、回顾、总结。查2025年国电电力湖南新能源系统运维项目建设项目应急工作改进记录，依照应急工作总结报告，对应急工作出现的问题进行持续改进。</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2、持续改进包含了应急事件总结、应急工作审核报告、客户方的要求、技术的革新和发展等因素。</w:t>
            </w:r>
          </w:p>
        </w:tc>
      </w:tr>
    </w:tbl>
    <w:p w14:paraId="11235A56">
      <w:pPr>
        <w:rPr>
          <w:rFonts w:hint="default"/>
          <w:lang w:val="en-US" w:eastAsia="zh-CN"/>
        </w:rPr>
      </w:pP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D25A75"/>
    <w:rsid w:val="1908590B"/>
    <w:rsid w:val="1D991A5C"/>
    <w:rsid w:val="37682375"/>
    <w:rsid w:val="3D2F76E9"/>
    <w:rsid w:val="44495E16"/>
    <w:rsid w:val="4784027F"/>
    <w:rsid w:val="495A7D5C"/>
    <w:rsid w:val="4BA12BC2"/>
    <w:rsid w:val="5FF617BA"/>
    <w:rsid w:val="60FD6695"/>
    <w:rsid w:val="71872296"/>
    <w:rsid w:val="739F189A"/>
    <w:rsid w:val="76905DC7"/>
    <w:rsid w:val="7C354ADD"/>
    <w:rsid w:val="7D3262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
    <w:name w:val="柴_文档修订信息"/>
    <w:basedOn w:val="1"/>
    <w:uiPriority w:val="0"/>
    <w:pPr>
      <w:widowControl w:val="0"/>
      <w:ind w:firstLine="470" w:firstLineChars="200"/>
      <w:jc w:val="center"/>
    </w:pPr>
    <w:rPr>
      <w:rFonts w:hint="eastAsia" w:ascii="Arial" w:hAnsi="Arial" w:eastAsia="宋体" w:cs="Arial"/>
      <w:b/>
      <w:bCs/>
      <w:snapToGrid w:val="0"/>
      <w:color w:val="000000"/>
      <w:kern w:val="0"/>
      <w:sz w:val="24"/>
      <w:szCs w:val="21"/>
      <w:lang w:eastAsia="zh-CN"/>
    </w:rPr>
  </w:style>
  <w:style w:type="character" w:customStyle="1" w:styleId="7">
    <w:name w:val="font31"/>
    <w:basedOn w:val="5"/>
    <w:uiPriority w:val="0"/>
    <w:rPr>
      <w:rFonts w:hint="eastAsia" w:ascii="宋体" w:hAnsi="宋体" w:eastAsia="宋体" w:cs="宋体"/>
      <w:color w:val="000000"/>
      <w:sz w:val="20"/>
      <w:szCs w:val="20"/>
      <w:u w:val="none"/>
    </w:rPr>
  </w:style>
  <w:style w:type="character" w:customStyle="1" w:styleId="8">
    <w:name w:val="font11"/>
    <w:basedOn w:val="5"/>
    <w:uiPriority w:val="0"/>
    <w:rPr>
      <w:rFonts w:hint="default" w:ascii="Arial" w:hAnsi="Arial" w:cs="Arial"/>
      <w:color w:val="000000"/>
      <w:sz w:val="20"/>
      <w:szCs w:val="20"/>
      <w:u w:val="none"/>
    </w:rPr>
  </w:style>
  <w:style w:type="character" w:customStyle="1" w:styleId="9">
    <w:name w:val="font41"/>
    <w:basedOn w:val="5"/>
    <w:uiPriority w:val="0"/>
    <w:rPr>
      <w:rFonts w:hint="eastAsia" w:ascii="宋体" w:hAnsi="宋体" w:eastAsia="宋体" w:cs="宋体"/>
      <w:color w:val="000000"/>
      <w:sz w:val="20"/>
      <w:szCs w:val="20"/>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5</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2026-03-12T16:37:00Z</dcterms:created>
  <dc:creator>asus</dc:creator>
  <cp:lastModifiedBy>郝宇</cp:lastModifiedBy>
  <dcterms:modified xsi:type="dcterms:W3CDTF">2026-05-29T06:31:37Z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E6433C41F485461A9D56E59170985D5E_12</vt:lpwstr>
  </property>
  <property fmtid="{D5CDD505-2E9C-101B-9397-08002B2CF9AE}" pid="4" name="KSOTemplateDocerSaveRecord">
    <vt:lpwstr>eyJoZGlkIjoiYWNlNzNhNmIzOTIzZGY2M2QzZGFjMTM3NDZmMGZlYmUiLCJ1c2VySWQiOiIxMDc1MzgyOSJ9</vt:lpwstr>
  </property>
</Properties>
</file>