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1"/>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1" w:name="_Toc10664"/>
      <w:r>
        <w:rPr>
          <w:rFonts w:hint="eastAsia"/>
          <w:lang w:val="en-US" w:eastAsia="zh-CN"/>
        </w:rPr>
        <w:t>运维服务目录管理制度</w:t>
      </w:r>
      <w:bookmarkEnd w:id="1"/>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HFSJ-ITSS-0101</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姚耿桂</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
        <w:bidi w:val="0"/>
        <w:rPr>
          <w:rFonts w:hint="default"/>
          <w:lang w:val="en-US" w:eastAsia="zh-CN"/>
        </w:rPr>
      </w:pPr>
      <w:r>
        <w:rPr>
          <w:rFonts w:hint="eastAsia"/>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83513"/>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spacing w:before="0" w:beforeLines="0" w:after="0" w:afterLines="0" w:line="240" w:lineRule="auto"/>
            <w:ind w:left="0" w:right="0" w:firstLine="0" w:leftChars="0" w:rightChars="0" w:firstLineChars="0"/>
            <w:jc w:val="center"/>
          </w:pPr>
          <w:bookmarkStart w:id="2" w:name="_Toc4510"/>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_Toc13337 </w:instrText>
          </w:r>
          <w:r>
            <w:fldChar w:fldCharType="separate"/>
          </w:r>
          <w:r>
            <w:rPr>
              <w:rFonts w:hint="default"/>
              <w:lang w:val="en-US" w:eastAsia="zh-CN"/>
            </w:rPr>
            <w:t>1. 目的</w:t>
          </w:r>
          <w:r>
            <w:tab/>
          </w:r>
          <w:r>
            <w:fldChar w:fldCharType="begin"/>
          </w:r>
          <w:r>
            <w:instrText xml:space="preserve"> PAGEREF _Toc13337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_Toc30896 </w:instrText>
          </w:r>
          <w:r>
            <w:fldChar w:fldCharType="separate"/>
          </w:r>
          <w:r>
            <w:rPr>
              <w:rFonts w:hint="default"/>
              <w:lang w:val="en-US" w:eastAsia="zh-CN"/>
            </w:rPr>
            <w:t>2. 适用范围</w:t>
          </w:r>
          <w:r>
            <w:tab/>
          </w:r>
          <w:r>
            <w:fldChar w:fldCharType="begin"/>
          </w:r>
          <w:r>
            <w:instrText xml:space="preserve"> PAGEREF _Toc30896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_Toc22676 </w:instrText>
          </w:r>
          <w:r>
            <w:fldChar w:fldCharType="separate"/>
          </w:r>
          <w:r>
            <w:rPr>
              <w:rFonts w:hint="default"/>
              <w:lang w:val="en-US" w:eastAsia="zh-CN"/>
            </w:rPr>
            <w:t>3. 角色和职责</w:t>
          </w:r>
          <w:r>
            <w:tab/>
          </w:r>
          <w:r>
            <w:fldChar w:fldCharType="begin"/>
          </w:r>
          <w:r>
            <w:instrText xml:space="preserve"> PAGEREF _Toc22676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_Toc20450 </w:instrText>
          </w:r>
          <w:r>
            <w:fldChar w:fldCharType="separate"/>
          </w:r>
          <w:r>
            <w:rPr>
              <w:rFonts w:hint="default"/>
              <w:lang w:val="en-US" w:eastAsia="zh-CN"/>
            </w:rPr>
            <w:t>3.1. 总经理</w:t>
          </w:r>
          <w:r>
            <w:tab/>
          </w:r>
          <w:r>
            <w:fldChar w:fldCharType="begin"/>
          </w:r>
          <w:r>
            <w:instrText xml:space="preserve"> PAGEREF _Toc20450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_Toc1336 </w:instrText>
          </w:r>
          <w:r>
            <w:fldChar w:fldCharType="separate"/>
          </w:r>
          <w:r>
            <w:rPr>
              <w:rFonts w:hint="default"/>
              <w:lang w:val="en-US" w:eastAsia="zh-CN"/>
            </w:rPr>
            <w:t>3.2. 管理者代表</w:t>
          </w:r>
          <w:r>
            <w:tab/>
          </w:r>
          <w:r>
            <w:fldChar w:fldCharType="begin"/>
          </w:r>
          <w:r>
            <w:instrText xml:space="preserve"> PAGEREF _Toc1336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_Toc13026 </w:instrText>
          </w:r>
          <w:r>
            <w:fldChar w:fldCharType="separate"/>
          </w:r>
          <w:r>
            <w:rPr>
              <w:rFonts w:hint="default"/>
              <w:lang w:val="en-US" w:eastAsia="zh-CN"/>
            </w:rPr>
            <w:t>3.3. 运维部</w:t>
          </w:r>
          <w:r>
            <w:tab/>
          </w:r>
          <w:r>
            <w:fldChar w:fldCharType="begin"/>
          </w:r>
          <w:r>
            <w:instrText xml:space="preserve"> PAGEREF _Toc13026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_Toc8847 </w:instrText>
          </w:r>
          <w:r>
            <w:fldChar w:fldCharType="separate"/>
          </w:r>
          <w:r>
            <w:rPr>
              <w:rFonts w:hint="default"/>
              <w:lang w:val="en-US" w:eastAsia="zh-CN"/>
            </w:rPr>
            <w:t>3.4. 研发部</w:t>
          </w:r>
          <w:r>
            <w:tab/>
          </w:r>
          <w:r>
            <w:fldChar w:fldCharType="begin"/>
          </w:r>
          <w:r>
            <w:instrText xml:space="preserve"> PAGEREF _Toc8847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_Toc1147 </w:instrText>
          </w:r>
          <w:r>
            <w:fldChar w:fldCharType="separate"/>
          </w:r>
          <w:r>
            <w:rPr>
              <w:rFonts w:hint="default"/>
              <w:lang w:val="en-US" w:eastAsia="zh-CN"/>
            </w:rPr>
            <w:t>3.5. 综合部</w:t>
          </w:r>
          <w:r>
            <w:tab/>
          </w:r>
          <w:r>
            <w:fldChar w:fldCharType="begin"/>
          </w:r>
          <w:r>
            <w:instrText xml:space="preserve"> PAGEREF _Toc1147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_Toc15120 </w:instrText>
          </w:r>
          <w:r>
            <w:fldChar w:fldCharType="separate"/>
          </w:r>
          <w:r>
            <w:rPr>
              <w:rFonts w:hint="default"/>
              <w:lang w:val="en-US" w:eastAsia="zh-CN"/>
            </w:rPr>
            <w:t>3.6. 产品产品质量部</w:t>
          </w:r>
          <w:r>
            <w:tab/>
          </w:r>
          <w:r>
            <w:fldChar w:fldCharType="begin"/>
          </w:r>
          <w:r>
            <w:instrText xml:space="preserve"> PAGEREF _Toc15120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_Toc29875 </w:instrText>
          </w:r>
          <w:r>
            <w:fldChar w:fldCharType="separate"/>
          </w:r>
          <w:r>
            <w:rPr>
              <w:rFonts w:hint="default"/>
              <w:lang w:val="en-US" w:eastAsia="zh-CN"/>
            </w:rPr>
            <w:t>4. 服务目录内容</w:t>
          </w:r>
          <w:r>
            <w:tab/>
          </w:r>
          <w:r>
            <w:fldChar w:fldCharType="begin"/>
          </w:r>
          <w:r>
            <w:instrText xml:space="preserve"> PAGEREF _Toc29875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_Toc6228 </w:instrText>
          </w:r>
          <w:r>
            <w:fldChar w:fldCharType="separate"/>
          </w:r>
          <w:r>
            <w:rPr>
              <w:rFonts w:hint="default"/>
              <w:lang w:val="en-US" w:eastAsia="zh-CN"/>
            </w:rPr>
            <w:t>5. 工作程序</w:t>
          </w:r>
          <w:r>
            <w:tab/>
          </w:r>
          <w:r>
            <w:fldChar w:fldCharType="begin"/>
          </w:r>
          <w:r>
            <w:instrText xml:space="preserve"> PAGEREF _Toc6228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_Toc16839 </w:instrText>
          </w:r>
          <w:r>
            <w:fldChar w:fldCharType="separate"/>
          </w:r>
          <w:r>
            <w:rPr>
              <w:rFonts w:hint="default"/>
              <w:lang w:val="en-US" w:eastAsia="zh-CN"/>
            </w:rPr>
            <w:t>5.1. 服务目录管理流程图</w:t>
          </w:r>
          <w:r>
            <w:tab/>
          </w:r>
          <w:r>
            <w:fldChar w:fldCharType="begin"/>
          </w:r>
          <w:r>
            <w:instrText xml:space="preserve"> PAGEREF _Toc16839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_Toc13978 </w:instrText>
          </w:r>
          <w:r>
            <w:fldChar w:fldCharType="separate"/>
          </w:r>
          <w:r>
            <w:rPr>
              <w:rFonts w:hint="default"/>
              <w:lang w:val="en-US" w:eastAsia="zh-CN"/>
            </w:rPr>
            <w:t>5.2. 流程描述</w:t>
          </w:r>
          <w:r>
            <w:tab/>
          </w:r>
          <w:r>
            <w:fldChar w:fldCharType="begin"/>
          </w:r>
          <w:r>
            <w:instrText xml:space="preserve"> PAGEREF _Toc13978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_Toc14854 </w:instrText>
          </w:r>
          <w:r>
            <w:fldChar w:fldCharType="separate"/>
          </w:r>
          <w:r>
            <w:rPr>
              <w:rFonts w:hint="default"/>
              <w:lang w:val="en-US" w:eastAsia="zh-CN"/>
            </w:rPr>
            <w:t>5.2.1. 收集需求</w:t>
          </w:r>
          <w:r>
            <w:tab/>
          </w:r>
          <w:r>
            <w:fldChar w:fldCharType="begin"/>
          </w:r>
          <w:r>
            <w:instrText xml:space="preserve"> PAGEREF _Toc14854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_Toc10695 </w:instrText>
          </w:r>
          <w:r>
            <w:fldChar w:fldCharType="separate"/>
          </w:r>
          <w:r>
            <w:rPr>
              <w:rFonts w:hint="default"/>
              <w:lang w:val="en-US" w:eastAsia="zh-CN"/>
            </w:rPr>
            <w:t>5.2.2. 汇总需求</w:t>
          </w:r>
          <w:r>
            <w:tab/>
          </w:r>
          <w:r>
            <w:fldChar w:fldCharType="begin"/>
          </w:r>
          <w:r>
            <w:instrText xml:space="preserve"> PAGEREF _Toc10695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_Toc19816 </w:instrText>
          </w:r>
          <w:r>
            <w:fldChar w:fldCharType="separate"/>
          </w:r>
          <w:r>
            <w:rPr>
              <w:rFonts w:hint="default"/>
              <w:lang w:val="en-US" w:eastAsia="zh-CN"/>
            </w:rPr>
            <w:t>5.2.3. 评审需求</w:t>
          </w:r>
          <w:r>
            <w:tab/>
          </w:r>
          <w:r>
            <w:fldChar w:fldCharType="begin"/>
          </w:r>
          <w:r>
            <w:instrText xml:space="preserve"> PAGEREF _Toc19816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_Toc9989 </w:instrText>
          </w:r>
          <w:r>
            <w:fldChar w:fldCharType="separate"/>
          </w:r>
          <w:r>
            <w:rPr>
              <w:rFonts w:hint="default"/>
              <w:lang w:val="en-US" w:eastAsia="zh-CN"/>
            </w:rPr>
            <w:t>5.2.4. 制定/修订服务目录</w:t>
          </w:r>
          <w:r>
            <w:tab/>
          </w:r>
          <w:r>
            <w:fldChar w:fldCharType="begin"/>
          </w:r>
          <w:r>
            <w:instrText xml:space="preserve"> PAGEREF _Toc9989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_Toc13601 </w:instrText>
          </w:r>
          <w:r>
            <w:fldChar w:fldCharType="separate"/>
          </w:r>
          <w:r>
            <w:rPr>
              <w:rFonts w:hint="default"/>
              <w:lang w:val="en-US" w:eastAsia="zh-CN"/>
            </w:rPr>
            <w:t>5.2.5. 评审服务目录</w:t>
          </w:r>
          <w:r>
            <w:tab/>
          </w:r>
          <w:r>
            <w:fldChar w:fldCharType="begin"/>
          </w:r>
          <w:r>
            <w:instrText xml:space="preserve"> PAGEREF _Toc13601 \h </w:instrText>
          </w:r>
          <w:r>
            <w:fldChar w:fldCharType="separate"/>
          </w:r>
          <w:r>
            <w:t>10</w:t>
          </w:r>
          <w:r>
            <w:fldChar w:fldCharType="end"/>
          </w:r>
          <w:r>
            <w:fldChar w:fldCharType="end"/>
          </w:r>
        </w:p>
        <w:p>
          <w:pPr>
            <w:pStyle w:val="TOC3"/>
            <w:tabs>
              <w:tab w:val="right" w:leader="dot" w:pos="8306"/>
            </w:tabs>
          </w:pPr>
          <w:r>
            <w:fldChar w:fldCharType="begin"/>
          </w:r>
          <w:r>
            <w:instrText xml:space="preserve"> HYPERLINK \l _Toc16549 </w:instrText>
          </w:r>
          <w:r>
            <w:fldChar w:fldCharType="separate"/>
          </w:r>
          <w:r>
            <w:rPr>
              <w:rFonts w:hint="default"/>
              <w:lang w:val="en-US" w:eastAsia="zh-CN"/>
            </w:rPr>
            <w:t>5.2.6. 发布服务目录</w:t>
          </w:r>
          <w:r>
            <w:tab/>
          </w:r>
          <w:r>
            <w:fldChar w:fldCharType="begin"/>
          </w:r>
          <w:r>
            <w:instrText xml:space="preserve"> PAGEREF _Toc16549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_Toc10363 </w:instrText>
          </w:r>
          <w:r>
            <w:fldChar w:fldCharType="separate"/>
          </w:r>
          <w:r>
            <w:rPr>
              <w:rFonts w:hint="default"/>
              <w:lang w:val="en-US" w:eastAsia="zh-CN"/>
            </w:rPr>
            <w:t>6. 服务目录的持续改进</w:t>
          </w:r>
          <w:r>
            <w:tab/>
          </w:r>
          <w:r>
            <w:fldChar w:fldCharType="begin"/>
          </w:r>
          <w:r>
            <w:instrText xml:space="preserve"> PAGEREF _Toc10363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_Toc3589 </w:instrText>
          </w:r>
          <w:r>
            <w:fldChar w:fldCharType="separate"/>
          </w:r>
          <w:r>
            <w:rPr>
              <w:rFonts w:hint="default"/>
              <w:lang w:val="en-US" w:eastAsia="zh-CN"/>
            </w:rPr>
            <w:t>6.1. 改进信息来源</w:t>
          </w:r>
          <w:r>
            <w:tab/>
          </w:r>
          <w:r>
            <w:fldChar w:fldCharType="begin"/>
          </w:r>
          <w:r>
            <w:instrText xml:space="preserve"> PAGEREF _Toc3589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_Toc4532 </w:instrText>
          </w:r>
          <w:r>
            <w:fldChar w:fldCharType="separate"/>
          </w:r>
          <w:r>
            <w:rPr>
              <w:rFonts w:hint="default"/>
              <w:lang w:val="en-US" w:eastAsia="zh-CN"/>
            </w:rPr>
            <w:t>6.2. 改进触发条件</w:t>
          </w:r>
          <w:r>
            <w:tab/>
          </w:r>
          <w:r>
            <w:fldChar w:fldCharType="begin"/>
          </w:r>
          <w:r>
            <w:instrText xml:space="preserve"> PAGEREF _Toc4532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_Toc1907 </w:instrText>
          </w:r>
          <w:r>
            <w:fldChar w:fldCharType="separate"/>
          </w:r>
          <w:r>
            <w:rPr>
              <w:rFonts w:hint="default"/>
              <w:lang w:val="en-US" w:eastAsia="zh-CN"/>
            </w:rPr>
            <w:t>6.3. 改进内容</w:t>
          </w:r>
          <w:r>
            <w:tab/>
          </w:r>
          <w:r>
            <w:fldChar w:fldCharType="begin"/>
          </w:r>
          <w:r>
            <w:instrText xml:space="preserve"> PAGEREF _Toc1907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_Toc2752 </w:instrText>
          </w:r>
          <w:r>
            <w:fldChar w:fldCharType="separate"/>
          </w:r>
          <w:r>
            <w:rPr>
              <w:rFonts w:hint="default"/>
              <w:lang w:val="en-US" w:eastAsia="zh-CN"/>
            </w:rPr>
            <w:t>7. 服务目录的使用</w:t>
          </w:r>
          <w:r>
            <w:tab/>
          </w:r>
          <w:r>
            <w:fldChar w:fldCharType="begin"/>
          </w:r>
          <w:r>
            <w:instrText xml:space="preserve"> PAGEREF _Toc2752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_Toc24173 </w:instrText>
          </w:r>
          <w:r>
            <w:fldChar w:fldCharType="separate"/>
          </w:r>
          <w:r>
            <w:rPr>
              <w:rFonts w:hint="default"/>
              <w:lang w:val="en-US" w:eastAsia="zh-CN"/>
            </w:rPr>
            <w:t>8. 服务目录与其他流程的关系</w:t>
          </w:r>
          <w:r>
            <w:tab/>
          </w:r>
          <w:r>
            <w:fldChar w:fldCharType="begin"/>
          </w:r>
          <w:r>
            <w:instrText xml:space="preserve"> PAGEREF _Toc24173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_Toc26903 </w:instrText>
          </w:r>
          <w:r>
            <w:fldChar w:fldCharType="separate"/>
          </w:r>
          <w:r>
            <w:rPr>
              <w:rFonts w:hint="default"/>
              <w:lang w:val="en-US" w:eastAsia="zh-CN"/>
            </w:rPr>
            <w:t>8.1. 与服务能力管理的关系</w:t>
          </w:r>
          <w:r>
            <w:tab/>
          </w:r>
          <w:r>
            <w:fldChar w:fldCharType="begin"/>
          </w:r>
          <w:r>
            <w:instrText xml:space="preserve"> PAGEREF _Toc26903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_Toc7348 </w:instrText>
          </w:r>
          <w:r>
            <w:fldChar w:fldCharType="separate"/>
          </w:r>
          <w:r>
            <w:rPr>
              <w:rFonts w:hint="default"/>
              <w:lang w:val="en-US" w:eastAsia="zh-CN"/>
            </w:rPr>
            <w:t>8.2. 与服务级别管理的关系</w:t>
          </w:r>
          <w:r>
            <w:tab/>
          </w:r>
          <w:r>
            <w:fldChar w:fldCharType="begin"/>
          </w:r>
          <w:r>
            <w:instrText xml:space="preserve"> PAGEREF _Toc7348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_Toc6395 </w:instrText>
          </w:r>
          <w:r>
            <w:fldChar w:fldCharType="separate"/>
          </w:r>
          <w:r>
            <w:rPr>
              <w:rFonts w:hint="default"/>
              <w:lang w:val="en-US" w:eastAsia="zh-CN"/>
            </w:rPr>
            <w:t>8.3. 与人员管理的关系</w:t>
          </w:r>
          <w:r>
            <w:tab/>
          </w:r>
          <w:r>
            <w:fldChar w:fldCharType="begin"/>
          </w:r>
          <w:r>
            <w:instrText xml:space="preserve"> PAGEREF _Toc6395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_Toc26880 </w:instrText>
          </w:r>
          <w:r>
            <w:fldChar w:fldCharType="separate"/>
          </w:r>
          <w:r>
            <w:rPr>
              <w:rFonts w:hint="default"/>
              <w:lang w:val="en-US" w:eastAsia="zh-CN"/>
            </w:rPr>
            <w:t>8.4. 与质量管理的关系</w:t>
          </w:r>
          <w:r>
            <w:tab/>
          </w:r>
          <w:r>
            <w:fldChar w:fldCharType="begin"/>
          </w:r>
          <w:r>
            <w:instrText xml:space="preserve"> PAGEREF _Toc26880 \h </w:instrText>
          </w:r>
          <w:r>
            <w:fldChar w:fldCharType="separate"/>
          </w:r>
          <w:r>
            <w:t>13</w:t>
          </w:r>
          <w:r>
            <w:fldChar w:fldCharType="end"/>
          </w:r>
          <w:r>
            <w:fldChar w:fldCharType="end"/>
          </w:r>
        </w:p>
        <w:p>
          <w:pPr>
            <w:pStyle w:val="TOC1"/>
            <w:tabs>
              <w:tab w:val="right" w:leader="dot" w:pos="8306"/>
            </w:tabs>
          </w:pPr>
          <w:r>
            <w:fldChar w:fldCharType="begin"/>
          </w:r>
          <w:r>
            <w:instrText xml:space="preserve"> HYPERLINK \l _Toc19412 </w:instrText>
          </w:r>
          <w:r>
            <w:fldChar w:fldCharType="separate"/>
          </w:r>
          <w:r>
            <w:rPr>
              <w:rFonts w:hint="default"/>
              <w:lang w:val="en-US" w:eastAsia="zh-CN"/>
            </w:rPr>
            <w:t>9. 输入</w:t>
          </w:r>
          <w:r>
            <w:tab/>
          </w:r>
          <w:r>
            <w:fldChar w:fldCharType="begin"/>
          </w:r>
          <w:r>
            <w:instrText xml:space="preserve"> PAGEREF _Toc19412 \h </w:instrText>
          </w:r>
          <w:r>
            <w:fldChar w:fldCharType="separate"/>
          </w:r>
          <w:r>
            <w:t>13</w:t>
          </w:r>
          <w:r>
            <w:fldChar w:fldCharType="end"/>
          </w:r>
          <w:r>
            <w:fldChar w:fldCharType="end"/>
          </w:r>
        </w:p>
        <w:p>
          <w:pPr>
            <w:pStyle w:val="TOC1"/>
            <w:tabs>
              <w:tab w:val="right" w:leader="dot" w:pos="8306"/>
            </w:tabs>
          </w:pPr>
          <w:r>
            <w:fldChar w:fldCharType="begin"/>
          </w:r>
          <w:r>
            <w:instrText xml:space="preserve"> HYPERLINK \l _Toc1631 </w:instrText>
          </w:r>
          <w:r>
            <w:fldChar w:fldCharType="separate"/>
          </w:r>
          <w:r>
            <w:rPr>
              <w:rFonts w:hint="default"/>
              <w:lang w:val="en-US" w:eastAsia="zh-CN"/>
            </w:rPr>
            <w:t>10. 输出的文件和记录</w:t>
          </w:r>
          <w:r>
            <w:tab/>
          </w:r>
          <w:r>
            <w:fldChar w:fldCharType="begin"/>
          </w:r>
          <w:r>
            <w:instrText xml:space="preserve"> PAGEREF _Toc1631 \h </w:instrText>
          </w:r>
          <w:r>
            <w:fldChar w:fldCharType="separate"/>
          </w:r>
          <w:r>
            <w:t>13</w:t>
          </w:r>
          <w:r>
            <w:fldChar w:fldCharType="end"/>
          </w:r>
          <w:r>
            <w:fldChar w:fldCharType="end"/>
          </w:r>
        </w:p>
        <w:p>
          <w:r>
            <w:fldChar w:fldCharType="end"/>
          </w:r>
        </w:p>
      </w:sdtContent>
    </w:sdt>
    <w:p/>
    <w:p>
      <w:pPr>
        <w:rPr>
          <w:rFonts w:hint="default"/>
          <w:lang w:val="en-US" w:eastAsia="zh-CN"/>
        </w:rPr>
      </w:pPr>
      <w:r>
        <w:rPr>
          <w:rFonts w:hint="default"/>
          <w:lang w:val="en-US" w:eastAsia="zh-CN"/>
        </w:rPr>
        <w:br w:type="page"/>
      </w:r>
    </w:p>
    <w:p>
      <w:pPr>
        <w:pStyle w:val="1"/>
        <w:bidi w:val="0"/>
        <w:rPr>
          <w:rFonts w:hint="default"/>
          <w:lang w:val="en-US" w:eastAsia="zh-CN"/>
        </w:rPr>
      </w:pPr>
      <w:bookmarkStart w:id="3" w:name="_Toc13337"/>
      <w:r>
        <w:rPr>
          <w:rFonts w:hint="default"/>
          <w:lang w:val="en-US" w:eastAsia="zh-CN"/>
        </w:rPr>
        <w:t>目的</w:t>
      </w:r>
      <w:bookmarkEnd w:id="2"/>
      <w:bookmarkEnd w:id="3"/>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依据华风数据(深圳)有限公司（以下简称“公司”）运维服务能力，定义向客户提供约定运行维护质量水平的服务内容、要求和服务级别，并确保服务目录的正确性、完整性，满足客户的需求和期望。</w:t>
      </w:r>
    </w:p>
    <w:p>
      <w:pPr>
        <w:pStyle w:val="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30896"/>
      <w:bookmarkStart w:id="5" w:name="_Toc5657"/>
      <w:r>
        <w:rPr>
          <w:rFonts w:hint="default"/>
          <w:lang w:val="en-US" w:eastAsia="zh-CN"/>
        </w:rPr>
        <w:t>适用范围</w:t>
      </w:r>
      <w:bookmarkEnd w:id="4"/>
      <w:bookmarkEnd w:id="5"/>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本制度适用于对公司满足客户需求，向客户提供约定服务的管理。</w:t>
      </w:r>
    </w:p>
    <w:p>
      <w:pPr>
        <w:pStyle w:val="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7940"/>
      <w:bookmarkStart w:id="7" w:name="_Toc22676"/>
      <w:r>
        <w:rPr>
          <w:rFonts w:hint="default"/>
          <w:lang w:val="en-US" w:eastAsia="zh-CN"/>
        </w:rPr>
        <w:t>角色和职责</w:t>
      </w:r>
      <w:bookmarkEnd w:id="6"/>
      <w:bookmarkEnd w:id="7"/>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20450"/>
      <w:bookmarkStart w:id="9" w:name="_Toc7902"/>
      <w:r>
        <w:rPr>
          <w:rFonts w:hint="default"/>
          <w:lang w:val="en-US" w:eastAsia="zh-CN"/>
        </w:rPr>
        <w:t>总经理</w:t>
      </w:r>
      <w:bookmarkEnd w:id="8"/>
      <w:bookmarkEnd w:id="9"/>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负责本制度的批准；</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负责协调服务目录管理过程中需要的资源。</w:t>
      </w:r>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30313"/>
      <w:bookmarkStart w:id="11" w:name="_Toc1336"/>
      <w:r>
        <w:rPr>
          <w:rFonts w:hint="default"/>
          <w:lang w:val="en-US" w:eastAsia="zh-CN"/>
        </w:rPr>
        <w:t>管理者代表</w:t>
      </w:r>
      <w:bookmarkEnd w:id="10"/>
      <w:bookmarkEnd w:id="11"/>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负责本制度的审核，确保与公司战略目标一致；</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负责服务目录的最终确认，保证服务目录的正确性和完整性。</w:t>
      </w:r>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3026"/>
      <w:bookmarkStart w:id="13" w:name="_Toc13741"/>
      <w:r>
        <w:rPr>
          <w:rFonts w:hint="default"/>
          <w:lang w:val="en-US" w:eastAsia="zh-CN"/>
        </w:rPr>
        <w:t>运维部</w:t>
      </w:r>
      <w:bookmarkEnd w:id="12"/>
      <w:bookmarkEnd w:id="13"/>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负责本制度的制定或修订；</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负责建立并维护组织级运维服务目录；</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负责参与服务目录的定期评审；</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负责调查了解用户服务需求；</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负责对运维业务的外部环境及发展状况提出意见；</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负责协助与客户签订SLA。</w:t>
      </w:r>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1188"/>
      <w:bookmarkStart w:id="15" w:name="_Toc8847"/>
      <w:r>
        <w:rPr>
          <w:rFonts w:hint="default"/>
          <w:lang w:val="en-US" w:eastAsia="zh-CN"/>
        </w:rPr>
        <w:t>研发部</w:t>
      </w:r>
      <w:bookmarkEnd w:id="14"/>
      <w:bookmarkEnd w:id="15"/>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负责参与服务目录的定期评审；</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负责根据服务目录中的技术需求，提供运维工具和技术的研发支持。</w:t>
      </w:r>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1147"/>
      <w:bookmarkStart w:id="17" w:name="_Toc5675"/>
      <w:r>
        <w:rPr>
          <w:rFonts w:hint="default"/>
          <w:lang w:val="en-US" w:eastAsia="zh-CN"/>
        </w:rPr>
        <w:t>综合部</w:t>
      </w:r>
      <w:bookmarkEnd w:id="16"/>
      <w:bookmarkEnd w:id="17"/>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负责参与服务目录的定期评审；</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负责根据服务目录中的人员能力要求，组织相关人员的招聘与培训，满足服务目录实施要求。</w:t>
      </w:r>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14402"/>
      <w:bookmarkStart w:id="19" w:name="_Toc15120"/>
      <w:r>
        <w:rPr>
          <w:rFonts w:hint="default"/>
          <w:lang w:val="en-US" w:eastAsia="zh-CN"/>
        </w:rPr>
        <w:t>产品产品质量部</w:t>
      </w:r>
      <w:bookmarkEnd w:id="18"/>
      <w:bookmarkEnd w:id="19"/>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负责组织相关部门参与服务目录的制定、修改和评审；</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负责公司组织级运维服务目录的发布；</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负责组织服务目录的定期评审会议；</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负责将服务目录作为质量监督和执行的参照依据。</w:t>
      </w:r>
    </w:p>
    <w:p>
      <w:pPr>
        <w:pStyle w:val="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29875"/>
      <w:bookmarkStart w:id="21" w:name="_Toc6183"/>
      <w:r>
        <w:rPr>
          <w:rFonts w:hint="default"/>
          <w:lang w:val="en-US" w:eastAsia="zh-CN"/>
        </w:rPr>
        <w:t>服务目录内容</w:t>
      </w:r>
      <w:bookmarkEnd w:id="20"/>
      <w:bookmarkEnd w:id="21"/>
    </w:p>
    <w:p>
      <w:pPr>
        <w:pStyle w:val="a2"/>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服务目录是公司提供服务依据的基础性文件；</w:t>
      </w:r>
    </w:p>
    <w:p>
      <w:pPr>
        <w:pStyle w:val="a2"/>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服务目录分为组织级服务目录和项目级服务目录：</w:t>
      </w:r>
    </w:p>
    <w:p>
      <w:pPr>
        <w:pStyle w:val="a2"/>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组织级服务目录：针对公司可以提供的服务名称、服务内容、响应方式、服务频度、交付方式、交付成果等服务属性；</w:t>
      </w:r>
    </w:p>
    <w:p>
      <w:pPr>
        <w:pStyle w:val="a2"/>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项目级服务目录：基于组织级服务目录，结合项目客户需求建立的针对特定客户或特定服务项目的服务描述性文件。</w:t>
      </w:r>
    </w:p>
    <w:p>
      <w:pPr>
        <w:pStyle w:val="a2"/>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运维服务目录包括以下内容：</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服务类别</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服务范围</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服务子类</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服务名称</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服务代码（参照GB/T 29264）</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服务简介</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服务目标/价值</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服务对象</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服务内容</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服务频次</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服务级别（响应时间/解决时间）</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服务方式（远程/现场）</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服务时间（7×24/5×8等）</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服务报告周期</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交付成果</w:t>
      </w:r>
    </w:p>
    <w:p>
      <w:pPr>
        <w:pStyle w:val="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1899"/>
      <w:bookmarkStart w:id="23" w:name="_Toc6228"/>
      <w:r>
        <w:rPr>
          <w:rFonts w:hint="default"/>
          <w:lang w:val="en-US" w:eastAsia="zh-CN"/>
        </w:rPr>
        <w:t>工作程序</w:t>
      </w:r>
      <w:bookmarkEnd w:id="22"/>
      <w:bookmarkEnd w:id="23"/>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16839"/>
      <w:bookmarkStart w:id="25" w:name="_Toc10357"/>
      <w:r>
        <w:rPr>
          <w:rFonts w:hint="default"/>
          <w:lang w:val="en-US" w:eastAsia="zh-CN"/>
        </w:rPr>
        <w:t>服务目录管理流程图</w:t>
      </w:r>
      <w:bookmarkEnd w:id="24"/>
      <w:bookmarkEnd w:id="25"/>
      <w:bookmarkStart w:id="26" w:name="_GoBack"/>
      <w:bookmarkEnd w:id="26"/>
    </w:p>
    <w:p>
      <w:pPr>
        <w:pStyle w:val="a2"/>
        <w:keepLines w:val="0"/>
        <w:pageBreakBefore w:val="0"/>
        <w:widowControl w:val="0"/>
        <w:kinsoku w:val="0"/>
        <w:wordWrap/>
        <w:overflowPunct/>
        <w:topLinePunct w:val="0"/>
        <w:autoSpaceDE w:val="0"/>
        <w:autoSpaceDN w:val="0"/>
        <w:bidi w:val="0"/>
        <w:adjustRightInd w:val="0"/>
        <w:snapToGrid w:val="0"/>
        <w:ind w:left="0" w:firstLine="0" w:leftChars="0" w:firstLineChars="0"/>
        <w:jc w:val="center"/>
        <w:textAlignment w:val="baseline"/>
        <w:rPr>
          <w:rFonts w:hint="default"/>
          <w:lang w:val="en-US" w:eastAsia="zh-CN"/>
        </w:rPr>
      </w:pPr>
      <w:r>
        <w:drawing>
          <wp:inline distT="0" distB="0" distL="114300" distR="114300">
            <wp:extent cx="4519930" cy="6191885"/>
            <wp:effectExtent l="0" t="0" r="13970" b="184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4519930" cy="6191885"/>
                    </a:xfrm>
                    <a:prstGeom prst="rect">
                      <a:avLst/>
                    </a:prstGeom>
                    <a:noFill/>
                    <a:ln>
                      <a:noFill/>
                    </a:ln>
                  </pic:spPr>
                </pic:pic>
              </a:graphicData>
            </a:graphic>
          </wp:inline>
        </w:drawing>
      </w:r>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26053"/>
      <w:bookmarkStart w:id="28" w:name="_Toc13978"/>
      <w:r>
        <w:rPr>
          <w:rFonts w:hint="default"/>
          <w:lang w:val="en-US" w:eastAsia="zh-CN"/>
        </w:rPr>
        <w:t>流程描述</w:t>
      </w:r>
      <w:bookmarkEnd w:id="27"/>
      <w:bookmarkEnd w:id="28"/>
    </w:p>
    <w:p>
      <w:pPr>
        <w:pStyle w:val="3"/>
        <w:bidi w:val="0"/>
        <w:rPr>
          <w:rFonts w:hint="default"/>
          <w:lang w:val="en-US" w:eastAsia="zh-CN"/>
        </w:rPr>
      </w:pPr>
      <w:bookmarkStart w:id="29" w:name="_Toc17853"/>
      <w:bookmarkStart w:id="30" w:name="_Toc14854"/>
      <w:r>
        <w:rPr>
          <w:rFonts w:hint="default"/>
          <w:lang w:val="en-US" w:eastAsia="zh-CN"/>
        </w:rPr>
        <w:t>收集需求</w:t>
      </w:r>
      <w:bookmarkEnd w:id="29"/>
      <w:bookmarkEnd w:id="30"/>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责任部门：运维部</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运维部经理收集来自项目中反馈的有关服务目录的相关需求，包括：</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运维过程中客户提出的超过服务目录范围的需求；</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市场服务需求的变化；</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各部门定期收集的客户建议和运维过程中存在的问题。</w:t>
      </w:r>
    </w:p>
    <w:p>
      <w:pPr>
        <w:pStyle w:val="3"/>
        <w:bidi w:val="0"/>
        <w:rPr>
          <w:rFonts w:hint="default"/>
          <w:lang w:val="en-US" w:eastAsia="zh-CN"/>
        </w:rPr>
      </w:pPr>
      <w:bookmarkStart w:id="31" w:name="_Toc12935"/>
      <w:bookmarkStart w:id="32" w:name="_Toc10695"/>
      <w:r>
        <w:rPr>
          <w:rFonts w:hint="default"/>
          <w:lang w:val="en-US" w:eastAsia="zh-CN"/>
        </w:rPr>
        <w:t>汇总需求</w:t>
      </w:r>
      <w:bookmarkEnd w:id="31"/>
      <w:bookmarkEnd w:id="32"/>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责任部门：运维部</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运维部经理定期汇总收集到的有关服务目录的相关需求，识别出涉及服务目录的修订/新增内容，整理提交至产品产品质量部进行评审。</w:t>
      </w:r>
    </w:p>
    <w:p>
      <w:pPr>
        <w:pStyle w:val="3"/>
        <w:bidi w:val="0"/>
        <w:rPr>
          <w:rFonts w:hint="default"/>
          <w:lang w:val="en-US" w:eastAsia="zh-CN"/>
        </w:rPr>
      </w:pPr>
      <w:bookmarkStart w:id="33" w:name="_Toc19816"/>
      <w:bookmarkStart w:id="34" w:name="_Toc2247"/>
      <w:r>
        <w:rPr>
          <w:rFonts w:hint="default"/>
          <w:lang w:val="en-US" w:eastAsia="zh-CN"/>
        </w:rPr>
        <w:t>评审需求</w:t>
      </w:r>
      <w:bookmarkEnd w:id="33"/>
      <w:bookmarkEnd w:id="34"/>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责任部门：产品产品质量部</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产品产品质量部经理组织运维部经理、研发部经理、综合部经理等相关负责人对服务需求进行评审，评审通过后启动服务目录修订流程。服务需求评审不通过，则关闭流程。</w:t>
      </w:r>
    </w:p>
    <w:p>
      <w:pPr>
        <w:pStyle w:val="3"/>
        <w:bidi w:val="0"/>
        <w:rPr>
          <w:rFonts w:hint="default"/>
          <w:lang w:val="en-US" w:eastAsia="zh-CN"/>
        </w:rPr>
      </w:pPr>
      <w:bookmarkStart w:id="35" w:name="_Toc9989"/>
      <w:bookmarkStart w:id="36" w:name="_Toc10271"/>
      <w:r>
        <w:rPr>
          <w:rFonts w:hint="default"/>
          <w:lang w:val="en-US" w:eastAsia="zh-CN"/>
        </w:rPr>
        <w:t>制定/修订服务目录</w:t>
      </w:r>
      <w:bookmarkEnd w:id="35"/>
      <w:bookmarkEnd w:id="36"/>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责任部门：运维部</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运维部经理根据评审通过的服务需求，制定或修订服务目录。修订内容应包括：</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运维服务的分类</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运维服务名称</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运维服务目标或标准（服务指标和质量标准）</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运维服务提供时间</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交付内容和交付周期</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服务内容、频次</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交付成果和响应时间</w:t>
      </w:r>
    </w:p>
    <w:p>
      <w:pPr>
        <w:pStyle w:val="3"/>
        <w:bidi w:val="0"/>
        <w:rPr>
          <w:rFonts w:hint="default"/>
          <w:lang w:val="en-US" w:eastAsia="zh-CN"/>
        </w:rPr>
      </w:pPr>
      <w:bookmarkStart w:id="37" w:name="_Toc13601"/>
      <w:bookmarkStart w:id="38" w:name="_Toc15359"/>
      <w:r>
        <w:rPr>
          <w:rFonts w:hint="default"/>
          <w:lang w:val="en-US" w:eastAsia="zh-CN"/>
        </w:rPr>
        <w:t>评审服务目录</w:t>
      </w:r>
      <w:bookmarkEnd w:id="37"/>
      <w:bookmarkEnd w:id="38"/>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责任部门：产品产品质量部</w:t>
      </w:r>
      <w:r>
        <w:rPr>
          <w:rFonts w:hint="eastAsia"/>
          <w:lang w:val="en-US" w:eastAsia="zh-CN"/>
        </w:rPr>
        <w:t>、运维部</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服务目录制定/修订完毕后，由产品产品质量部经理组织评审会议，会议由产品产品质量部经理主持，运维部经理、研发部经理、综合部经理参加进行评审，并填写《运维服务目录评审表》。</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评审内容应包括：</w:t>
      </w:r>
    </w:p>
    <w:p>
      <w:pPr>
        <w:pStyle w:val="a2"/>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服务市场前景分析</w:t>
      </w:r>
    </w:p>
    <w:p>
      <w:pPr>
        <w:pStyle w:val="a2"/>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公司1-3年业务发展规划</w:t>
      </w:r>
    </w:p>
    <w:p>
      <w:pPr>
        <w:pStyle w:val="a2"/>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既往运维服务情况分析</w:t>
      </w:r>
    </w:p>
    <w:p>
      <w:pPr>
        <w:pStyle w:val="a2"/>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服务目录与公司战略的一致性</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评审通过，则提交管理者代表审核、总经理审批；评审不通过，则驳回运维部重新修订。</w:t>
      </w:r>
    </w:p>
    <w:p>
      <w:pPr>
        <w:pStyle w:val="3"/>
        <w:bidi w:val="0"/>
        <w:rPr>
          <w:rFonts w:hint="default"/>
          <w:lang w:val="en-US" w:eastAsia="zh-CN"/>
        </w:rPr>
      </w:pPr>
      <w:bookmarkStart w:id="39" w:name="_Toc16549"/>
      <w:bookmarkStart w:id="40" w:name="_Toc25114"/>
      <w:r>
        <w:rPr>
          <w:rFonts w:hint="default"/>
          <w:lang w:val="en-US" w:eastAsia="zh-CN"/>
        </w:rPr>
        <w:t>发布服务目录</w:t>
      </w:r>
      <w:bookmarkEnd w:id="39"/>
      <w:bookmarkEnd w:id="40"/>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责任部门：产品产品质量部</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运维服务目录经管理者代表审核、总经理审批后，由产品产品质量部经理正式发布。</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运维服务目录向运维部、研发部、综合部、产品产品质量部等相关部门及公司管理人员发布，并提交产品产品质量部归档保存。</w:t>
      </w:r>
    </w:p>
    <w:p>
      <w:pPr>
        <w:pStyle w:val="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1" w:name="_Toc10363"/>
      <w:bookmarkStart w:id="42" w:name="_Toc25673"/>
      <w:r>
        <w:rPr>
          <w:rFonts w:hint="default"/>
          <w:lang w:val="en-US" w:eastAsia="zh-CN"/>
        </w:rPr>
        <w:t>服务目录的持续改进</w:t>
      </w:r>
      <w:bookmarkEnd w:id="41"/>
      <w:bookmarkEnd w:id="42"/>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为确保服务目录持续契合公司战略、市场需求与客户期望，建立常态化的服务目录持续改进机制。</w:t>
      </w:r>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3" w:name="_Toc3589"/>
      <w:bookmarkStart w:id="44" w:name="_Toc29482"/>
      <w:r>
        <w:rPr>
          <w:rFonts w:hint="default"/>
          <w:lang w:val="en-US" w:eastAsia="zh-CN"/>
        </w:rPr>
        <w:t>改进信息来源</w:t>
      </w:r>
      <w:bookmarkEnd w:id="43"/>
      <w:bookmarkEnd w:id="44"/>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改进建议来源包括但不限于：</w:t>
      </w:r>
    </w:p>
    <w:p>
      <w:pPr>
        <w:pStyle w:val="a2"/>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客户反馈意见</w:t>
      </w:r>
    </w:p>
    <w:p>
      <w:pPr>
        <w:pStyle w:val="a2"/>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运维运营数据分析</w:t>
      </w:r>
    </w:p>
    <w:p>
      <w:pPr>
        <w:pStyle w:val="a2"/>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市场技术发展趋势</w:t>
      </w:r>
    </w:p>
    <w:p>
      <w:pPr>
        <w:pStyle w:val="a2"/>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内部执行反馈</w:t>
      </w:r>
    </w:p>
    <w:p>
      <w:pPr>
        <w:pStyle w:val="a2"/>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各类评审、审计结果</w:t>
      </w:r>
    </w:p>
    <w:p>
      <w:pPr>
        <w:pStyle w:val="a2"/>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运维部经理组织的服务目录管理情况总结与评估</w:t>
      </w:r>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5" w:name="_Toc28007"/>
      <w:bookmarkStart w:id="46" w:name="_Toc4532"/>
      <w:r>
        <w:rPr>
          <w:rFonts w:hint="default"/>
          <w:lang w:val="en-US" w:eastAsia="zh-CN"/>
        </w:rPr>
        <w:t>改进触发条件</w:t>
      </w:r>
      <w:bookmarkEnd w:id="45"/>
      <w:bookmarkEnd w:id="46"/>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在下述条件下，服务目录应予以及时优化更新：</w:t>
      </w:r>
    </w:p>
    <w:p>
      <w:pPr>
        <w:pStyle w:val="a2"/>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新产品/新服务上线：公司新产品或新服务上线应用一个月内，应予以更新；</w:t>
      </w:r>
    </w:p>
    <w:p>
      <w:pPr>
        <w:pStyle w:val="a2"/>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客户新需求：客户提出新的服务需求时，运维部经理应予以记录，提交产品产品质量部评审是否需要增加；</w:t>
      </w:r>
    </w:p>
    <w:p>
      <w:pPr>
        <w:pStyle w:val="a2"/>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新技术应用：有新技术应用但服务目录中没有的，每半年更新一次；</w:t>
      </w:r>
    </w:p>
    <w:p>
      <w:pPr>
        <w:pStyle w:val="a2"/>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定期评审：无上述条件的，应每年评审一次，由产品产品质量部经理组织评审，决定是否更新服务目录，淘汰或更新过时服务。</w:t>
      </w:r>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7" w:name="_Toc5250"/>
      <w:bookmarkStart w:id="48" w:name="_Toc1907"/>
      <w:r>
        <w:rPr>
          <w:rFonts w:hint="default"/>
          <w:lang w:val="en-US" w:eastAsia="zh-CN"/>
        </w:rPr>
        <w:t>改进内容</w:t>
      </w:r>
      <w:bookmarkEnd w:id="47"/>
      <w:bookmarkEnd w:id="48"/>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服务目录优化内容包括：</w:t>
      </w:r>
    </w:p>
    <w:p>
      <w:pPr>
        <w:pStyle w:val="a2"/>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运维服务的分类</w:t>
      </w:r>
    </w:p>
    <w:p>
      <w:pPr>
        <w:pStyle w:val="a2"/>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运维服务的内容</w:t>
      </w:r>
    </w:p>
    <w:p>
      <w:pPr>
        <w:pStyle w:val="a2"/>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服务名称</w:t>
      </w:r>
    </w:p>
    <w:p>
      <w:pPr>
        <w:pStyle w:val="a2"/>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服务标准</w:t>
      </w:r>
    </w:p>
    <w:p>
      <w:pPr>
        <w:pStyle w:val="a2"/>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服务对象</w:t>
      </w:r>
    </w:p>
    <w:p>
      <w:pPr>
        <w:pStyle w:val="a2"/>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服务时间</w:t>
      </w:r>
    </w:p>
    <w:p>
      <w:pPr>
        <w:pStyle w:val="a2"/>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服务频率</w:t>
      </w:r>
    </w:p>
    <w:p>
      <w:pPr>
        <w:pStyle w:val="a2"/>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交付方式</w:t>
      </w:r>
    </w:p>
    <w:p>
      <w:pPr>
        <w:pStyle w:val="a2"/>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交付成果等</w:t>
      </w:r>
    </w:p>
    <w:p>
      <w:pPr>
        <w:pStyle w:val="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9" w:name="_Toc32368"/>
      <w:bookmarkStart w:id="50" w:name="_Toc2752"/>
      <w:r>
        <w:rPr>
          <w:rFonts w:hint="default"/>
          <w:lang w:val="en-US" w:eastAsia="zh-CN"/>
        </w:rPr>
        <w:t>服务目录的使用</w:t>
      </w:r>
      <w:bookmarkEnd w:id="49"/>
      <w:bookmarkEnd w:id="50"/>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运维服务目录是运维部与客户的商务谈判和合同签订的依据；</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运维服务目录用于产品产品质量部经理监督和执行服务执行过程中质量保障的参照依据；</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任何人员在使用运维服务目录过程中不得随意修改、曲解运维服务目录既定内容、要求、指标等全部内容；</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运维项目立项后，由运维部经理参照组织级运维服务目录，制定项目级运维服务目录，并遵照该目录为用户提供服务。</w:t>
      </w:r>
    </w:p>
    <w:p>
      <w:pPr>
        <w:pStyle w:val="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1" w:name="_Toc24173"/>
      <w:bookmarkStart w:id="52" w:name="_Toc217"/>
      <w:r>
        <w:rPr>
          <w:rFonts w:hint="default"/>
          <w:lang w:val="en-US" w:eastAsia="zh-CN"/>
        </w:rPr>
        <w:t>服务目录与其他流程的关系</w:t>
      </w:r>
      <w:bookmarkEnd w:id="51"/>
      <w:bookmarkEnd w:id="52"/>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3" w:name="_Toc24369"/>
      <w:bookmarkStart w:id="54" w:name="_Toc26903"/>
      <w:r>
        <w:rPr>
          <w:rFonts w:hint="default"/>
          <w:lang w:val="en-US" w:eastAsia="zh-CN"/>
        </w:rPr>
        <w:t>与服务能力管理的关系</w:t>
      </w:r>
      <w:bookmarkEnd w:id="53"/>
      <w:bookmarkEnd w:id="54"/>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目录对服务业务范围、服务时间、服务频度、响应时间、交付频率、交付成果等有明确要求。公司制定《运维服务能力管理计划》时，服务目录作为其输入，结合上一年度服务执行情况，确定与其匹配的人员、过程、技术、资源</w:t>
      </w:r>
      <w:r>
        <w:rPr>
          <w:rFonts w:hint="eastAsia"/>
          <w:lang w:val="en-US" w:eastAsia="zh-CN"/>
        </w:rPr>
        <w:t>、交付和应急</w:t>
      </w:r>
      <w:r>
        <w:rPr>
          <w:rFonts w:hint="default"/>
          <w:lang w:val="en-US" w:eastAsia="zh-CN"/>
        </w:rPr>
        <w:t>能力规划。</w:t>
      </w:r>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5" w:name="_Toc7348"/>
      <w:bookmarkStart w:id="56" w:name="_Toc24797"/>
      <w:r>
        <w:rPr>
          <w:rFonts w:hint="default"/>
          <w:lang w:val="en-US" w:eastAsia="zh-CN"/>
        </w:rPr>
        <w:t>与服务级别管理的关系</w:t>
      </w:r>
      <w:bookmarkEnd w:id="55"/>
      <w:bookmarkEnd w:id="56"/>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服务目录与服务级别协议（SLA）是相关联的。在应用服务目录过程中，运维部经理应做到：</w:t>
      </w:r>
    </w:p>
    <w:p>
      <w:pPr>
        <w:pStyle w:val="a2"/>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针对不同项目进行分析，建立项目服务级别协议（SLA）；</w:t>
      </w:r>
    </w:p>
    <w:p>
      <w:pPr>
        <w:pStyle w:val="a2"/>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分析服务目录与项目实际需求的差异；</w:t>
      </w:r>
    </w:p>
    <w:p>
      <w:pPr>
        <w:pStyle w:val="a2"/>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监控服务目录的应用和SLA的有效执行；</w:t>
      </w:r>
    </w:p>
    <w:p>
      <w:pPr>
        <w:pStyle w:val="a2"/>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分析运维项目的服务内容覆盖度，提出改进建议。</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服务级别管理需要使用服务目录的成果来编制每个项目的SLA；服务目录则需要参照服务级别管理的执行情况，分析运维业务的发展变化，并用来更新公司运维服务目录，以适应客户需求的不断变化。</w:t>
      </w:r>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7" w:name="_Toc23922"/>
      <w:bookmarkStart w:id="58" w:name="_Toc6395"/>
      <w:r>
        <w:rPr>
          <w:rFonts w:hint="default"/>
          <w:lang w:val="en-US" w:eastAsia="zh-CN"/>
        </w:rPr>
        <w:t>与人员管理的关系</w:t>
      </w:r>
      <w:bookmarkEnd w:id="57"/>
      <w:bookmarkEnd w:id="58"/>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综合部经理根据服务目录中定义的服务内容和能力要求，负责相关人员的招聘、培训和能力提升，确保人员能力满足服务交付需求。</w:t>
      </w:r>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9" w:name="_Toc7127"/>
      <w:bookmarkStart w:id="60" w:name="_Toc26880"/>
      <w:r>
        <w:rPr>
          <w:rFonts w:hint="default"/>
          <w:lang w:val="en-US" w:eastAsia="zh-CN"/>
        </w:rPr>
        <w:t>与质量管理的关系</w:t>
      </w:r>
      <w:bookmarkEnd w:id="59"/>
      <w:bookmarkEnd w:id="60"/>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产品产品质量部经理依据服务目录中的服务标准和质量要求，对服务执行过程进行监督和检查，确保服务质量符合既定标准。</w:t>
      </w:r>
    </w:p>
    <w:p>
      <w:pPr>
        <w:pStyle w:val="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1" w:name="_Toc19412"/>
      <w:bookmarkStart w:id="62" w:name="_Toc22892"/>
      <w:r>
        <w:rPr>
          <w:rFonts w:hint="default"/>
          <w:lang w:val="en-US" w:eastAsia="zh-CN"/>
        </w:rPr>
        <w:t>输入</w:t>
      </w:r>
      <w:bookmarkEnd w:id="61"/>
      <w:bookmarkEnd w:id="62"/>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公司的业务规划和计划等相关业务信息；</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外部信息技术发展趋势；</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业务影响因素；</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业务需求；</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适用的法律、法规及要求；</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技术、业务流程、组织结构现状；</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基础条件和资源现状；</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资源的获得和优先供给。</w:t>
      </w:r>
    </w:p>
    <w:p>
      <w:pPr>
        <w:pStyle w:val="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3" w:name="_Toc14028"/>
      <w:bookmarkStart w:id="64" w:name="_Toc1631"/>
      <w:r>
        <w:rPr>
          <w:rFonts w:hint="default"/>
          <w:lang w:val="en-US" w:eastAsia="zh-CN"/>
        </w:rPr>
        <w:t>输出的文件和记录</w:t>
      </w:r>
      <w:bookmarkEnd w:id="63"/>
      <w:bookmarkEnd w:id="64"/>
    </w:p>
    <w:p>
      <w:pPr>
        <w:pStyle w:val="a2"/>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《组织级运维服务目录》</w:t>
      </w:r>
    </w:p>
    <w:p>
      <w:pPr>
        <w:pStyle w:val="a2"/>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《运维服务目录评审表》</w:t>
      </w: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8A1EC0F"/>
    <w:multiLevelType w:val="singleLevel"/>
    <w:tmpl w:val="88A1EC0F"/>
    <w:lvl w:ilvl="0">
      <w:start w:val="1"/>
      <w:numFmt w:val="decimal"/>
      <w:lvlText w:val="(%1)"/>
      <w:lvlJc w:val="left"/>
      <w:pPr>
        <w:tabs>
          <w:tab w:val="left" w:pos="420"/>
        </w:tabs>
        <w:ind w:left="845" w:hanging="425"/>
      </w:pPr>
      <w:rPr>
        <w:rFonts w:hint="default"/>
      </w:rPr>
    </w:lvl>
  </w:abstractNum>
  <w:abstractNum w:abstractNumId="1">
    <w:nsid w:val="89D0172A"/>
    <w:multiLevelType w:val="singleLevel"/>
    <w:tmpl w:val="89D0172A"/>
    <w:lvl w:ilvl="0">
      <w:start w:val="1"/>
      <w:numFmt w:val="decimal"/>
      <w:lvlText w:val="%1."/>
      <w:lvlJc w:val="left"/>
      <w:pPr>
        <w:ind w:left="425" w:hanging="425"/>
      </w:pPr>
      <w:rPr>
        <w:rFonts w:hint="default"/>
      </w:rPr>
    </w:lvl>
  </w:abstractNum>
  <w:abstractNum w:abstractNumId="2">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3">
    <w:nsid w:val="BB2A2796"/>
    <w:multiLevelType w:val="singleLevel"/>
    <w:tmpl w:val="BB2A2796"/>
    <w:lvl w:ilvl="0">
      <w:start w:val="1"/>
      <w:numFmt w:val="decimal"/>
      <w:lvlText w:val="%1."/>
      <w:lvlJc w:val="left"/>
      <w:pPr>
        <w:ind w:left="425" w:hanging="425"/>
      </w:pPr>
      <w:rPr>
        <w:rFonts w:hint="default"/>
      </w:rPr>
    </w:lvl>
  </w:abstractNum>
  <w:abstractNum w:abstractNumId="4">
    <w:nsid w:val="D091B4A3"/>
    <w:multiLevelType w:val="singleLevel"/>
    <w:tmpl w:val="D091B4A3"/>
    <w:lvl w:ilvl="0">
      <w:start w:val="1"/>
      <w:numFmt w:val="decimal"/>
      <w:lvlText w:val="%1."/>
      <w:lvlJc w:val="left"/>
      <w:pPr>
        <w:ind w:left="425" w:hanging="425"/>
      </w:pPr>
      <w:rPr>
        <w:rFonts w:hint="default"/>
      </w:rPr>
    </w:lvl>
  </w:abstractNum>
  <w:abstractNum w:abstractNumId="5">
    <w:nsid w:val="DE26A13F"/>
    <w:multiLevelType w:val="singleLevel"/>
    <w:tmpl w:val="DE26A13F"/>
    <w:lvl w:ilvl="0">
      <w:start w:val="1"/>
      <w:numFmt w:val="decimal"/>
      <w:lvlText w:val="%1."/>
      <w:lvlJc w:val="left"/>
      <w:pPr>
        <w:ind w:left="425" w:hanging="425"/>
      </w:pPr>
      <w:rPr>
        <w:rFonts w:hint="default"/>
      </w:rPr>
    </w:lvl>
  </w:abstractNum>
  <w:abstractNum w:abstractNumId="6">
    <w:nsid w:val="F25EF346"/>
    <w:multiLevelType w:val="singleLevel"/>
    <w:tmpl w:val="F25EF346"/>
    <w:lvl w:ilvl="0">
      <w:start w:val="1"/>
      <w:numFmt w:val="decimal"/>
      <w:lvlText w:val="%1."/>
      <w:lvlJc w:val="left"/>
      <w:pPr>
        <w:ind w:left="425" w:hanging="425"/>
      </w:pPr>
      <w:rPr>
        <w:rFonts w:hint="default"/>
      </w:rPr>
    </w:lvl>
  </w:abstractNum>
  <w:abstractNum w:abstractNumId="7">
    <w:nsid w:val="F35815CE"/>
    <w:multiLevelType w:val="singleLevel"/>
    <w:tmpl w:val="F35815CE"/>
    <w:lvl w:ilvl="0">
      <w:start w:val="1"/>
      <w:numFmt w:val="decimal"/>
      <w:lvlText w:val="%1."/>
      <w:lvlJc w:val="left"/>
      <w:pPr>
        <w:ind w:left="425" w:hanging="425"/>
      </w:pPr>
      <w:rPr>
        <w:rFonts w:hint="default"/>
      </w:rPr>
    </w:lvl>
  </w:abstractNum>
  <w:abstractNum w:abstractNumId="8">
    <w:nsid w:val="71252BC4"/>
    <w:multiLevelType w:val="singleLevel"/>
    <w:tmpl w:val="71252BC4"/>
    <w:lvl w:ilvl="0">
      <w:start w:val="1"/>
      <w:numFmt w:val="decimal"/>
      <w:lvlText w:val="%1."/>
      <w:lvlJc w:val="left"/>
      <w:pPr>
        <w:ind w:left="425" w:hanging="425"/>
      </w:pPr>
      <w:rPr>
        <w:rFonts w:hint="default"/>
      </w:rPr>
    </w:lvl>
  </w:abstractNum>
  <w:num w:numId="1">
    <w:abstractNumId w:val="2"/>
  </w:num>
  <w:num w:numId="2">
    <w:abstractNumId w:val="5"/>
  </w:num>
  <w:num w:numId="3">
    <w:abstractNumId w:val="0"/>
  </w:num>
  <w:num w:numId="4">
    <w:abstractNumId w:val="1"/>
  </w:num>
  <w:num w:numId="5">
    <w:abstractNumId w:val="6"/>
  </w:num>
  <w:num w:numId="6">
    <w:abstractNumId w:val="4"/>
  </w:num>
  <w:num w:numId="7">
    <w:abstractNumId w:val="3"/>
  </w:num>
  <w:num w:numId="8">
    <w:abstractNumId w:val="8"/>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bordersDoNotSurroundHeader/>
  <w:bordersDoNotSurroundFooter/>
  <w:doNotTrackMove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文档修订信息"/>
    <w:basedOn w:val="Normal"/>
    <w:qFormat/>
    <w:pPr>
      <w:widowControl w:val="0"/>
      <w:ind w:firstLine="470" w:firstLineChars="200"/>
      <w:jc w:val="center"/>
    </w:pPr>
    <w:rPr>
      <w:rFonts w:ascii="Arial" w:hAnsi="Arial" w:hint="eastAsia"/>
      <w:b/>
      <w:bCs/>
      <w:sz w:val="24"/>
      <w:lang w:eastAsia="zh-CN"/>
    </w:rPr>
  </w:style>
  <w:style w:type="paragraph" w:customStyle="1" w:styleId="a0">
    <w:name w:val="柴_公司名"/>
    <w:basedOn w:val="Title"/>
    <w:qFormat/>
    <w:pPr>
      <w:spacing w:after="600" w:afterLines="600"/>
    </w:pPr>
    <w:rPr>
      <w:rFonts w:ascii="宋体" w:eastAsia="宋体" w:hAnsi="宋体" w:cs="宋体" w:hint="eastAsia"/>
      <w:bCs/>
      <w:spacing w:val="-6"/>
      <w:sz w:val="52"/>
      <w:szCs w:val="52"/>
    </w:rPr>
  </w:style>
  <w:style w:type="paragraph" w:customStyle="1" w:styleId="a1">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2"/>
    <w:link w:val="1Char"/>
    <w:qFormat/>
    <w:pPr>
      <w:spacing w:before="100" w:after="90" w:line="360" w:lineRule="auto"/>
    </w:pPr>
    <w:rPr>
      <w:rFonts w:ascii="Arial" w:eastAsia="宋体" w:hAnsi="Arial"/>
      <w:sz w:val="32"/>
    </w:rPr>
  </w:style>
  <w:style w:type="paragraph" w:customStyle="1" w:styleId="a2">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2"/>
    <w:link w:val="2Char"/>
    <w:qFormat/>
    <w:pPr>
      <w:spacing w:line="360" w:lineRule="auto"/>
    </w:pPr>
    <w:rPr>
      <w:rFonts w:ascii="Arial" w:eastAsia="宋体" w:hAnsi="Arial"/>
      <w:sz w:val="28"/>
    </w:rPr>
  </w:style>
  <w:style w:type="paragraph" w:customStyle="1" w:styleId="3">
    <w:name w:val="柴_标题3"/>
    <w:basedOn w:val="Heading3"/>
    <w:next w:val="a2"/>
    <w:qFormat/>
    <w:pPr>
      <w:spacing w:line="360" w:lineRule="auto"/>
      <w:ind w:left="0" w:firstLine="472" w:firstLineChars="200"/>
    </w:pPr>
    <w:rPr>
      <w:rFonts w:ascii="宋体" w:eastAsia="宋体" w:hAnsi="宋体" w:cs="宋体"/>
      <w:spacing w:val="-2"/>
      <w:sz w:val="24"/>
      <w:szCs w:val="24"/>
    </w:rPr>
  </w:style>
  <w:style w:type="paragraph" w:customStyle="1" w:styleId="a3">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4">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2"/>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4"/>
    <w:qFormat/>
    <w:rPr>
      <w:rFonts w:ascii="Arial" w:hAnsi="Arial"/>
      <w:sz w:val="24"/>
      <w:lang w:eastAsia="zh-CN"/>
    </w:rPr>
  </w:style>
  <w:style w:type="character" w:customStyle="1" w:styleId="2Char">
    <w:name w:val="柴_标题2 Char"/>
    <w:link w:val="2"/>
    <w:qFormat/>
    <w:rPr>
      <w:rFonts w:ascii="Arial" w:eastAsia="宋体" w:hAnsi="Arial"/>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20</TotalTime>
  <Pages>12</Pages>
  <Words>2907</Words>
  <Characters>3087</Characters>
  <Application>Microsoft Office Word</Application>
  <DocSecurity>0</DocSecurity>
  <Lines>0</Lines>
  <Paragraphs>0</Paragraphs>
  <ScaleCrop>false</ScaleCrop>
  <Company/>
  <LinksUpToDate>false</LinksUpToDate>
  <CharactersWithSpaces>3522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2026-04-07T17:07:40Z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