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bidi w:val="0"/>
        <w:rPr>
          <w:rFonts w:hint="eastAsia"/>
          <w:lang w:val="en-US" w:eastAsia="zh-CN"/>
        </w:rPr>
      </w:pPr>
      <w:bookmarkStart w:id="0" w:name="_Toc3156"/>
      <w:bookmarkStart w:id="1" w:name="_Toc6353"/>
      <w:r>
        <w:rPr>
          <w:rFonts w:hint="eastAsia"/>
          <w:lang w:val="en-US" w:eastAsia="zh-CN"/>
        </w:rPr>
        <w:t>华风数据(深圳)有限公司</w:t>
      </w:r>
      <w:bookmarkEnd w:id="0"/>
      <w:bookmarkEnd w:id="1"/>
    </w:p>
    <w:p>
      <w:pPr>
        <w:pStyle w:val="a1"/>
        <w:bidi w:val="0"/>
        <w:rPr>
          <w:rFonts w:hint="eastAsia"/>
          <w:lang w:val="en-US" w:eastAsia="zh-CN"/>
        </w:rPr>
      </w:pPr>
      <w:bookmarkStart w:id="2" w:name="_Toc10664"/>
      <w:bookmarkStart w:id="3" w:name="_Toc1198"/>
      <w:r>
        <w:rPr>
          <w:rFonts w:hint="eastAsia"/>
          <w:lang w:val="en-US" w:eastAsia="zh-CN"/>
        </w:rPr>
        <w:t>组织级运维服务目录</w:t>
      </w:r>
      <w:bookmarkEnd w:id="2"/>
      <w:bookmarkEnd w:id="3"/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HFSJ-ITSS-0102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3513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bookmarkStart w:id="4" w:name="_Toc4510"/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_Toc6353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华风数据(深圳)有限公司</w:t>
          </w:r>
          <w:r>
            <w:tab/>
          </w:r>
          <w:r>
            <w:fldChar w:fldCharType="begin"/>
          </w:r>
          <w:r>
            <w:instrText xml:space="preserve"> PAGEREF _Toc6353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组织级运维服务目录</w:t>
          </w:r>
          <w:r>
            <w:tab/>
          </w:r>
          <w:r>
            <w:fldChar w:fldCharType="begin"/>
          </w:r>
          <w:r>
            <w:instrText xml:space="preserve"> PAGEREF _Toc1198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术语和定义</w:t>
          </w:r>
          <w:r>
            <w:tab/>
          </w:r>
          <w:r>
            <w:fldChar w:fldCharType="begin"/>
          </w:r>
          <w:r>
            <w:instrText xml:space="preserve"> PAGEREF _Toc28413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公司服务目录表汇总</w:t>
          </w:r>
          <w:r>
            <w:tab/>
          </w:r>
          <w:r>
            <w:fldChar w:fldCharType="begin"/>
          </w:r>
          <w:r>
            <w:instrText xml:space="preserve"> PAGEREF _Toc25355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基础环境运维服务</w:t>
          </w:r>
          <w:r>
            <w:tab/>
          </w:r>
          <w:r>
            <w:fldChar w:fldCharType="begin"/>
          </w:r>
          <w:r>
            <w:instrText xml:space="preserve"> PAGEREF _Toc30692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硬件运维服务</w:t>
          </w:r>
          <w:r>
            <w:tab/>
          </w:r>
          <w:r>
            <w:fldChar w:fldCharType="begin"/>
          </w:r>
          <w:r>
            <w:instrText xml:space="preserve"> PAGEREF _Toc2176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软件运维服务</w:t>
          </w:r>
          <w:r>
            <w:tab/>
          </w:r>
          <w:r>
            <w:fldChar w:fldCharType="begin"/>
          </w:r>
          <w:r>
            <w:instrText xml:space="preserve"> PAGEREF _Toc17060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组织级运维服务目录</w:t>
          </w:r>
          <w:r>
            <w:tab/>
          </w:r>
          <w:r>
            <w:fldChar w:fldCharType="begin"/>
          </w:r>
          <w:r>
            <w:instrText xml:space="preserve"> PAGEREF _Toc1021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rPr>
              <w:rFonts w:ascii="宋体" w:eastAsia="宋体" w:hAnsi="宋体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fldChar w:fldCharType="end"/>
          </w:r>
        </w:p>
      </w:sdtContent>
    </w:sdt>
    <w:p>
      <w:p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>
      <w:p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>
      <w: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eastAsia"/>
          <w:sz w:val="24"/>
          <w:szCs w:val="24"/>
          <w:lang w:val="en-US" w:eastAsia="zh-CN"/>
        </w:rPr>
      </w:pPr>
      <w:bookmarkEnd w:id="4"/>
      <w:bookmarkStart w:id="5" w:name="_Toc28413"/>
      <w:r>
        <w:rPr>
          <w:rFonts w:hint="eastAsia"/>
          <w:sz w:val="24"/>
          <w:szCs w:val="24"/>
          <w:lang w:val="en-US" w:eastAsia="zh-CN"/>
        </w:rPr>
        <w:t>术语和定义</w:t>
      </w:r>
      <w:bookmarkEnd w:id="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7"/>
        <w:gridCol w:w="2019"/>
        <w:gridCol w:w="2805"/>
        <w:gridCol w:w="247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22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服务目录标题</w:t>
            </w:r>
          </w:p>
        </w:tc>
        <w:tc>
          <w:tcPr>
            <w:tcW w:w="20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解释说明</w:t>
            </w:r>
          </w:p>
        </w:tc>
        <w:tc>
          <w:tcPr>
            <w:tcW w:w="280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内容说明</w:t>
            </w:r>
          </w:p>
        </w:tc>
        <w:tc>
          <w:tcPr>
            <w:tcW w:w="247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设计依据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服务类别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定义向客户提供的总体服务种类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分类为:基础环境运维服务/硬件运维服务/软件运维服务等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基于GB/T 29264标准，从整体上定义服务类别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服务范围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特指服务项下所界定的服务范围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如“硬件运维服务”下包括网络运维、主机运维、桌面运维等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从服务销售与购买的角度，需界定明确的服务范围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服务子类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对总体服务种类进行更细的分类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如:网络巡检服务/网络响应支持/网络优化改善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基于GB/T 29264标准，细化服务类别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服务名称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服务子类的具体名称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如:网络设备巡检服务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对服务子类的具体名称描述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服务对象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接受服务的具体设备或系统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如:路由器、交换机、服务器、桌面设备等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明确服务的具体对象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服务简介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针对服务范围内的服务所提供的具体服务活动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如:对网络设备进行定期巡检、状态监控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服务产品的内容组成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服务方式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定义向客户提供的服务支持方式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如:现场/远程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便于客户了解服务交付所提供的支持方式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服务级别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定义向客户提供的服务级别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分类为:高SLA-A/中SLA-B/低SLA-C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不同级别的服务产品对应不同的服务承诺与资源投入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2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交付成果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服务完成后提交的文档或记录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如:巡检单、服务报告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明确服务交付物</w:t>
            </w:r>
          </w:p>
        </w:tc>
      </w:tr>
    </w:tbl>
    <w:p>
      <w:pPr>
        <w:pStyle w:val="1"/>
        <w:bidi w:val="0"/>
        <w:rPr>
          <w:rFonts w:hint="eastAsia"/>
          <w:sz w:val="24"/>
          <w:szCs w:val="24"/>
          <w:lang w:val="en-US" w:eastAsia="zh-CN"/>
        </w:rPr>
      </w:pPr>
      <w:bookmarkStart w:id="6" w:name="_Toc25355"/>
      <w:r>
        <w:rPr>
          <w:rFonts w:hint="eastAsia"/>
          <w:sz w:val="24"/>
          <w:szCs w:val="24"/>
          <w:lang w:val="en-US" w:eastAsia="zh-CN"/>
        </w:rPr>
        <w:t>公司服务目录表汇总</w:t>
      </w:r>
      <w:bookmarkEnd w:id="6"/>
    </w:p>
    <w:p>
      <w:pPr>
        <w:pStyle w:val="2"/>
        <w:bidi w:val="0"/>
        <w:rPr>
          <w:rFonts w:hint="eastAsia"/>
          <w:sz w:val="18"/>
          <w:szCs w:val="18"/>
          <w:lang w:val="en-US" w:eastAsia="zh-CN"/>
        </w:rPr>
      </w:pPr>
      <w:bookmarkStart w:id="7" w:name="_Toc30692"/>
      <w:r>
        <w:rPr>
          <w:rFonts w:hint="eastAsia"/>
          <w:sz w:val="18"/>
          <w:szCs w:val="18"/>
          <w:lang w:val="en-US" w:eastAsia="zh-CN"/>
        </w:rPr>
        <w:t>基础环境运维服务</w:t>
      </w:r>
      <w:bookmarkEnd w:id="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4"/>
        <w:gridCol w:w="2306"/>
        <w:gridCol w:w="1498"/>
        <w:gridCol w:w="290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81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类别</w:t>
            </w:r>
          </w:p>
        </w:tc>
        <w:tc>
          <w:tcPr>
            <w:tcW w:w="230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服务分类</w:t>
            </w:r>
          </w:p>
        </w:tc>
        <w:tc>
          <w:tcPr>
            <w:tcW w:w="14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服务代码</w:t>
            </w:r>
          </w:p>
        </w:tc>
        <w:tc>
          <w:tcPr>
            <w:tcW w:w="290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服务名称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4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基础环境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运维服务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(0401)</w:t>
            </w:r>
          </w:p>
        </w:tc>
        <w:tc>
          <w:tcPr>
            <w:tcW w:w="2306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基础环境运维服务(0401)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0401-01</w:t>
            </w:r>
          </w:p>
        </w:tc>
        <w:tc>
          <w:tcPr>
            <w:tcW w:w="29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基础环境巡检服务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4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30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0401-02</w:t>
            </w:r>
          </w:p>
        </w:tc>
        <w:tc>
          <w:tcPr>
            <w:tcW w:w="29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基础环境响应支持服务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4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306" w:type="dxa"/>
            <w:vMerge/>
            <w:tcBorders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0401-03</w:t>
            </w:r>
          </w:p>
        </w:tc>
        <w:tc>
          <w:tcPr>
            <w:tcW w:w="2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基础环境优化改善服务</w:t>
            </w:r>
          </w:p>
        </w:tc>
      </w:tr>
    </w:tbl>
    <w:p>
      <w:pPr>
        <w:pStyle w:val="2"/>
        <w:bidi w:val="0"/>
        <w:rPr>
          <w:rFonts w:hint="eastAsia"/>
          <w:sz w:val="18"/>
          <w:szCs w:val="18"/>
          <w:lang w:val="en-US" w:eastAsia="zh-CN"/>
        </w:rPr>
      </w:pPr>
      <w:bookmarkStart w:id="8" w:name="_Toc2176"/>
      <w:r>
        <w:rPr>
          <w:rFonts w:hint="eastAsia"/>
          <w:sz w:val="18"/>
          <w:szCs w:val="18"/>
          <w:lang w:val="en-US" w:eastAsia="zh-CN"/>
        </w:rPr>
        <w:t>硬件运维服务</w:t>
      </w:r>
      <w:bookmarkEnd w:id="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6"/>
        <w:gridCol w:w="2830"/>
        <w:gridCol w:w="1511"/>
        <w:gridCol w:w="220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97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类别</w:t>
            </w:r>
          </w:p>
        </w:tc>
        <w:tc>
          <w:tcPr>
            <w:tcW w:w="283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服务分类</w:t>
            </w:r>
          </w:p>
        </w:tc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服务代码</w:t>
            </w:r>
          </w:p>
        </w:tc>
        <w:tc>
          <w:tcPr>
            <w:tcW w:w="2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服务名称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硬件运维服务(0402)</w:t>
            </w:r>
          </w:p>
        </w:tc>
        <w:tc>
          <w:tcPr>
            <w:tcW w:w="283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网络运维服务(040201)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040201-01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网络设备巡检服务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040201-02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网络设备响应支持服务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040201-03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网络设备优化改善服务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主机运维服务(040202)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040202-01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服务器巡检服务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040202-02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服务器响应支持服务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040202-03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服务器优化改善服务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桌面运维服务(040204)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040204-01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桌面设备巡检服务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040204-02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桌面设备响应支持服务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040204-03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桌面设备优化改善服务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其他硬件运维服务(040299)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040299-01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其他硬件巡检服务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040299-02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其他硬件响应支持服务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/>
            <w:tcBorders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040299-03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其他硬件优化改善服务</w:t>
            </w:r>
          </w:p>
        </w:tc>
      </w:tr>
    </w:tbl>
    <w:p>
      <w:pPr>
        <w:pStyle w:val="2"/>
        <w:bidi w:val="0"/>
        <w:rPr>
          <w:rFonts w:hint="default"/>
          <w:sz w:val="18"/>
          <w:szCs w:val="18"/>
          <w:lang w:val="en-US" w:eastAsia="zh-CN"/>
        </w:rPr>
      </w:pPr>
      <w:bookmarkStart w:id="9" w:name="_Toc17060"/>
      <w:r>
        <w:rPr>
          <w:rFonts w:hint="eastAsia"/>
          <w:sz w:val="18"/>
          <w:szCs w:val="18"/>
          <w:lang w:val="en-US" w:eastAsia="zh-CN"/>
        </w:rPr>
        <w:t>软件运维服务</w:t>
      </w:r>
      <w:bookmarkEnd w:id="9"/>
    </w:p>
    <w:tbl>
      <w:tblPr>
        <w:tblStyle w:val="TableNormal"/>
        <w:tblW w:w="852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2698"/>
        <w:gridCol w:w="1666"/>
        <w:gridCol w:w="2344"/>
      </w:tblGrid>
      <w:tr>
        <w:tblPrEx>
          <w:tblW w:w="8523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81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类别</w:t>
            </w:r>
          </w:p>
        </w:tc>
        <w:tc>
          <w:tcPr>
            <w:tcW w:w="26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服务分类</w:t>
            </w:r>
          </w:p>
        </w:tc>
        <w:tc>
          <w:tcPr>
            <w:tcW w:w="166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服务代码</w:t>
            </w:r>
          </w:p>
        </w:tc>
        <w:tc>
          <w:tcPr>
            <w:tcW w:w="234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服务名称</w:t>
            </w:r>
          </w:p>
        </w:tc>
      </w:tr>
      <w:tr>
        <w:tblPrEx>
          <w:tblW w:w="852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5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软件运维服务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(0403)</w:t>
            </w:r>
          </w:p>
        </w:tc>
        <w:tc>
          <w:tcPr>
            <w:tcW w:w="2698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应用软件运维服务(040303)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040303-01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应用软件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例行操作</w:t>
            </w:r>
          </w:p>
        </w:tc>
      </w:tr>
      <w:tr>
        <w:tblPrEx>
          <w:tblW w:w="852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5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698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040303-02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应用软件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响应支持</w:t>
            </w:r>
          </w:p>
        </w:tc>
      </w:tr>
      <w:tr>
        <w:tblPrEx>
          <w:tblW w:w="852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5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698" w:type="dxa"/>
            <w:vMerge/>
            <w:tcBorders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040303-03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应用软件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优化改善</w:t>
            </w:r>
          </w:p>
        </w:tc>
      </w:tr>
    </w:tbl>
    <w:p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il"/>
            <w:left w:val="nil"/>
            <w:bottom w:val="nil"/>
            <w:right w:val="nil"/>
          </w:pgBorders>
          <w:cols w:num="1" w:space="425"/>
          <w:docGrid w:type="lines" w:linePitch="312" w:charSpace="0"/>
        </w:sectPr>
      </w:pPr>
    </w:p>
    <w:p>
      <w:pPr>
        <w:pStyle w:val="1"/>
        <w:bidi w:val="0"/>
        <w:rPr>
          <w:rFonts w:hint="eastAsia"/>
          <w:sz w:val="24"/>
          <w:szCs w:val="24"/>
          <w:lang w:val="en-US" w:eastAsia="zh-CN"/>
        </w:rPr>
      </w:pPr>
      <w:bookmarkStart w:id="10" w:name="_Toc1021"/>
      <w:r>
        <w:rPr>
          <w:rFonts w:hint="eastAsia"/>
          <w:sz w:val="24"/>
          <w:szCs w:val="24"/>
          <w:lang w:val="en-US" w:eastAsia="zh-CN"/>
        </w:rPr>
        <w:t>组织级运维服务目录</w:t>
      </w:r>
      <w:bookmarkEnd w:id="10"/>
    </w:p>
    <w:tbl>
      <w:tblPr>
        <w:tblStyle w:val="TableNormal"/>
        <w:tblW w:w="1417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0" w:type="dxa"/>
          <w:bottom w:w="0" w:type="dxa"/>
          <w:right w:w="0" w:type="dxa"/>
        </w:tblCellMar>
      </w:tblPr>
      <w:tblGrid>
        <w:gridCol w:w="756"/>
        <w:gridCol w:w="1415"/>
        <w:gridCol w:w="1198"/>
        <w:gridCol w:w="1332"/>
        <w:gridCol w:w="2234"/>
        <w:gridCol w:w="2920"/>
        <w:gridCol w:w="825"/>
        <w:gridCol w:w="2763"/>
        <w:gridCol w:w="731"/>
      </w:tblGrid>
      <w:tr>
        <w:tblPrEx>
          <w:tblW w:w="1417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tblHeader/>
          <w:jc w:val="center"/>
        </w:trPr>
        <w:tc>
          <w:tcPr>
            <w:tcW w:w="75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类别</w:t>
            </w:r>
          </w:p>
        </w:tc>
        <w:tc>
          <w:tcPr>
            <w:tcW w:w="141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服务范围</w:t>
            </w:r>
          </w:p>
        </w:tc>
        <w:tc>
          <w:tcPr>
            <w:tcW w:w="11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服务子类</w:t>
            </w:r>
          </w:p>
        </w:tc>
        <w:tc>
          <w:tcPr>
            <w:tcW w:w="133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服务名称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服务对象</w:t>
            </w:r>
          </w:p>
        </w:tc>
        <w:tc>
          <w:tcPr>
            <w:tcW w:w="29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服务内容简介及目标</w:t>
            </w:r>
          </w:p>
        </w:tc>
        <w:tc>
          <w:tcPr>
            <w:tcW w:w="8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服务方式</w:t>
            </w:r>
          </w:p>
        </w:tc>
        <w:tc>
          <w:tcPr>
            <w:tcW w:w="276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服务级别</w:t>
            </w:r>
          </w:p>
        </w:tc>
        <w:tc>
          <w:tcPr>
            <w:tcW w:w="7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交付成果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0401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基础环境运维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default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0401-01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电力、空调、消防、UPS、安防等基础环境的运维例行维护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自动化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、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UPS机房、调度室机房、调控主站机房、数据网机房、通讯机房、通讯机房配网机房、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通讯及机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房电源室等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对基础环境设备进行例行巡检、日常维保，记录UPS运行状态、温度、湿度、烟雾报警等。目标：及时发现潜在隐患，保障基础环境稳定运行。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default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0401-02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电力、空调、消防、UPS、安防等基础环境的运维响应支持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自动化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、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UPS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、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机房、调度室机房、调控主站机房、数据网机房、通讯机房、通讯机房配网机房、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通讯及机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房电源室等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对基础环境设备出现的各类突发故障进行快速响应、精准诊断与有效恢复。目标：在最短时间内恢复故障，最大限度减少对客户业务的干扰和中断影响。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default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0401-03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电力、空调、消防、UPS、安防等基础环境的运维优化改善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自动化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、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UPS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机房、调度室机房、调控主站机房、数据网机房、通讯机房、通讯机房配网机房、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通讯及机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房电源室等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分析基础环境存在的各类问题与潜在风险，提出并实施针对性的优化改善方案。目标：持续提升基础环境的整体可靠性、运行效率及抗风险能力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040201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网络运维服务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040201-01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网络设备巡检服务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路由器、交换机、防火墙、负载均衡等网络设备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定期对路由器、交换机、防火墙进行巡检，保障网络状态稳定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040201-02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网络设备响应支持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路由器、交换机、防火墙、负载均衡等网络设备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及时响应路由器、交换机、防火墙扥网络设备故障，恢复网络运行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040201-03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网络设备优化改善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路由器、交换机、防火墙、负载均衡等网络设备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分析网络设备原因，及时进行优化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040202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主机运维服务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040202-01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主机巡检服务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机架式服务器、PC服务器、小型服务器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定期对服务器进行状态检查、性能监控、系统日志分析，及时发现并处理潜在问题，保障服务器稳定运行。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040202-02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主机响应支持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机架式服务器、PC服务器、小型服务器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及时响应并解决服务器的突发故障，提供技术支持，进行故障诊断与处理，恢复业务正常运行。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040202-03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主机设备优化改善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机架式服务器、PC服务器、小型服务器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分析服务器运行中出现问题的原因，进行系统参数优化、资源配置优化、性能调优，提升服务器运行效率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040204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桌面运维服务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040204-01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桌面设备巡检服务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台式机、工作站、便携式计算机等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定期对桌面设备进行状态检查、系统更新、病毒查杀，及时发现并处理潜在问题，保障用户正常使用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高 SLA-A：巡检每天/次；</w:t>
            </w:r>
          </w:p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中 SLA-B：巡检每周/次；</w:t>
            </w:r>
          </w:p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040204-02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桌面设备响应支持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台式机、工作站、便携式计算机等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及时响应并解决桌面设备的突发故障，提供技术支持，进行故障诊断与处理，恢复设备正常运行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高 SLA-A：服务时间：7×24，15分钟内响应/1小时远程解决/2小时现场；</w:t>
            </w:r>
          </w:p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中 SLA-B：30分钟内响应/2-4小时远程/1工作日现场；</w:t>
            </w:r>
          </w:p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低 SLA-C：2小时内响应/4-8小时远程/2工作日现场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040204-03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桌面设备优化改善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台式机、工作站、便携式计算机等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分析桌面设备运行中出现问题的原因，进行系统优化、软件升级、硬件升级建议，提升用户体验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040299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其他硬件运维服务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040299-01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收银机、扫码枪/扫码设备、打印机、终端电脑等硬件设备例行操作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收银机、扫码枪/扫码设备、打印机、终端电脑等硬件设备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定期对收银机、扫码枪/扫码设备、打印机、终端电脑等硬件设备进行状态检查、连接稳定性测试、设备清洁保养，保障硬件设备稳定运行，完成巡检记录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040299-02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收银机、扫码枪/扫码设备、打印机、终端电脑等硬件设备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响应支持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收银机、扫码枪/扫码设备、打印机、终端电脑等硬件设备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及时响应并解决收银机、扫码枪/扫码设备、打印机、终端电脑等硬件设备的突发故障，提供故障诊断、远程处理及现场维修服务，恢复设备正常运行，提交故障处理报告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040299-03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收银机、扫码枪/扫码设备、打印机、终端电脑等硬件设备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优化改善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收银机、扫码枪/扫码设备、打印机、终端电脑等硬件设备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分析收银机、扫码枪/扫码设备、打印机、终端电脑等硬件设备运行中出现问题的原因，进行性能调优、配置优化、硬件升级建议，提升硬件设备运行效率，提交优化改善报告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040301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基础软件运维服务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040301-01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基础软件例行操作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操作系统、数据库系统、中间件等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定期对操作系统、数据库系统、中间件等基础软件进行状态检查、日志分析、性能监控，及时发现并处理潜在问题，保障基础软件稳定运行，完成巡检记录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040301-02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基础软件响应支持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操作系统、数据库系统、中间件等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及时响应并解决操作系统、数据库系统、中间件等基础软件的突发故障，提供故障诊断、技术支持与修复服务，恢复基础软件正常运行，提交故障处理报告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040301-03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基础软件优化改善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操作系统、数据库系统、中间件等</w:t>
            </w:r>
            <w:bookmarkStart w:id="11" w:name="_GoBack"/>
            <w:bookmarkEnd w:id="11"/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分析基础软件运行中出现性能问题的原因，进行系统参数优化、版本升级、配置调优，提升基础软件运行效率，提交优化改善报告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040303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应用软件运维服务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040303-01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应用软件例行操作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ERP系统（企业门店ERP统一管理系统）、金蝶云星空企业版私有云订阅9.1、金税开票系统、司库收付款系统、BIP凭证系统、云之家应用、主数据系统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定期对ERP系统、金蝶云星空企业版私有云订阅9.1、金税开票系统、司库收付款系统、BIP凭证系统、云之家应用、主数据系统等应用软件进行运行状态检查、日志分析、性能监控，及时发现并处理潜在问题，保障应用软件稳定运行，完成巡检报告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040303-02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应用软件响应支持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ERP系统（企业门店ERP统一管理系统）、金蝶云星空企业版私有云订阅9.1、金税开票系统、司库收付款系统、BIP凭证系统、云之家应用、主数据系统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及时响应并解决ERP系统、金蝶云星空企业版私有云订阅9.1、金税开票系统、司库收付款系统、BIP凭证系统、云之家应用、主数据系统等应用软件的突发故障，对服务请求或故障申报提供及时服务，对应用软件中的参数、数据、权限等进行增删改查操作，提供技术支持，修复故障，按期提交故障处理报告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left w:val="single" w:sz="12" w:space="0" w:color="auto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040303-03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应用软件优化改善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ERP系统（企业门店ERP统一管理系统）、金蝶云星空企业版私有云订阅9.1、金税开票系统、司库收付款系统、BIP凭证系统、云之家应用、主数据系统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针对ERP系统、金蝶云星空企业版私有云订阅9.1、金税开票系统、司库收付款系统、BIP凭证系统、云之家应用、主数据系统等应用软件运行中出现的性能问题，进行分析诊断，找出问题原因和解决方法，进行系统参数优化、功能完善、版本升级，提升应用软件运行效率和用户体验，提交优化改善报告</w:t>
            </w:r>
          </w:p>
        </w:tc>
        <w:tc>
          <w:tcPr>
            <w:tcW w:w="825" w:type="dxa"/>
            <w:vMerge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</w:tbl>
    <w:p>
      <w:pPr>
        <w:pStyle w:val="a2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il"/>
        <w:left w:val="nil"/>
        <w:bottom w:val="nil"/>
        <w:right w:val="nil"/>
      </w:pgBorders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4522</Words>
  <Characters>5334</Characters>
  <Application>Microsoft Office Word</Application>
  <DocSecurity>0</DocSecurity>
  <Lines>0</Lines>
  <Paragraphs>0</Paragraphs>
  <ScaleCrop>false</ScaleCrop>
  <Company/>
  <LinksUpToDate>false</LinksUpToDate>
  <CharactersWithSpaces>5510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2026-04-07T17:31:55Z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