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华风数据(深圳)有限公司</w:t>
      </w:r>
      <w:bookmarkEnd w:id="0"/>
    </w:p>
    <w:p>
      <w:pPr>
        <w:pStyle w:val="a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运维服务能力指标体系</w:t>
      </w:r>
    </w:p>
    <w:tbl>
      <w:tblPr>
        <w:tblStyle w:val="TableGrid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HFSJ-ITSS-0303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姚耿桂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黄剑锋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黄文广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</w:tbl>
    <w:p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1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TableGrid"/>
        <w:tblW w:w="851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>
        <w:tblPrEx>
          <w:tblW w:w="8519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2025.1.3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姚耿桂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162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Style w:val="Strong"/>
          <w:rFonts w:ascii="微软雅黑" w:eastAsia="微软雅黑" w:hAnsi="微软雅黑" w:cs="微软雅黑" w:hint="default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sectPr>
          <w:headerReference w:type="default" r:id="rId4"/>
          <w:pgSz w:w="11906" w:h="16838"/>
          <w:pgMar w:top="1440" w:right="1800" w:bottom="1440" w:left="1800" w:header="851" w:footer="992" w:gutter="0"/>
          <w:cols w:num="1" w:space="425"/>
          <w:docGrid w:type="lines" w:linePitch="312" w:charSpace="0"/>
        </w:sectPr>
      </w:pPr>
      <w:r>
        <w:rPr>
          <w:rStyle w:val="Strong"/>
          <w:rFonts w:ascii="微软雅黑" w:eastAsia="微软雅黑" w:hAnsi="微软雅黑" w:cs="微软雅黑" w:hint="default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tbl>
      <w:tblPr>
        <w:tblStyle w:val="TableNormal"/>
        <w:tblW w:w="0" w:type="auto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47"/>
        <w:gridCol w:w="1644"/>
        <w:gridCol w:w="2004"/>
        <w:gridCol w:w="5516"/>
        <w:gridCol w:w="924"/>
        <w:gridCol w:w="924"/>
        <w:gridCol w:w="1284"/>
      </w:tblGrid>
      <w:tr>
        <w:tblPrEx>
          <w:tblW w:w="0" w:type="auto"/>
          <w:tblInd w:w="0" w:type="dxa"/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  <w:insideH w:val="single" w:sz="12" w:space="0" w:color="000000"/>
            <w:insideV w:val="single" w:sz="12" w:space="0" w:color="00000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能力域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子项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指标名称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计算公式/方法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频度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目标值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责任部门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招聘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人员招聘计划达成率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（实际招聘人数/计划招聘人数）×100%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≥80%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储备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人员储备计划达成率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（实际储备人数/计划储备人数）×100%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≥80%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培训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人员培训计划达成率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（实际培训完成课程数/计划培训课程数）×100%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备份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备份人员能力达标率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（能力验证合格的备份人员数/备份人员总数）×100%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绩效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绩效考核及时完成率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（按时完成绩效考核的员工数/应参加绩效考核总人数）×100%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月度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技能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技能评价覆盖率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（实际参加技能评价的员工数/应参加技能评价员工总数）×100%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半年度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资源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工具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运维工具评审次数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对运维工具使用效果的评审次数统计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≥1次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服务台请求关闭率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（服务台请求关闭数量/服务记录服务请求数量）×100%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月度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服务台接通率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（接通电话数/总来电数）×100%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月度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≥98%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备件库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备件可用率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（合格可用数量/总数量）×100%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≥95%</w:t>
            </w:r>
          </w:p>
        </w:tc>
        <w:tc>
          <w:tcPr>
            <w:tcW w:w="128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备件库存准确率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（账实相符数量/盘点数量）×100%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月度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100%</w:t>
            </w:r>
          </w:p>
        </w:tc>
        <w:tc>
          <w:tcPr>
            <w:tcW w:w="128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服务知识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新增知识条目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每月度知识库中新增有效知识条目数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月度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≥5条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服务知识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使用率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（使用人数/应使用人数）×100%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≥80%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知识采纳率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（采纳知识数/提交知识数）×100%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≥70%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最终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软件库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软件入库完整率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（已登记入库的软件数 / 应登记入库的软件总数）</w:t>
            </w: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*100%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半年度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服务数据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数据备份成功率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（成功备份次数/计划备份次数）×100%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月度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≥99%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数据恢复成功率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（成功恢复次数/恢复演练次数）×100%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半年度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数据完整性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关键数据字段完整率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≥99%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产品产品质量部</w:t>
            </w:r>
            <w:bookmarkStart w:id="1" w:name="_GoBack"/>
            <w:bookmarkEnd w:id="1"/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技术</w:t>
            </w: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研发计划完成率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（实际完成项目数/计划项目数）×100%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技术研发完成延时率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【（开发实际周期/开发计划周期）-1】×100%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≤5%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过程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框架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过程框架评价次数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年度内过程框架评价次数统计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≥1次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服务级别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SLA达成率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（当</w:t>
            </w: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前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已达成的SLA数/当</w:t>
            </w: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前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应达成的SLA总数）×100%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SLA评审次数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SLA评审次数统计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≥1次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服务报告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服务报告交付及时率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（按时提交的服务报告数量/应提交服务报告总数量）×100%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服务报告准确率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（数据准确的服务报告数量/服务报告总数量）×100%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≥98%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事件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事件解决率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（成功解决事件数/已关闭事件总数）×100%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一线解决率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（一线解决事件数/事件总数）×100%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月度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≥70%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问题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问题解决率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（成功解决问题数/问题总数）×100%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变更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变更成功率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（成功变更数/发起变更总数）×100%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≥92%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发布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发布成功率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（发布成功次数/发布总次数）×100%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配置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配置数据准确率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（配置数据匹配数/配置数据总数）×100%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配置项覆盖率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（已识别配置项数/应识别配置项数）×100%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可用性和连续性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服务可用性达标率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（系统实际持续可用时间/系统计划持续可用时间）×100%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≥99%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服务异常中断次数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由于异常情况导致服务中断的次数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≤2次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容量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容量报告及时性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（实际按时提交的报告数/应按时提交的报告数）×100%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信息安全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安全培训覆盖率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（接受培训人数/应培训人数）×100%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信息安全事故数量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我方人员造成安全事故的次数统计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≤1次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交付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交付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交付通过率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（一次交付成功项目数 / 总交付项目数）× 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应急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应急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应急演练次数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应急演练报告数量统计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≥1次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内审次数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数量，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内审报告数量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≥1次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产品产品质量部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管评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管评次数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数量，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管评报告数量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≥1次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产品产品质量部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满意度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客户投诉数量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服务台收到的客户投诉的数量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≤2次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产品产品质量部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vMerge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满意度得分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满意度得分总和/满意度调查客户数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≥95分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产品产品质量部</w:t>
            </w:r>
          </w:p>
        </w:tc>
      </w:tr>
    </w:tbl>
    <w:p>
      <w:pPr>
        <w:pStyle w:val="a1"/>
        <w:rPr>
          <w:rFonts w:hint="default"/>
          <w:lang w:val="en-US" w:eastAsia="zh-CN"/>
        </w:rPr>
      </w:pPr>
    </w:p>
    <w:sectPr>
      <w:pgSz w:w="16838" w:h="11906" w:orient="landscape"/>
      <w:pgMar w:top="1800" w:right="1440" w:bottom="1800" w:left="144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 w:qFormat="1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 w:qFormat="1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ableofFigures">
    <w:name w:val="table of figures"/>
    <w:basedOn w:val="Normal"/>
    <w:next w:val="Normal"/>
    <w:qFormat/>
    <w:pPr>
      <w:ind w:hanging="200" w:leftChars="200" w:hangingChars="200"/>
    </w:p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HTMLPreformatted">
    <w:name w:val="HTML Preformatted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 w:hint="eastAsia"/>
      <w:kern w:val="0"/>
      <w:sz w:val="24"/>
      <w:szCs w:val="24"/>
      <w:lang w:val="en-US" w:eastAsia="zh-CN"/>
    </w:r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link w:val="2Char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link w:val="Char0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har0">
    <w:name w:val="柴_正文_无缩进 Char"/>
    <w:link w:val="a3"/>
    <w:qFormat/>
    <w:rPr>
      <w:rFonts w:ascii="Arial" w:hAnsi="Arial"/>
      <w:sz w:val="24"/>
      <w:lang w:eastAsia="zh-CN"/>
    </w:rPr>
  </w:style>
  <w:style w:type="character" w:customStyle="1" w:styleId="2Char">
    <w:name w:val="柴_标题2 Char"/>
    <w:link w:val="2"/>
    <w:qFormat/>
    <w:rPr>
      <w:rFonts w:ascii="Arial" w:eastAsia="宋体" w:hAnsi="Arial"/>
      <w:sz w:val="28"/>
    </w:rPr>
  </w:style>
  <w:style w:type="character" w:customStyle="1" w:styleId="Char1">
    <w:name w:val="柴_题注 Char"/>
    <w:link w:val="a4"/>
    <w:qFormat/>
  </w:style>
  <w:style w:type="paragraph" w:customStyle="1" w:styleId="a4">
    <w:name w:val="柴_题注"/>
    <w:basedOn w:val="HTMLPreformatted"/>
    <w:link w:val="Char1"/>
    <w:qFormat/>
    <w:pPr>
      <w:pBdr>
        <w:top w:val="nil"/>
        <w:left w:val="nil"/>
        <w:bottom w:val="nil"/>
        <w:right w:val="nil"/>
      </w:pBdr>
      <w:wordWrap w:val="0"/>
      <w:spacing w:line="264" w:lineRule="atLeas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header" Target="header1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160</Words>
  <Characters>221</Characters>
  <Application>Microsoft Office Word</Application>
  <DocSecurity>0</DocSecurity>
  <Lines>0</Lines>
  <Paragraphs>0</Paragraphs>
  <ScaleCrop>false</ScaleCrop>
  <Company/>
  <LinksUpToDate>false</LinksUpToDate>
  <CharactersWithSpaces>221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郝宇</cp:lastModifiedBy>
  <cp:revision>0</cp:revision>
  <dcterms:created xsi:type="dcterms:W3CDTF">2026-03-11T00:26:00Z</dcterms:created>
  <dcterms:modified xsi:type="dcterms:W3CDTF">2026-04-09T16:55:25Z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