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HFSJ-ITSS-0305</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_Toc6885 </w:instrText>
          </w:r>
          <w:r>
            <w:fldChar w:fldCharType="separate"/>
          </w:r>
          <w:r>
            <w:rPr>
              <w:rFonts w:hint="default"/>
              <w:lang w:val="en-US" w:eastAsia="zh-CN"/>
            </w:rPr>
            <w:t>1. 公司现状分析</w:t>
          </w:r>
          <w:r>
            <w:tab/>
          </w:r>
          <w:r>
            <w:fldChar w:fldCharType="begin"/>
          </w:r>
          <w:r>
            <w:instrText xml:space="preserve"> PAGEREF _Toc6885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_Toc928 </w:instrText>
          </w:r>
          <w:r>
            <w:fldChar w:fldCharType="separate"/>
          </w:r>
          <w:r>
            <w:rPr>
              <w:rFonts w:hint="default"/>
              <w:lang w:val="en-US" w:eastAsia="zh-CN"/>
            </w:rPr>
            <w:t>1.1. 优势分析</w:t>
          </w:r>
          <w:r>
            <w:tab/>
          </w:r>
          <w:r>
            <w:fldChar w:fldCharType="begin"/>
          </w:r>
          <w:r>
            <w:instrText xml:space="preserve"> PAGEREF _Toc928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_Toc24875 </w:instrText>
          </w:r>
          <w:r>
            <w:fldChar w:fldCharType="separate"/>
          </w:r>
          <w:r>
            <w:rPr>
              <w:rFonts w:hint="default"/>
              <w:lang w:val="en-US" w:eastAsia="zh-CN"/>
            </w:rPr>
            <w:t>1.2. 待改进方面</w:t>
          </w:r>
          <w:r>
            <w:tab/>
          </w:r>
          <w:r>
            <w:fldChar w:fldCharType="begin"/>
          </w:r>
          <w:r>
            <w:instrText xml:space="preserve"> PAGEREF _Toc24875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_Toc962 </w:instrText>
          </w:r>
          <w:r>
            <w:fldChar w:fldCharType="separate"/>
          </w:r>
          <w:r>
            <w:rPr>
              <w:rFonts w:hint="default"/>
              <w:lang w:val="en-US" w:eastAsia="zh-CN"/>
            </w:rPr>
            <w:t>2. 运维业务分析</w:t>
          </w:r>
          <w:r>
            <w:tab/>
          </w:r>
          <w:r>
            <w:fldChar w:fldCharType="begin"/>
          </w:r>
          <w:r>
            <w:instrText xml:space="preserve"> PAGEREF _Toc962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_Toc8971 </w:instrText>
          </w:r>
          <w:r>
            <w:fldChar w:fldCharType="separate"/>
          </w:r>
          <w:r>
            <w:rPr>
              <w:rFonts w:hint="default"/>
              <w:lang w:val="en-US" w:eastAsia="zh-CN"/>
            </w:rPr>
            <w:t>2.1. 开展运维服务的优势</w:t>
          </w:r>
          <w:r>
            <w:tab/>
          </w:r>
          <w:r>
            <w:fldChar w:fldCharType="begin"/>
          </w:r>
          <w:r>
            <w:instrText xml:space="preserve"> PAGEREF _Toc8971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_Toc17913 </w:instrText>
          </w:r>
          <w:r>
            <w:fldChar w:fldCharType="separate"/>
          </w:r>
          <w:r>
            <w:rPr>
              <w:rFonts w:hint="default"/>
              <w:lang w:val="en-US" w:eastAsia="zh-CN"/>
            </w:rPr>
            <w:t>2.2. 开展运维服务的待改进方面</w:t>
          </w:r>
          <w:r>
            <w:tab/>
          </w:r>
          <w:r>
            <w:fldChar w:fldCharType="begin"/>
          </w:r>
          <w:r>
            <w:instrText xml:space="preserve"> PAGEREF _Toc17913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_Toc22785 </w:instrText>
          </w:r>
          <w:r>
            <w:fldChar w:fldCharType="separate"/>
          </w:r>
          <w:r>
            <w:rPr>
              <w:rFonts w:hint="default"/>
              <w:lang w:val="en-US" w:eastAsia="zh-CN"/>
            </w:rPr>
            <w:t>2.2.1. 人员管理方面</w:t>
          </w:r>
          <w:r>
            <w:tab/>
          </w:r>
          <w:r>
            <w:fldChar w:fldCharType="begin"/>
          </w:r>
          <w:r>
            <w:instrText xml:space="preserve"> PAGEREF _Toc22785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_Toc29153 </w:instrText>
          </w:r>
          <w:r>
            <w:fldChar w:fldCharType="separate"/>
          </w:r>
          <w:r>
            <w:rPr>
              <w:rFonts w:hint="default"/>
              <w:lang w:val="en-US" w:eastAsia="zh-CN"/>
            </w:rPr>
            <w:t>2.2.2. 资源管理方面</w:t>
          </w:r>
          <w:r>
            <w:tab/>
          </w:r>
          <w:r>
            <w:fldChar w:fldCharType="begin"/>
          </w:r>
          <w:r>
            <w:instrText xml:space="preserve"> PAGEREF _Toc29153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_Toc8455 </w:instrText>
          </w:r>
          <w:r>
            <w:fldChar w:fldCharType="separate"/>
          </w:r>
          <w:r>
            <w:rPr>
              <w:rFonts w:hint="default"/>
              <w:lang w:val="en-US" w:eastAsia="zh-CN"/>
            </w:rPr>
            <w:t>2.2.3. 技术管理方面</w:t>
          </w:r>
          <w:r>
            <w:tab/>
          </w:r>
          <w:r>
            <w:fldChar w:fldCharType="begin"/>
          </w:r>
          <w:r>
            <w:instrText xml:space="preserve"> PAGEREF _Toc8455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_Toc5935 </w:instrText>
          </w:r>
          <w:r>
            <w:fldChar w:fldCharType="separate"/>
          </w:r>
          <w:r>
            <w:rPr>
              <w:rFonts w:hint="default"/>
              <w:lang w:val="en-US" w:eastAsia="zh-CN"/>
            </w:rPr>
            <w:t>2.2.4. 过程管理方面</w:t>
          </w:r>
          <w:r>
            <w:tab/>
          </w:r>
          <w:r>
            <w:fldChar w:fldCharType="begin"/>
          </w:r>
          <w:r>
            <w:instrText xml:space="preserve"> PAGEREF _Toc5935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_Toc5916 </w:instrText>
          </w:r>
          <w:r>
            <w:fldChar w:fldCharType="separate"/>
          </w:r>
          <w:r>
            <w:rPr>
              <w:rFonts w:hint="default"/>
              <w:lang w:val="en-US" w:eastAsia="zh-CN"/>
            </w:rPr>
            <w:t>3. 年度运维服务能力计划</w:t>
          </w:r>
          <w:r>
            <w:tab/>
          </w:r>
          <w:r>
            <w:fldChar w:fldCharType="begin"/>
          </w:r>
          <w:r>
            <w:instrText xml:space="preserve"> PAGEREF _Toc5916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_Toc26777 </w:instrText>
          </w:r>
          <w:r>
            <w:fldChar w:fldCharType="separate"/>
          </w:r>
          <w:r>
            <w:rPr>
              <w:rFonts w:hint="default"/>
              <w:lang w:val="en-US" w:eastAsia="zh-CN"/>
            </w:rPr>
            <w:t>3.1. 人员管理规划</w:t>
          </w:r>
          <w:r>
            <w:tab/>
          </w:r>
          <w:r>
            <w:fldChar w:fldCharType="begin"/>
          </w:r>
          <w:r>
            <w:instrText xml:space="preserve"> PAGEREF _Toc26777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_Toc22274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_Toc22274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_Toc7963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_Toc7963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_Toc6400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_Toc6400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_Toc20530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_Toc20530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_Toc10668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_Toc10668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_Toc5882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_Toc5882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_Toc15625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_Toc15625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_Toc12131 </w:instrText>
          </w:r>
          <w:r>
            <w:fldChar w:fldCharType="separate"/>
          </w:r>
          <w:r>
            <w:rPr>
              <w:rFonts w:hint="default"/>
              <w:lang w:val="en-US" w:eastAsia="zh-CN"/>
            </w:rPr>
            <w:t>3.2.1. 运维工具管理</w:t>
          </w:r>
          <w:r>
            <w:tab/>
          </w:r>
          <w:r>
            <w:fldChar w:fldCharType="begin"/>
          </w:r>
          <w:r>
            <w:instrText xml:space="preserve"> PAGEREF _Toc12131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_Toc24438 </w:instrText>
          </w:r>
          <w:r>
            <w:fldChar w:fldCharType="separate"/>
          </w:r>
          <w:r>
            <w:rPr>
              <w:rFonts w:hint="default"/>
              <w:lang w:val="en-US" w:eastAsia="zh-CN"/>
            </w:rPr>
            <w:t>3.2.2. 服务知识管理</w:t>
          </w:r>
          <w:r>
            <w:tab/>
          </w:r>
          <w:r>
            <w:fldChar w:fldCharType="begin"/>
          </w:r>
          <w:r>
            <w:instrText xml:space="preserve"> PAGEREF _Toc24438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_Toc23500 </w:instrText>
          </w:r>
          <w:r>
            <w:fldChar w:fldCharType="separate"/>
          </w:r>
          <w:r>
            <w:rPr>
              <w:rFonts w:hint="default"/>
              <w:lang w:val="en-US" w:eastAsia="zh-CN"/>
            </w:rPr>
            <w:t>3.2.3. 服务台管理</w:t>
          </w:r>
          <w:r>
            <w:tab/>
          </w:r>
          <w:r>
            <w:fldChar w:fldCharType="begin"/>
          </w:r>
          <w:r>
            <w:instrText xml:space="preserve"> PAGEREF _Toc23500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_Toc6983 </w:instrText>
          </w:r>
          <w:r>
            <w:fldChar w:fldCharType="separate"/>
          </w:r>
          <w:r>
            <w:rPr>
              <w:rFonts w:hint="default"/>
              <w:lang w:val="en-US" w:eastAsia="zh-CN"/>
            </w:rPr>
            <w:t>3.2.4. 备件库管理</w:t>
          </w:r>
          <w:r>
            <w:tab/>
          </w:r>
          <w:r>
            <w:fldChar w:fldCharType="begin"/>
          </w:r>
          <w:r>
            <w:instrText xml:space="preserve"> PAGEREF _Toc6983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_Toc28879 </w:instrText>
          </w:r>
          <w:r>
            <w:fldChar w:fldCharType="separate"/>
          </w:r>
          <w:r>
            <w:rPr>
              <w:rFonts w:hint="default"/>
              <w:lang w:val="en-US" w:eastAsia="zh-CN"/>
            </w:rPr>
            <w:t>3.2.5. 最终软件库管理</w:t>
          </w:r>
          <w:r>
            <w:tab/>
          </w:r>
          <w:r>
            <w:fldChar w:fldCharType="begin"/>
          </w:r>
          <w:r>
            <w:instrText xml:space="preserve"> PAGEREF _Toc28879 \h </w:instrText>
          </w:r>
          <w:r>
            <w:fldChar w:fldCharType="separate"/>
          </w:r>
          <w:r>
            <w:t>18</w:t>
          </w:r>
          <w:r>
            <w:fldChar w:fldCharType="end"/>
          </w:r>
          <w:r>
            <w:fldChar w:fldCharType="end"/>
          </w:r>
        </w:p>
        <w:p>
          <w:pPr>
            <w:pStyle w:val="TOC3"/>
            <w:tabs>
              <w:tab w:val="right" w:leader="dot" w:pos="8306"/>
            </w:tabs>
          </w:pPr>
          <w:r>
            <w:fldChar w:fldCharType="begin"/>
          </w:r>
          <w:r>
            <w:instrText xml:space="preserve"> HYPERLINK \l _Toc24577 </w:instrText>
          </w:r>
          <w:r>
            <w:fldChar w:fldCharType="separate"/>
          </w:r>
          <w:r>
            <w:rPr>
              <w:rFonts w:hint="default"/>
              <w:lang w:val="en-US" w:eastAsia="zh-CN"/>
            </w:rPr>
            <w:t>3.2.6. 服务数据管理</w:t>
          </w:r>
          <w:r>
            <w:tab/>
          </w:r>
          <w:r>
            <w:fldChar w:fldCharType="begin"/>
          </w:r>
          <w:r>
            <w:instrText xml:space="preserve"> PAGEREF _Toc24577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_Toc32763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_Toc32763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_Toc24716 </w:instrText>
          </w:r>
          <w:r>
            <w:fldChar w:fldCharType="separate"/>
          </w:r>
          <w:r>
            <w:rPr>
              <w:rFonts w:hint="default"/>
              <w:lang w:val="en-US" w:eastAsia="zh-CN"/>
            </w:rPr>
            <w:t>3.3.1. 研发现状</w:t>
          </w:r>
          <w:r>
            <w:tab/>
          </w:r>
          <w:r>
            <w:fldChar w:fldCharType="begin"/>
          </w:r>
          <w:r>
            <w:instrText xml:space="preserve"> PAGEREF _Toc24716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_Toc8655 </w:instrText>
          </w:r>
          <w:r>
            <w:fldChar w:fldCharType="separate"/>
          </w:r>
          <w:r>
            <w:rPr>
              <w:rFonts w:hint="default"/>
              <w:lang w:val="en-US" w:eastAsia="zh-CN"/>
            </w:rPr>
            <w:t>3.3.2. 研发目标</w:t>
          </w:r>
          <w:r>
            <w:tab/>
          </w:r>
          <w:r>
            <w:fldChar w:fldCharType="begin"/>
          </w:r>
          <w:r>
            <w:instrText xml:space="preserve"> PAGEREF _Toc8655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_Toc2006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_Toc2006 \h </w:instrText>
          </w:r>
          <w:r>
            <w:fldChar w:fldCharType="separate"/>
          </w:r>
          <w:r>
            <w:t>20</w:t>
          </w:r>
          <w:r>
            <w:fldChar w:fldCharType="end"/>
          </w:r>
          <w:r>
            <w:fldChar w:fldCharType="end"/>
          </w:r>
        </w:p>
        <w:p>
          <w:pPr>
            <w:pStyle w:val="TOC2"/>
            <w:tabs>
              <w:tab w:val="right" w:leader="dot" w:pos="8306"/>
            </w:tabs>
          </w:pPr>
          <w:r>
            <w:fldChar w:fldCharType="begin"/>
          </w:r>
          <w:r>
            <w:instrText xml:space="preserve"> HYPERLINK \l _Toc8253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_Toc8253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_Toc24514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_Toc24514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_Toc3698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_Toc3698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_Toc25687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_Toc25687 \h </w:instrText>
          </w:r>
          <w:r>
            <w:fldChar w:fldCharType="separate"/>
          </w:r>
          <w:r>
            <w:t>21</w:t>
          </w:r>
          <w:r>
            <w:fldChar w:fldCharType="end"/>
          </w:r>
          <w:r>
            <w:fldChar w:fldCharType="end"/>
          </w:r>
        </w:p>
        <w:p>
          <w:pPr>
            <w:pStyle w:val="TOC3"/>
            <w:tabs>
              <w:tab w:val="right" w:leader="dot" w:pos="8306"/>
            </w:tabs>
          </w:pPr>
          <w:r>
            <w:fldChar w:fldCharType="begin"/>
          </w:r>
          <w:r>
            <w:instrText xml:space="preserve"> HYPERLINK \l _Toc32699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_Toc32699 \h </w:instrText>
          </w:r>
          <w:r>
            <w:fldChar w:fldCharType="separate"/>
          </w:r>
          <w:r>
            <w:t>22</w:t>
          </w:r>
          <w:r>
            <w:fldChar w:fldCharType="end"/>
          </w:r>
          <w:r>
            <w:fldChar w:fldCharType="end"/>
          </w:r>
        </w:p>
        <w:p>
          <w:pPr>
            <w:pStyle w:val="TOC3"/>
            <w:tabs>
              <w:tab w:val="right" w:leader="dot" w:pos="8306"/>
            </w:tabs>
          </w:pPr>
          <w:r>
            <w:fldChar w:fldCharType="begin"/>
          </w:r>
          <w:r>
            <w:instrText xml:space="preserve"> HYPERLINK \l _Toc19842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_Toc19842 \h </w:instrText>
          </w:r>
          <w:r>
            <w:fldChar w:fldCharType="separate"/>
          </w:r>
          <w:r>
            <w:t>22</w:t>
          </w:r>
          <w:r>
            <w:fldChar w:fldCharType="end"/>
          </w:r>
          <w:r>
            <w:fldChar w:fldCharType="end"/>
          </w:r>
        </w:p>
        <w:p>
          <w:pPr>
            <w:pStyle w:val="TOC3"/>
            <w:tabs>
              <w:tab w:val="right" w:leader="dot" w:pos="8306"/>
            </w:tabs>
          </w:pPr>
          <w:r>
            <w:fldChar w:fldCharType="begin"/>
          </w:r>
          <w:r>
            <w:instrText xml:space="preserve"> HYPERLINK \l _Toc24258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_Toc24258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_Toc27638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_Toc27638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_Toc12147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_Toc12147 \h </w:instrText>
          </w:r>
          <w:r>
            <w:fldChar w:fldCharType="separate"/>
          </w:r>
          <w:r>
            <w:t>24</w:t>
          </w:r>
          <w:r>
            <w:fldChar w:fldCharType="end"/>
          </w:r>
          <w:r>
            <w:fldChar w:fldCharType="end"/>
          </w:r>
        </w:p>
        <w:p>
          <w:pPr>
            <w:pStyle w:val="TOC3"/>
            <w:tabs>
              <w:tab w:val="right" w:leader="dot" w:pos="8306"/>
            </w:tabs>
          </w:pPr>
          <w:r>
            <w:fldChar w:fldCharType="begin"/>
          </w:r>
          <w:r>
            <w:instrText xml:space="preserve"> HYPERLINK \l _Toc23011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_Toc23011 \h </w:instrText>
          </w:r>
          <w:r>
            <w:fldChar w:fldCharType="separate"/>
          </w:r>
          <w:r>
            <w:t>24</w:t>
          </w:r>
          <w:r>
            <w:fldChar w:fldCharType="end"/>
          </w:r>
          <w:r>
            <w:fldChar w:fldCharType="end"/>
          </w:r>
        </w:p>
        <w:p>
          <w:pPr>
            <w:pStyle w:val="TOC3"/>
            <w:tabs>
              <w:tab w:val="right" w:leader="dot" w:pos="8306"/>
            </w:tabs>
          </w:pPr>
          <w:r>
            <w:fldChar w:fldCharType="begin"/>
          </w:r>
          <w:r>
            <w:instrText xml:space="preserve"> HYPERLINK \l _Toc6473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_Toc6473 \h </w:instrText>
          </w:r>
          <w:r>
            <w:fldChar w:fldCharType="separate"/>
          </w:r>
          <w:r>
            <w:t>25</w:t>
          </w:r>
          <w:r>
            <w:fldChar w:fldCharType="end"/>
          </w:r>
          <w:r>
            <w:fldChar w:fldCharType="end"/>
          </w:r>
        </w:p>
        <w:p>
          <w:pPr>
            <w:pStyle w:val="TOC3"/>
            <w:tabs>
              <w:tab w:val="right" w:leader="dot" w:pos="8306"/>
            </w:tabs>
          </w:pPr>
          <w:r>
            <w:fldChar w:fldCharType="begin"/>
          </w:r>
          <w:r>
            <w:instrText xml:space="preserve"> HYPERLINK \l _Toc1700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_Toc1700 \h </w:instrText>
          </w:r>
          <w:r>
            <w:fldChar w:fldCharType="separate"/>
          </w:r>
          <w:r>
            <w:t>26</w:t>
          </w:r>
          <w:r>
            <w:fldChar w:fldCharType="end"/>
          </w:r>
          <w:r>
            <w:fldChar w:fldCharType="end"/>
          </w:r>
        </w:p>
        <w:p>
          <w:pPr>
            <w:pStyle w:val="TOC2"/>
            <w:tabs>
              <w:tab w:val="right" w:leader="dot" w:pos="8306"/>
            </w:tabs>
          </w:pPr>
          <w:r>
            <w:fldChar w:fldCharType="begin"/>
          </w:r>
          <w:r>
            <w:instrText xml:space="preserve"> HYPERLINK \l _Toc17627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_Toc17627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_Toc7312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_Toc7312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_Toc11988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_Toc11988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_Toc31372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_Toc31372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_Toc25543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_Toc25543 \h </w:instrText>
          </w:r>
          <w:r>
            <w:fldChar w:fldCharType="separate"/>
          </w:r>
          <w:r>
            <w:t>27</w:t>
          </w:r>
          <w:r>
            <w:fldChar w:fldCharType="end"/>
          </w:r>
          <w:r>
            <w:fldChar w:fldCharType="end"/>
          </w:r>
        </w:p>
        <w:p>
          <w:pPr>
            <w:pStyle w:val="TOC2"/>
            <w:tabs>
              <w:tab w:val="right" w:leader="dot" w:pos="8306"/>
            </w:tabs>
          </w:pPr>
          <w:r>
            <w:fldChar w:fldCharType="begin"/>
          </w:r>
          <w:r>
            <w:instrText xml:space="preserve"> HYPERLINK \l _Toc1822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_Toc1822 \h </w:instrText>
          </w:r>
          <w:r>
            <w:fldChar w:fldCharType="separate"/>
          </w:r>
          <w:r>
            <w:t>27</w:t>
          </w:r>
          <w:r>
            <w:fldChar w:fldCharType="end"/>
          </w:r>
          <w:r>
            <w:fldChar w:fldCharType="end"/>
          </w:r>
        </w:p>
        <w:p>
          <w:pPr>
            <w:pStyle w:val="TOC2"/>
            <w:tabs>
              <w:tab w:val="right" w:leader="dot" w:pos="8306"/>
            </w:tabs>
          </w:pPr>
          <w:r>
            <w:fldChar w:fldCharType="begin"/>
          </w:r>
          <w:r>
            <w:instrText xml:space="preserve"> HYPERLINK \l _Toc29559 </w:instrText>
          </w:r>
          <w:r>
            <w:fldChar w:fldCharType="separate"/>
          </w:r>
          <w:r>
            <w:rPr>
              <w:rFonts w:hint="default"/>
              <w:lang w:val="en-US" w:eastAsia="zh-CN"/>
            </w:rPr>
            <w:t xml:space="preserve">3.7. </w:t>
          </w:r>
          <w:r>
            <w:rPr>
              <w:rFonts w:hint="eastAsia"/>
              <w:lang w:val="en-US" w:eastAsia="zh-CN"/>
            </w:rPr>
            <w:t>质量管理规划</w:t>
          </w:r>
          <w:r>
            <w:tab/>
          </w:r>
          <w:r>
            <w:fldChar w:fldCharType="begin"/>
          </w:r>
          <w:r>
            <w:instrText xml:space="preserve"> PAGEREF _Toc29559 \h </w:instrText>
          </w:r>
          <w:r>
            <w:fldChar w:fldCharType="separate"/>
          </w:r>
          <w:r>
            <w:t>28</w:t>
          </w:r>
          <w:r>
            <w:fldChar w:fldCharType="end"/>
          </w:r>
          <w:r>
            <w:fldChar w:fldCharType="end"/>
          </w:r>
        </w:p>
        <w:p>
          <w:pPr>
            <w:pStyle w:val="TOC3"/>
            <w:tabs>
              <w:tab w:val="right" w:leader="dot" w:pos="8306"/>
            </w:tabs>
          </w:pPr>
          <w:r>
            <w:fldChar w:fldCharType="begin"/>
          </w:r>
          <w:r>
            <w:instrText xml:space="preserve"> HYPERLINK \l _Toc4354 </w:instrText>
          </w:r>
          <w:r>
            <w:fldChar w:fldCharType="separate"/>
          </w:r>
          <w:r>
            <w:rPr>
              <w:rFonts w:hint="default"/>
              <w:lang w:val="en-US" w:eastAsia="zh-CN"/>
            </w:rPr>
            <w:t xml:space="preserve">3.7.1. </w:t>
          </w:r>
          <w:r>
            <w:rPr>
              <w:rFonts w:hint="eastAsia"/>
              <w:lang w:val="en-US" w:eastAsia="zh-CN"/>
            </w:rPr>
            <w:t>质量管理计划</w:t>
          </w:r>
          <w:r>
            <w:tab/>
          </w:r>
          <w:r>
            <w:fldChar w:fldCharType="begin"/>
          </w:r>
          <w:r>
            <w:instrText xml:space="preserve"> PAGEREF _Toc4354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_Toc8076 </w:instrText>
          </w:r>
          <w:r>
            <w:fldChar w:fldCharType="separate"/>
          </w:r>
          <w:r>
            <w:rPr>
              <w:rFonts w:hint="default"/>
              <w:lang w:val="en-US" w:eastAsia="zh-CN"/>
            </w:rPr>
            <w:t xml:space="preserve">3.7.2. </w:t>
          </w:r>
          <w:r>
            <w:rPr>
              <w:rFonts w:hint="eastAsia"/>
              <w:lang w:val="en-US" w:eastAsia="zh-CN"/>
            </w:rPr>
            <w:t>质量检查</w:t>
          </w:r>
          <w:r>
            <w:tab/>
          </w:r>
          <w:r>
            <w:fldChar w:fldCharType="begin"/>
          </w:r>
          <w:r>
            <w:instrText xml:space="preserve"> PAGEREF _Toc8076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_Toc20892 </w:instrText>
          </w:r>
          <w:r>
            <w:fldChar w:fldCharType="separate"/>
          </w:r>
          <w:r>
            <w:rPr>
              <w:rFonts w:hint="default"/>
              <w:lang w:val="en-US" w:eastAsia="zh-CN"/>
            </w:rPr>
            <w:t xml:space="preserve">3.7.3. </w:t>
          </w:r>
          <w:r>
            <w:rPr>
              <w:rFonts w:hint="eastAsia"/>
              <w:lang w:val="en-US" w:eastAsia="zh-CN"/>
            </w:rPr>
            <w:t>内部审核</w:t>
          </w:r>
          <w:r>
            <w:tab/>
          </w:r>
          <w:r>
            <w:fldChar w:fldCharType="begin"/>
          </w:r>
          <w:r>
            <w:instrText xml:space="preserve"> PAGEREF _Toc20892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_Toc10449 </w:instrText>
          </w:r>
          <w:r>
            <w:fldChar w:fldCharType="separate"/>
          </w:r>
          <w:r>
            <w:rPr>
              <w:rFonts w:hint="default"/>
              <w:lang w:val="en-US" w:eastAsia="zh-CN"/>
            </w:rPr>
            <w:t xml:space="preserve">3.7.4. </w:t>
          </w:r>
          <w:r>
            <w:rPr>
              <w:rFonts w:hint="eastAsia"/>
              <w:lang w:val="en-US" w:eastAsia="zh-CN"/>
            </w:rPr>
            <w:t>管理评审</w:t>
          </w:r>
          <w:r>
            <w:tab/>
          </w:r>
          <w:r>
            <w:fldChar w:fldCharType="begin"/>
          </w:r>
          <w:r>
            <w:instrText xml:space="preserve"> PAGEREF _Toc10449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_Toc1974 </w:instrText>
          </w:r>
          <w:r>
            <w:fldChar w:fldCharType="separate"/>
          </w:r>
          <w:r>
            <w:rPr>
              <w:rFonts w:hint="default"/>
              <w:lang w:val="en-US" w:eastAsia="zh-CN"/>
            </w:rPr>
            <w:t xml:space="preserve">3.7.5. </w:t>
          </w:r>
          <w:r>
            <w:rPr>
              <w:rFonts w:hint="eastAsia"/>
              <w:lang w:val="en-US" w:eastAsia="zh-CN"/>
            </w:rPr>
            <w:t>客户满意度管理</w:t>
          </w:r>
          <w:r>
            <w:tab/>
          </w:r>
          <w:r>
            <w:fldChar w:fldCharType="begin"/>
          </w:r>
          <w:r>
            <w:instrText xml:space="preserve"> PAGEREF _Toc1974 \h </w:instrText>
          </w:r>
          <w:r>
            <w:fldChar w:fldCharType="separate"/>
          </w:r>
          <w:r>
            <w:t>29</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_Toc21311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2025年度人员招聘计划表</w:t>
      </w:r>
      <w:r>
        <w:tab/>
      </w:r>
      <w:r>
        <w:fldChar w:fldCharType="begin"/>
      </w:r>
      <w:r>
        <w:instrText xml:space="preserve"> PAGEREF _Toc21311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_Toc12641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2025年度人员内部储备计划表</w:t>
      </w:r>
      <w:r>
        <w:tab/>
      </w:r>
      <w:r>
        <w:fldChar w:fldCharType="begin"/>
      </w:r>
      <w:r>
        <w:instrText xml:space="preserve"> PAGEREF _Toc12641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_Toc28631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2025年度人员培训计划表</w:t>
      </w:r>
      <w:r>
        <w:tab/>
      </w:r>
      <w:r>
        <w:fldChar w:fldCharType="begin"/>
      </w:r>
      <w:r>
        <w:instrText xml:space="preserve"> PAGEREF _Toc28631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_Toc18978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2025年度人员培训预算汇总表</w:t>
      </w:r>
      <w:r>
        <w:tab/>
      </w:r>
      <w:r>
        <w:fldChar w:fldCharType="begin"/>
      </w:r>
      <w:r>
        <w:instrText xml:space="preserve"> PAGEREF _Toc18978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_Toc4747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2025年度人员关键岗位备份计划表</w:t>
      </w:r>
      <w:r>
        <w:tab/>
      </w:r>
      <w:r>
        <w:fldChar w:fldCharType="begin"/>
      </w:r>
      <w:r>
        <w:instrText xml:space="preserve"> PAGEREF _Toc4747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_Toc24180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2025年度人员绩效考核计划表</w:t>
      </w:r>
      <w:r>
        <w:tab/>
      </w:r>
      <w:r>
        <w:fldChar w:fldCharType="begin"/>
      </w:r>
      <w:r>
        <w:instrText xml:space="preserve"> PAGEREF _Toc24180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_Toc18028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2025年度人员技能评定周期表</w:t>
      </w:r>
      <w:r>
        <w:tab/>
      </w:r>
      <w:r>
        <w:fldChar w:fldCharType="begin"/>
      </w:r>
      <w:r>
        <w:instrText xml:space="preserve"> PAGEREF _Toc18028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_Toc24466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2025年度人员技能等级划分表</w:t>
      </w:r>
      <w:r>
        <w:tab/>
      </w:r>
      <w:r>
        <w:fldChar w:fldCharType="begin"/>
      </w:r>
      <w:r>
        <w:instrText xml:space="preserve"> PAGEREF _Toc24466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_Toc326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2025年度人员技能评定内容表</w:t>
      </w:r>
      <w:r>
        <w:tab/>
      </w:r>
      <w:r>
        <w:fldChar w:fldCharType="begin"/>
      </w:r>
      <w:r>
        <w:instrText xml:space="preserve"> PAGEREF _Toc326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_Toc16703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2025年度人员技能评定结果应用表</w:t>
      </w:r>
      <w:r>
        <w:tab/>
      </w:r>
      <w:r>
        <w:fldChar w:fldCharType="begin"/>
      </w:r>
      <w:r>
        <w:instrText xml:space="preserve"> PAGEREF _Toc16703 \h </w:instrText>
      </w:r>
      <w:r>
        <w:fldChar w:fldCharType="separate"/>
      </w:r>
      <w:r>
        <w:t>14</w:t>
      </w:r>
      <w:r>
        <w:fldChar w:fldCharType="end"/>
      </w:r>
      <w:r>
        <w:fldChar w:fldCharType="end"/>
      </w:r>
    </w:p>
    <w:p>
      <w:pPr>
        <w:jc w:val="center"/>
      </w:pPr>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pPr>
    </w:p>
    <w:p>
      <w:pPr>
        <w:pStyle w:val="1"/>
        <w:bidi w:val="0"/>
        <w:rPr>
          <w:rFonts w:hint="default"/>
          <w:lang w:val="en-US" w:eastAsia="zh-CN"/>
        </w:rPr>
      </w:pPr>
      <w:bookmarkStart w:id="1" w:name="_Toc6885"/>
      <w:r>
        <w:rPr>
          <w:rFonts w:hint="default"/>
          <w:lang w:val="en-US" w:eastAsia="zh-CN"/>
        </w:rPr>
        <w:t>公司现状分析</w:t>
      </w:r>
      <w:bookmarkEnd w:id="1"/>
    </w:p>
    <w:p>
      <w:pPr>
        <w:pStyle w:val="a1"/>
        <w:bidi w:val="0"/>
        <w:rPr>
          <w:rFonts w:hint="default"/>
          <w:lang w:val="en-US" w:eastAsia="zh-CN"/>
        </w:rPr>
      </w:pPr>
      <w:r>
        <w:rPr>
          <w:rFonts w:hint="default"/>
          <w:lang w:val="en-US" w:eastAsia="zh-CN"/>
        </w:rPr>
        <w:t>华风数据(深圳)有限公司是一家多元化发展的综合性科技公司，在人工智能、软件开发、汽车服务、金融服务等领域深耕与发展。为支撑公司业务持续拓展和影响力提升，公司建立了清晰的组织架构，明确各部门职责分工。</w:t>
      </w:r>
    </w:p>
    <w:p>
      <w:pPr>
        <w:pStyle w:val="a1"/>
        <w:bidi w:val="0"/>
        <w:rPr>
          <w:rFonts w:hint="default"/>
          <w:lang w:val="en-US" w:eastAsia="zh-CN"/>
        </w:rPr>
      </w:pPr>
      <w:r>
        <w:rPr>
          <w:rFonts w:hint="default"/>
          <w:lang w:val="en-US" w:eastAsia="zh-CN"/>
        </w:rPr>
        <w:t>公司自成立以来，已承接了多个运维服务项目，积累了丰富的运维服务经验。为进一步提升公司运维服务能力，规范服务流程，公司决定引入ITSS信息技术服务标准体系，按照ITSS三级要求构建运维服务能力管理体系。</w:t>
      </w:r>
    </w:p>
    <w:p>
      <w:pPr>
        <w:pStyle w:val="2"/>
        <w:bidi w:val="0"/>
        <w:rPr>
          <w:rFonts w:hint="default"/>
          <w:lang w:val="en-US" w:eastAsia="zh-CN"/>
        </w:rPr>
      </w:pPr>
      <w:bookmarkStart w:id="2" w:name="_Toc928"/>
      <w:r>
        <w:rPr>
          <w:rFonts w:hint="default"/>
          <w:lang w:val="en-US" w:eastAsia="zh-CN"/>
        </w:rPr>
        <w:t>优势分析</w:t>
      </w:r>
      <w:bookmarkEnd w:id="2"/>
    </w:p>
    <w:p>
      <w:pPr>
        <w:pStyle w:val="a1"/>
        <w:bidi w:val="0"/>
        <w:rPr>
          <w:rFonts w:hint="default"/>
          <w:lang w:val="en-US" w:eastAsia="zh-CN"/>
        </w:rPr>
      </w:pPr>
      <w:r>
        <w:rPr>
          <w:rFonts w:hint="default"/>
          <w:lang w:val="en-US" w:eastAsia="zh-CN"/>
        </w:rPr>
        <w:t>公司已建立较为完善的组织架构，明确了运维部、研发部、产品产品质量部、综合部等部门的职责分工</w:t>
      </w:r>
    </w:p>
    <w:p>
      <w:pPr>
        <w:pStyle w:val="a1"/>
        <w:bidi w:val="0"/>
        <w:rPr>
          <w:rFonts w:hint="default"/>
          <w:lang w:val="en-US" w:eastAsia="zh-CN"/>
        </w:rPr>
      </w:pPr>
      <w:r>
        <w:rPr>
          <w:rFonts w:hint="default"/>
          <w:lang w:val="en-US" w:eastAsia="zh-CN"/>
        </w:rPr>
        <w:t>已完成《运维服务能力管理制度》《运维服务能力改进管理制度》等核心制度的制定</w:t>
      </w:r>
    </w:p>
    <w:p>
      <w:pPr>
        <w:pStyle w:val="a1"/>
        <w:bidi w:val="0"/>
        <w:rPr>
          <w:rFonts w:hint="default"/>
          <w:lang w:val="en-US" w:eastAsia="zh-CN"/>
        </w:rPr>
      </w:pPr>
      <w:r>
        <w:rPr>
          <w:rFonts w:hint="default"/>
          <w:lang w:val="en-US" w:eastAsia="zh-CN"/>
        </w:rPr>
        <w:t>已配备iTop运维管理平台和图云科技运维监控平台等工具</w:t>
      </w:r>
    </w:p>
    <w:p>
      <w:pPr>
        <w:pStyle w:val="a1"/>
        <w:bidi w:val="0"/>
        <w:rPr>
          <w:rFonts w:hint="default"/>
          <w:lang w:val="en-US" w:eastAsia="zh-CN"/>
        </w:rPr>
      </w:pPr>
      <w:r>
        <w:rPr>
          <w:rFonts w:hint="default"/>
          <w:lang w:val="en-US" w:eastAsia="zh-CN"/>
        </w:rPr>
        <w:t>已建立服务台、备件库、服务知识等资源管理机制</w:t>
      </w:r>
    </w:p>
    <w:p>
      <w:pPr>
        <w:pStyle w:val="2"/>
        <w:bidi w:val="0"/>
        <w:rPr>
          <w:rFonts w:hint="default"/>
          <w:lang w:val="en-US" w:eastAsia="zh-CN"/>
        </w:rPr>
      </w:pPr>
      <w:bookmarkStart w:id="3" w:name="_Toc24875"/>
      <w:r>
        <w:rPr>
          <w:rFonts w:hint="default"/>
          <w:lang w:val="en-US" w:eastAsia="zh-CN"/>
        </w:rPr>
        <w:t>待改进方面</w:t>
      </w:r>
      <w:bookmarkEnd w:id="3"/>
    </w:p>
    <w:p>
      <w:pPr>
        <w:pStyle w:val="a1"/>
        <w:bidi w:val="0"/>
        <w:rPr>
          <w:rFonts w:hint="default"/>
          <w:lang w:val="en-US" w:eastAsia="zh-CN"/>
        </w:rPr>
      </w:pPr>
      <w:r>
        <w:rPr>
          <w:rFonts w:hint="default"/>
          <w:lang w:val="en-US" w:eastAsia="zh-CN"/>
        </w:rPr>
        <w:t>人员岗位配置需进一步充实</w:t>
      </w:r>
    </w:p>
    <w:p>
      <w:pPr>
        <w:pStyle w:val="a1"/>
        <w:bidi w:val="0"/>
        <w:rPr>
          <w:rFonts w:hint="default"/>
          <w:lang w:val="en-US" w:eastAsia="zh-CN"/>
        </w:rPr>
      </w:pPr>
      <w:r>
        <w:rPr>
          <w:rFonts w:hint="eastAsia"/>
          <w:lang w:val="en-US" w:eastAsia="zh-CN"/>
        </w:rPr>
        <w:t>服务知识</w:t>
      </w:r>
      <w:r>
        <w:rPr>
          <w:rFonts w:hint="default"/>
          <w:lang w:val="en-US" w:eastAsia="zh-CN"/>
        </w:rPr>
        <w:t>管理需持续优化（已明确由运维部负责）</w:t>
      </w:r>
    </w:p>
    <w:p>
      <w:pPr>
        <w:pStyle w:val="a1"/>
        <w:bidi w:val="0"/>
        <w:rPr>
          <w:rFonts w:hint="default"/>
          <w:lang w:val="en-US" w:eastAsia="zh-CN"/>
        </w:rPr>
      </w:pPr>
      <w:r>
        <w:rPr>
          <w:rFonts w:hint="default"/>
          <w:lang w:val="en-US" w:eastAsia="zh-CN"/>
        </w:rPr>
        <w:t>运维工具的自评估机制需完善</w:t>
      </w:r>
    </w:p>
    <w:p>
      <w:pPr>
        <w:pStyle w:val="a1"/>
        <w:bidi w:val="0"/>
        <w:rPr>
          <w:rFonts w:hint="default"/>
          <w:lang w:val="en-US" w:eastAsia="zh-CN"/>
        </w:rPr>
      </w:pPr>
      <w:r>
        <w:rPr>
          <w:rFonts w:hint="default"/>
          <w:lang w:val="en-US" w:eastAsia="zh-CN"/>
        </w:rPr>
        <w:t>过程管理的量化指标需持续跟踪</w:t>
      </w:r>
    </w:p>
    <w:p>
      <w:pPr>
        <w:pStyle w:val="1"/>
        <w:bidi w:val="0"/>
        <w:rPr>
          <w:rFonts w:hint="default"/>
          <w:lang w:val="en-US" w:eastAsia="zh-CN"/>
        </w:rPr>
      </w:pPr>
      <w:bookmarkStart w:id="4" w:name="_Toc962"/>
      <w:r>
        <w:rPr>
          <w:rFonts w:hint="default"/>
          <w:lang w:val="en-US" w:eastAsia="zh-CN"/>
        </w:rPr>
        <w:t>运维业务分析</w:t>
      </w:r>
      <w:bookmarkEnd w:id="4"/>
    </w:p>
    <w:p>
      <w:pPr>
        <w:pStyle w:val="2"/>
        <w:bidi w:val="0"/>
        <w:rPr>
          <w:rFonts w:hint="default"/>
          <w:lang w:val="en-US" w:eastAsia="zh-CN"/>
        </w:rPr>
      </w:pPr>
      <w:bookmarkStart w:id="5" w:name="_Toc8971"/>
      <w:r>
        <w:rPr>
          <w:rFonts w:hint="default"/>
          <w:lang w:val="en-US" w:eastAsia="zh-CN"/>
        </w:rPr>
        <w:t>开展运维服务的优势</w:t>
      </w:r>
      <w:bookmarkEnd w:id="5"/>
    </w:p>
    <w:p>
      <w:pPr>
        <w:pStyle w:val="a1"/>
        <w:bidi w:val="0"/>
        <w:rPr>
          <w:rFonts w:hint="default"/>
          <w:lang w:val="en-US" w:eastAsia="zh-CN"/>
        </w:rPr>
      </w:pPr>
      <w:r>
        <w:rPr>
          <w:rFonts w:hint="default"/>
          <w:lang w:val="en-US" w:eastAsia="zh-CN"/>
        </w:rPr>
        <w:t>组织架构完善：公司已建立与ITSS标准匹配的组织架构，设立运维部、研发部、产品产品质量部、综合部、采购部、应急管理部等职能部门</w:t>
      </w:r>
    </w:p>
    <w:p>
      <w:pPr>
        <w:pStyle w:val="a1"/>
        <w:bidi w:val="0"/>
        <w:rPr>
          <w:rFonts w:hint="default"/>
          <w:lang w:val="en-US" w:eastAsia="zh-CN"/>
        </w:rPr>
      </w:pPr>
      <w:r>
        <w:rPr>
          <w:rFonts w:hint="default"/>
          <w:lang w:val="en-US" w:eastAsia="zh-CN"/>
        </w:rPr>
        <w:t>制度体系健全：已完成人员管理、资源管理、过程管理、质量管理等核心制度共40余份文件的编制</w:t>
      </w:r>
    </w:p>
    <w:p>
      <w:pPr>
        <w:pStyle w:val="a1"/>
        <w:bidi w:val="0"/>
        <w:rPr>
          <w:rFonts w:hint="default"/>
          <w:lang w:val="en-US" w:eastAsia="zh-CN"/>
        </w:rPr>
      </w:pPr>
      <w:r>
        <w:rPr>
          <w:rFonts w:hint="default"/>
          <w:lang w:val="en-US" w:eastAsia="zh-CN"/>
        </w:rPr>
        <w:t>工具支撑有力：已部署iTop运维管理平台和图云科技运维监控平台，实现运维流程的数字化管理</w:t>
      </w:r>
    </w:p>
    <w:p>
      <w:pPr>
        <w:pStyle w:val="a1"/>
        <w:bidi w:val="0"/>
        <w:rPr>
          <w:rFonts w:hint="default"/>
          <w:lang w:val="en-US" w:eastAsia="zh-CN"/>
        </w:rPr>
      </w:pPr>
      <w:r>
        <w:rPr>
          <w:rFonts w:hint="default"/>
          <w:lang w:val="en-US" w:eastAsia="zh-CN"/>
        </w:rPr>
        <w:t>项目经验积累：已承接多个运维项目，积累了丰富的硬件巡检、故障处理、应急响应等实战经验</w:t>
      </w:r>
    </w:p>
    <w:p>
      <w:pPr>
        <w:pStyle w:val="2"/>
        <w:bidi w:val="0"/>
        <w:rPr>
          <w:rFonts w:hint="default"/>
          <w:lang w:val="en-US" w:eastAsia="zh-CN"/>
        </w:rPr>
      </w:pPr>
      <w:bookmarkStart w:id="6" w:name="_Toc17913"/>
      <w:r>
        <w:rPr>
          <w:rFonts w:hint="default"/>
          <w:lang w:val="en-US" w:eastAsia="zh-CN"/>
        </w:rPr>
        <w:t>开展运维服务的待改进方面</w:t>
      </w:r>
      <w:bookmarkEnd w:id="6"/>
    </w:p>
    <w:p>
      <w:pPr>
        <w:pStyle w:val="3"/>
        <w:bidi w:val="0"/>
        <w:rPr>
          <w:rFonts w:hint="default"/>
          <w:lang w:val="en-US" w:eastAsia="zh-CN"/>
        </w:rPr>
      </w:pPr>
      <w:bookmarkStart w:id="7" w:name="_Toc22785"/>
      <w:r>
        <w:rPr>
          <w:rFonts w:hint="default"/>
          <w:lang w:val="en-US" w:eastAsia="zh-CN"/>
        </w:rPr>
        <w:t>人员管理方面</w:t>
      </w:r>
      <w:bookmarkEnd w:id="7"/>
    </w:p>
    <w:p>
      <w:pPr>
        <w:pStyle w:val="a1"/>
        <w:bidi w:val="0"/>
        <w:rPr>
          <w:rFonts w:hint="default"/>
          <w:lang w:val="en-US" w:eastAsia="zh-CN"/>
        </w:rPr>
      </w:pPr>
      <w:r>
        <w:rPr>
          <w:rFonts w:hint="eastAsia"/>
          <w:lang w:val="en-US" w:eastAsia="zh-CN"/>
        </w:rPr>
        <w:t>技术岗和操作岗人员需要补充。</w:t>
      </w:r>
    </w:p>
    <w:p>
      <w:pPr>
        <w:pStyle w:val="a1"/>
        <w:bidi w:val="0"/>
        <w:rPr>
          <w:rFonts w:hint="default"/>
          <w:lang w:val="en-US" w:eastAsia="zh-CN"/>
        </w:rPr>
      </w:pPr>
      <w:r>
        <w:rPr>
          <w:rFonts w:hint="default"/>
          <w:lang w:val="en-US" w:eastAsia="zh-CN"/>
        </w:rPr>
        <w:t>关键岗位备份机制已建立，需持续验证备份人员的实际能力</w:t>
      </w:r>
      <w:r>
        <w:rPr>
          <w:rFonts w:hint="eastAsia"/>
          <w:lang w:val="en-US" w:eastAsia="zh-CN"/>
        </w:rPr>
        <w:t>。</w:t>
      </w:r>
    </w:p>
    <w:p>
      <w:pPr>
        <w:pStyle w:val="a1"/>
        <w:bidi w:val="0"/>
        <w:rPr>
          <w:rFonts w:hint="default"/>
          <w:lang w:val="en-US" w:eastAsia="zh-CN"/>
        </w:rPr>
      </w:pPr>
      <w:r>
        <w:rPr>
          <w:rFonts w:hint="default"/>
          <w:lang w:val="en-US" w:eastAsia="zh-CN"/>
        </w:rPr>
        <w:t>绩效考核体系需持续优化，确保考核结果与薪酬、晋升有效挂钩</w:t>
      </w:r>
      <w:r>
        <w:rPr>
          <w:rFonts w:hint="eastAsia"/>
          <w:lang w:val="en-US" w:eastAsia="zh-CN"/>
        </w:rPr>
        <w:t>。</w:t>
      </w:r>
    </w:p>
    <w:p>
      <w:pPr>
        <w:pStyle w:val="3"/>
        <w:bidi w:val="0"/>
        <w:rPr>
          <w:rFonts w:hint="default"/>
          <w:lang w:val="en-US" w:eastAsia="zh-CN"/>
        </w:rPr>
      </w:pPr>
      <w:bookmarkStart w:id="8" w:name="_Toc29153"/>
      <w:r>
        <w:rPr>
          <w:rFonts w:hint="default"/>
          <w:lang w:val="en-US" w:eastAsia="zh-CN"/>
        </w:rPr>
        <w:t>资源管理方面</w:t>
      </w:r>
      <w:bookmarkEnd w:id="8"/>
    </w:p>
    <w:p>
      <w:pPr>
        <w:pStyle w:val="a1"/>
        <w:bidi w:val="0"/>
        <w:rPr>
          <w:rFonts w:hint="default"/>
          <w:lang w:val="en-US" w:eastAsia="zh-CN"/>
        </w:rPr>
      </w:pPr>
      <w:r>
        <w:rPr>
          <w:rFonts w:hint="default"/>
          <w:lang w:val="en-US" w:eastAsia="zh-CN"/>
        </w:rPr>
        <w:t>运维工具的自评估机制需完善，定期开展使用效果评估</w:t>
      </w:r>
    </w:p>
    <w:p>
      <w:pPr>
        <w:pStyle w:val="a1"/>
        <w:bidi w:val="0"/>
        <w:rPr>
          <w:rFonts w:hint="default"/>
          <w:lang w:val="en-US" w:eastAsia="zh-CN"/>
        </w:rPr>
      </w:pPr>
      <w:r>
        <w:rPr>
          <w:rFonts w:hint="eastAsia"/>
          <w:lang w:val="en-US" w:eastAsia="zh-CN"/>
        </w:rPr>
        <w:t>服务知识</w:t>
      </w:r>
      <w:r>
        <w:rPr>
          <w:rFonts w:hint="default"/>
          <w:lang w:val="en-US" w:eastAsia="zh-CN"/>
        </w:rPr>
        <w:t>管理需持续优化，提高知识使用率和采纳率</w:t>
      </w:r>
    </w:p>
    <w:p>
      <w:pPr>
        <w:pStyle w:val="a1"/>
        <w:bidi w:val="0"/>
        <w:rPr>
          <w:rFonts w:hint="default"/>
          <w:lang w:val="en-US" w:eastAsia="zh-CN"/>
        </w:rPr>
      </w:pPr>
      <w:r>
        <w:rPr>
          <w:rFonts w:hint="default"/>
          <w:lang w:val="en-US" w:eastAsia="zh-CN"/>
        </w:rPr>
        <w:t>备件库管理需持续规范，确保备件可用率达标</w:t>
      </w:r>
    </w:p>
    <w:p>
      <w:pPr>
        <w:pStyle w:val="3"/>
        <w:bidi w:val="0"/>
        <w:rPr>
          <w:rFonts w:hint="default"/>
          <w:lang w:val="en-US" w:eastAsia="zh-CN"/>
        </w:rPr>
      </w:pPr>
      <w:bookmarkStart w:id="9" w:name="_Toc8455"/>
      <w:r>
        <w:rPr>
          <w:rFonts w:hint="default"/>
          <w:lang w:val="en-US" w:eastAsia="zh-CN"/>
        </w:rPr>
        <w:t>技术管理方面</w:t>
      </w:r>
      <w:bookmarkEnd w:id="9"/>
    </w:p>
    <w:p>
      <w:pPr>
        <w:pStyle w:val="a1"/>
        <w:bidi w:val="0"/>
        <w:rPr>
          <w:rFonts w:hint="default"/>
          <w:lang w:val="en-US" w:eastAsia="zh-CN"/>
        </w:rPr>
      </w:pPr>
      <w:r>
        <w:rPr>
          <w:rFonts w:hint="default"/>
          <w:lang w:val="en-US" w:eastAsia="zh-CN"/>
        </w:rPr>
        <w:t>技术研发团队需充实，2025年计划招聘研发工程师</w:t>
      </w:r>
      <w:r>
        <w:rPr>
          <w:rFonts w:hint="eastAsia"/>
          <w:lang w:val="en-US" w:eastAsia="zh-CN"/>
        </w:rPr>
        <w:t>1人</w:t>
      </w:r>
    </w:p>
    <w:p>
      <w:pPr>
        <w:pStyle w:val="a1"/>
        <w:bidi w:val="0"/>
        <w:rPr>
          <w:rFonts w:hint="default"/>
          <w:lang w:val="en-US" w:eastAsia="zh-CN"/>
        </w:rPr>
      </w:pPr>
      <w:r>
        <w:rPr>
          <w:rFonts w:hint="default"/>
          <w:lang w:val="en-US" w:eastAsia="zh-CN"/>
        </w:rPr>
        <w:t>运维手册需持续完善，计划编写MySQL数据库运维手册等3本手册</w:t>
      </w:r>
    </w:p>
    <w:p>
      <w:pPr>
        <w:pStyle w:val="3"/>
        <w:bidi w:val="0"/>
        <w:rPr>
          <w:rFonts w:hint="default"/>
          <w:lang w:val="en-US" w:eastAsia="zh-CN"/>
        </w:rPr>
      </w:pPr>
      <w:bookmarkStart w:id="10" w:name="_Toc5935"/>
      <w:r>
        <w:rPr>
          <w:rFonts w:hint="default"/>
          <w:lang w:val="en-US" w:eastAsia="zh-CN"/>
        </w:rPr>
        <w:t>过程管理方面</w:t>
      </w:r>
      <w:bookmarkEnd w:id="10"/>
    </w:p>
    <w:p>
      <w:pPr>
        <w:pStyle w:val="a1"/>
        <w:bidi w:val="0"/>
        <w:rPr>
          <w:rFonts w:hint="default"/>
          <w:lang w:val="en-US" w:eastAsia="zh-CN"/>
        </w:rPr>
      </w:pPr>
      <w:r>
        <w:rPr>
          <w:rFonts w:hint="default"/>
          <w:lang w:val="en-US" w:eastAsia="zh-CN"/>
        </w:rPr>
        <w:t>服务级别协议（SLA）达成情况需持续监控</w:t>
      </w:r>
    </w:p>
    <w:p>
      <w:pPr>
        <w:pStyle w:val="a1"/>
        <w:bidi w:val="0"/>
        <w:rPr>
          <w:rFonts w:hint="default"/>
          <w:lang w:val="en-US" w:eastAsia="zh-CN"/>
        </w:rPr>
      </w:pPr>
      <w:r>
        <w:rPr>
          <w:rFonts w:hint="default"/>
          <w:lang w:val="en-US" w:eastAsia="zh-CN"/>
        </w:rPr>
        <w:t>事件、问题、变更、配置等过程的数据统计分析需加强</w:t>
      </w:r>
    </w:p>
    <w:p>
      <w:pPr>
        <w:pStyle w:val="a1"/>
        <w:bidi w:val="0"/>
        <w:rPr>
          <w:rFonts w:hint="default"/>
          <w:lang w:val="en-US" w:eastAsia="zh-CN"/>
        </w:rPr>
      </w:pPr>
      <w:r>
        <w:rPr>
          <w:rFonts w:hint="default"/>
          <w:lang w:val="en-US" w:eastAsia="zh-CN"/>
        </w:rPr>
        <w:t>服务报告的及时性和准确性需持续提升</w:t>
      </w:r>
    </w:p>
    <w:p>
      <w:pPr>
        <w:pStyle w:val="1"/>
        <w:bidi w:val="0"/>
        <w:rPr>
          <w:rFonts w:hint="default"/>
          <w:lang w:val="en-US" w:eastAsia="zh-CN"/>
        </w:rPr>
      </w:pPr>
      <w:bookmarkStart w:id="11" w:name="_Toc5916"/>
      <w:r>
        <w:rPr>
          <w:rFonts w:hint="default"/>
          <w:lang w:val="en-US" w:eastAsia="zh-CN"/>
        </w:rPr>
        <w:t>年度运维服务能力计划</w:t>
      </w:r>
      <w:bookmarkEnd w:id="11"/>
    </w:p>
    <w:p>
      <w:pPr>
        <w:pStyle w:val="a1"/>
        <w:bidi w:val="0"/>
        <w:rPr>
          <w:rFonts w:hint="default"/>
          <w:lang w:val="en-US" w:eastAsia="zh-CN"/>
        </w:rPr>
      </w:pPr>
      <w:r>
        <w:rPr>
          <w:rFonts w:hint="default"/>
          <w:lang w:val="en-US" w:eastAsia="zh-CN"/>
        </w:rPr>
        <w:t>为实现公司运维服务的标准化、规范化，2025年公司将按照ITSS能力成熟度模型三级的要求，从人员、资源、技术、过程、</w:t>
      </w:r>
      <w:r>
        <w:rPr>
          <w:rFonts w:hint="eastAsia"/>
          <w:lang w:val="en-US" w:eastAsia="zh-CN"/>
        </w:rPr>
        <w:t>交付、应急和</w:t>
      </w:r>
      <w:r>
        <w:rPr>
          <w:rFonts w:hint="default"/>
          <w:lang w:val="en-US" w:eastAsia="zh-CN"/>
        </w:rPr>
        <w:t>质量等方面进行全面规划，持续提升运维服务能力。</w:t>
      </w:r>
    </w:p>
    <w:p>
      <w:pPr>
        <w:pStyle w:val="2"/>
        <w:bidi w:val="0"/>
        <w:rPr>
          <w:rFonts w:hint="default"/>
          <w:lang w:val="en-US" w:eastAsia="zh-CN"/>
        </w:rPr>
      </w:pPr>
      <w:bookmarkStart w:id="12" w:name="_Toc26777"/>
      <w:r>
        <w:rPr>
          <w:rFonts w:hint="default"/>
          <w:lang w:val="en-US" w:eastAsia="zh-CN"/>
        </w:rPr>
        <w:t>人员管理规划</w:t>
      </w:r>
      <w:bookmarkEnd w:id="12"/>
    </w:p>
    <w:p>
      <w:pPr>
        <w:pStyle w:val="3"/>
        <w:bidi w:val="0"/>
        <w:rPr>
          <w:rFonts w:hint="eastAsia"/>
          <w:lang w:val="en-US" w:eastAsia="zh-CN"/>
        </w:rPr>
      </w:pPr>
      <w:bookmarkStart w:id="13" w:name="_Toc22274"/>
      <w:r>
        <w:rPr>
          <w:rFonts w:hint="eastAsia"/>
          <w:lang w:val="en-US" w:eastAsia="zh-CN"/>
        </w:rPr>
        <w:t>人员招聘计划</w:t>
      </w:r>
      <w:bookmarkEnd w:id="13"/>
    </w:p>
    <w:p>
      <w:pPr>
        <w:pStyle w:val="a1"/>
        <w:rPr>
          <w:rFonts w:hint="eastAsia"/>
          <w:lang w:val="en-US" w:eastAsia="zh-CN"/>
        </w:rPr>
      </w:pPr>
      <w:r>
        <w:rPr>
          <w:rFonts w:hint="eastAsia"/>
          <w:lang w:val="en-US" w:eastAsia="zh-CN"/>
        </w:rPr>
        <w:t>为保障公司2025年度运维服务业务的正常开展，满足各部门人员配置需求，确保关键岗位及时补充，根据公司战略发展目标和年度人员编制计划，制定本招聘计划。招聘工作遵循“按需招聘、择优录用、人岗匹配”的原则。</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1311"/>
      <w:r>
        <w:rPr>
          <w:rFonts w:hint="eastAsia"/>
          <w:lang w:val="en-US" w:eastAsia="zh-CN"/>
        </w:rPr>
        <w:t xml:space="preserve"> 2025年度人员招聘计划表</w:t>
      </w:r>
      <w:bookmarkEnd w:id="1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15"/>
        <w:gridCol w:w="1049"/>
        <w:gridCol w:w="1484"/>
        <w:gridCol w:w="1707"/>
        <w:gridCol w:w="1181"/>
        <w:gridCol w:w="561"/>
        <w:gridCol w:w="561"/>
        <w:gridCol w:w="561"/>
        <w:gridCol w:w="56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10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部门</w:t>
            </w:r>
          </w:p>
        </w:tc>
        <w:tc>
          <w:tcPr>
            <w:tcW w:w="158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岗位名称</w:t>
            </w:r>
          </w:p>
        </w:tc>
        <w:tc>
          <w:tcPr>
            <w:tcW w:w="183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计划招聘总人数</w:t>
            </w:r>
          </w:p>
        </w:tc>
        <w:tc>
          <w:tcPr>
            <w:tcW w:w="12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招聘方式</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Q1</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Q2</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Q3</w:t>
            </w:r>
          </w:p>
        </w:tc>
        <w:tc>
          <w:tcPr>
            <w:tcW w:w="46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Q4</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运维项目经理</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招聘网站/内部储备</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硬件运维工程师</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服务台专员</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产品产品质量部专员</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合计</w:t>
            </w:r>
          </w:p>
        </w:tc>
        <w:tc>
          <w:tcPr>
            <w:tcW w:w="110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5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83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6</w:t>
            </w:r>
          </w:p>
        </w:tc>
        <w:tc>
          <w:tcPr>
            <w:tcW w:w="12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b/>
              </w:rPr>
            </w:pPr>
            <w:r>
              <w:rPr>
                <w:b/>
              </w:rPr>
              <w:t>2</w:t>
            </w: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1</w:t>
            </w: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2</w:t>
            </w:r>
          </w:p>
        </w:tc>
        <w:tc>
          <w:tcPr>
            <w:tcW w:w="46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1</w:t>
            </w:r>
          </w:p>
        </w:tc>
      </w:tr>
    </w:tbl>
    <w:p>
      <w:pPr>
        <w:pStyle w:val="a1"/>
        <w:bidi w:val="0"/>
        <w:rPr>
          <w:rFonts w:hint="default"/>
          <w:lang w:val="en-US" w:eastAsia="zh-CN"/>
        </w:rPr>
      </w:pPr>
      <w:r>
        <w:rPr>
          <w:rFonts w:hint="default"/>
          <w:lang w:val="en-US" w:eastAsia="zh-CN"/>
        </w:rPr>
        <w:t>KPI指标：人员招聘计划达成率</w:t>
      </w:r>
    </w:p>
    <w:p>
      <w:pPr>
        <w:pStyle w:val="a1"/>
        <w:bidi w:val="0"/>
        <w:rPr>
          <w:rFonts w:hint="default"/>
          <w:lang w:val="en-US" w:eastAsia="zh-CN"/>
        </w:rPr>
      </w:pPr>
      <w:r>
        <w:rPr>
          <w:rFonts w:hint="default"/>
          <w:lang w:val="en-US" w:eastAsia="zh-CN"/>
        </w:rPr>
        <w:t>人员招聘计划达成率是反映年度招聘计划完成情况的量化指标，其计算公式为：人员招聘计划达成率 = (实际</w:t>
      </w:r>
      <w:r>
        <w:rPr>
          <w:rFonts w:hint="eastAsia"/>
          <w:lang w:val="en-US" w:eastAsia="zh-CN"/>
        </w:rPr>
        <w:t>招聘</w:t>
      </w:r>
      <w:r>
        <w:rPr>
          <w:rFonts w:hint="default"/>
          <w:lang w:val="en-US" w:eastAsia="zh-CN"/>
        </w:rPr>
        <w:t>人数</w:t>
      </w:r>
      <w:r>
        <w:rPr>
          <w:rFonts w:hint="eastAsia"/>
          <w:lang w:val="en-US" w:eastAsia="zh-CN"/>
        </w:rPr>
        <w:t>/</w:t>
      </w:r>
      <w:r>
        <w:rPr>
          <w:rFonts w:hint="default"/>
          <w:lang w:val="en-US" w:eastAsia="zh-CN"/>
        </w:rPr>
        <w:t>计划招聘人数) × 100%。目标值为 ≥ 80%，按季度进行考核，责任部门为综合部。</w:t>
      </w:r>
    </w:p>
    <w:p>
      <w:pPr>
        <w:pStyle w:val="3"/>
        <w:bidi w:val="0"/>
        <w:rPr>
          <w:rFonts w:hint="eastAsia"/>
          <w:lang w:val="en-US" w:eastAsia="zh-CN"/>
        </w:rPr>
      </w:pPr>
      <w:bookmarkStart w:id="15" w:name="_Toc7963"/>
      <w:r>
        <w:rPr>
          <w:rFonts w:hint="eastAsia"/>
          <w:lang w:val="en-US" w:eastAsia="zh-CN"/>
        </w:rPr>
        <w:t>人员储备计划</w:t>
      </w:r>
      <w:bookmarkEnd w:id="15"/>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保障公司关键岗位人员变动的连续性，降低因人员流失、岗位调整带来的业务风险，建立可持续的人才供给机制，特制定本储备计划。储备工作遵循“提前规划、定向培养、动态管理”的原则，通过内部培养与外部引进相结合的方式，为公司运维服务能力建设提供稳定的人才梯队支持，确保关键岗位空缺时能够快速补位。</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eastAsia="Segoe UI" w:hAnsi="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12641"/>
      <w:r>
        <w:rPr>
          <w:rFonts w:hint="eastAsia"/>
          <w:lang w:val="en-US" w:eastAsia="zh-CN"/>
        </w:rPr>
        <w:t xml:space="preserve"> 2025年度人员内部储备计划表</w:t>
      </w:r>
      <w:bookmarkEnd w:id="1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707"/>
        <w:gridCol w:w="1743"/>
        <w:gridCol w:w="1728"/>
        <w:gridCol w:w="1310"/>
        <w:gridCol w:w="1716"/>
        <w:gridCol w:w="131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70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序号</w:t>
            </w:r>
          </w:p>
        </w:tc>
        <w:tc>
          <w:tcPr>
            <w:tcW w:w="174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计划完成时间</w:t>
            </w:r>
          </w:p>
        </w:tc>
        <w:tc>
          <w:tcPr>
            <w:tcW w:w="172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储备岗位</w:t>
            </w:r>
          </w:p>
        </w:tc>
        <w:tc>
          <w:tcPr>
            <w:tcW w:w="131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储备方式</w:t>
            </w:r>
          </w:p>
        </w:tc>
        <w:tc>
          <w:tcPr>
            <w:tcW w:w="171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储备目标人数</w:t>
            </w:r>
          </w:p>
        </w:tc>
        <w:tc>
          <w:tcPr>
            <w:tcW w:w="131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储备来源</w:t>
            </w:r>
          </w:p>
        </w:tc>
      </w:tr>
      <w:tr>
        <w:tblPrEx>
          <w:tblW w:w="8522"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w:t>
            </w:r>
          </w:p>
        </w:tc>
        <w:tc>
          <w:tcPr>
            <w:tcW w:w="174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72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运维项目经理</w:t>
            </w:r>
          </w:p>
        </w:tc>
        <w:tc>
          <w:tcPr>
            <w:tcW w:w="13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内部培养</w:t>
            </w:r>
          </w:p>
        </w:tc>
        <w:tc>
          <w:tcPr>
            <w:tcW w:w="171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1人</w:t>
            </w:r>
          </w:p>
        </w:tc>
        <w:tc>
          <w:tcPr>
            <w:tcW w:w="131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内部选拔</w:t>
            </w:r>
          </w:p>
        </w:tc>
      </w:tr>
      <w:tr>
        <w:tblPrEx>
          <w:tblW w:w="8522"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w:t>
            </w:r>
          </w:p>
        </w:tc>
        <w:tc>
          <w:tcPr>
            <w:tcW w:w="174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2025年12月</w:t>
            </w:r>
          </w:p>
        </w:tc>
        <w:tc>
          <w:tcPr>
            <w:tcW w:w="172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研发工程师</w:t>
            </w:r>
          </w:p>
        </w:tc>
        <w:tc>
          <w:tcPr>
            <w:tcW w:w="131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内部培养</w:t>
            </w:r>
          </w:p>
        </w:tc>
        <w:tc>
          <w:tcPr>
            <w:tcW w:w="171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1人</w:t>
            </w:r>
          </w:p>
        </w:tc>
        <w:tc>
          <w:tcPr>
            <w:tcW w:w="131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内部选拔</w:t>
            </w:r>
          </w:p>
        </w:tc>
      </w:tr>
    </w:tbl>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KPI指标：人员储备计划达成率</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人员储备计划达成率是反映关键岗位内部储备计划完成情况的量化指标，其计算公式为：人员储备计划达成率 = (实际储备人数 / 计划储备人数) × 100%。目标值为 ≥ 80%，按季度进行考核，责任部门为综合部。</w:t>
      </w:r>
    </w:p>
    <w:p>
      <w:pPr>
        <w:pStyle w:val="3"/>
        <w:bidi w:val="0"/>
        <w:rPr>
          <w:rFonts w:hint="eastAsia"/>
          <w:lang w:val="en-US" w:eastAsia="zh-CN"/>
        </w:rPr>
      </w:pPr>
      <w:bookmarkStart w:id="17" w:name="_Toc6400"/>
      <w:r>
        <w:rPr>
          <w:rFonts w:hint="eastAsia"/>
          <w:lang w:val="en-US" w:eastAsia="zh-CN"/>
        </w:rPr>
        <w:t>人员培训计划</w:t>
      </w:r>
      <w:bookmarkEnd w:id="17"/>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提升员工的专业技能和综合素质，确保运维服务人员能力满足岗位要求，根据《人员培训管理制度》制定2025年度培训计划。培训主要分为管理、技术、操作三个方向，综合部对培训情况进行汇总并对相关课件进行统一归档。</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p>
    <w:p>
      <w:pPr>
        <w:pStyle w:val="a1"/>
        <w:rPr>
          <w:rFonts w:ascii="Segoe UI" w:eastAsia="Segoe UI" w:hAnsi="Segoe UI" w:cs="Segoe UI" w:hint="eastAsia"/>
          <w:i w:val="0"/>
          <w:iCs w:val="0"/>
          <w:caps w:val="0"/>
          <w:color w:val="0F1115"/>
          <w:spacing w:val="0"/>
          <w:sz w:val="24"/>
          <w:szCs w:val="24"/>
          <w:shd w:val="clear" w:color="auto" w:fill="FFFFFF"/>
          <w:lang w:val="en-US" w:eastAsia="zh-CN"/>
        </w:rPr>
        <w:sectPr>
          <w:pgSz w:w="11906" w:h="16838"/>
          <w:pgMar w:top="1440" w:right="1800" w:bottom="1440" w:left="1800" w:header="851" w:footer="992" w:gutter="0"/>
          <w:cols w:num="1" w:space="425"/>
          <w:docGrid w:type="lines" w:linePitch="312" w:charSpace="0"/>
        </w:sectPr>
      </w:pP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eastAsia="Segoe UI" w:hAnsi="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28631"/>
      <w:r>
        <w:rPr>
          <w:rFonts w:hint="eastAsia"/>
          <w:lang w:val="en-US" w:eastAsia="zh-CN"/>
        </w:rPr>
        <w:t xml:space="preserve"> 2025年度人员培训计划表</w:t>
      </w:r>
      <w:bookmarkEnd w:id="18"/>
    </w:p>
    <w:tbl>
      <w:tblPr>
        <w:tblStyle w:val="TableNormal"/>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707"/>
        <w:gridCol w:w="888"/>
        <w:gridCol w:w="2427"/>
        <w:gridCol w:w="911"/>
        <w:gridCol w:w="1642"/>
        <w:gridCol w:w="1260"/>
        <w:gridCol w:w="885"/>
        <w:gridCol w:w="1532"/>
        <w:gridCol w:w="1258"/>
        <w:gridCol w:w="1453"/>
        <w:gridCol w:w="1211"/>
      </w:tblGrid>
      <w:tr>
        <w:tblPrEx>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70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类型</w:t>
            </w:r>
          </w:p>
        </w:tc>
        <w:tc>
          <w:tcPr>
            <w:tcW w:w="88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序号</w:t>
            </w:r>
          </w:p>
        </w:tc>
        <w:tc>
          <w:tcPr>
            <w:tcW w:w="242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培训内容</w:t>
            </w:r>
          </w:p>
        </w:tc>
        <w:tc>
          <w:tcPr>
            <w:tcW w:w="91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时长</w:t>
            </w:r>
          </w:p>
        </w:tc>
        <w:tc>
          <w:tcPr>
            <w:tcW w:w="164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培训对象</w:t>
            </w:r>
          </w:p>
        </w:tc>
        <w:tc>
          <w:tcPr>
            <w:tcW w:w="126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培训老师</w:t>
            </w:r>
          </w:p>
        </w:tc>
        <w:tc>
          <w:tcPr>
            <w:tcW w:w="88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方式</w:t>
            </w:r>
          </w:p>
        </w:tc>
        <w:tc>
          <w:tcPr>
            <w:tcW w:w="153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计划时间</w:t>
            </w:r>
          </w:p>
        </w:tc>
        <w:tc>
          <w:tcPr>
            <w:tcW w:w="125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考核方式</w:t>
            </w:r>
          </w:p>
        </w:tc>
        <w:tc>
          <w:tcPr>
            <w:tcW w:w="145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负责部门</w:t>
            </w:r>
          </w:p>
        </w:tc>
        <w:tc>
          <w:tcPr>
            <w:tcW w:w="121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00000"/>
                <w:spacing w:val="0"/>
                <w:kern w:val="0"/>
                <w:sz w:val="22"/>
                <w:szCs w:val="22"/>
                <w:lang w:val="en-US" w:eastAsia="zh-CN"/>
              </w:rPr>
            </w:pPr>
            <w:r>
              <w:rPr>
                <w:rFonts w:ascii="Segoe UI" w:eastAsia="Segoe UI" w:hAnsi="Segoe UI" w:cs="Segoe UI" w:hint="default"/>
                <w:b/>
                <w:i w:val="0"/>
                <w:iCs w:val="0"/>
                <w:caps w:val="0"/>
                <w:snapToGrid w:val="0"/>
                <w:color w:val="000000"/>
                <w:spacing w:val="0"/>
                <w:kern w:val="0"/>
                <w:sz w:val="22"/>
                <w:szCs w:val="22"/>
                <w:lang w:val="en-US" w:eastAsia="zh-CN"/>
              </w:rPr>
              <w:t>预算</w:t>
            </w:r>
          </w:p>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(元)</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新员工入职培训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2.5h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入职新员工</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黄剑锋</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入职一周内</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ITSS运维体系培训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部门经理</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外部专家</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4000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质量管理培训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部门经理</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熊振翔</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2025年2月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现场实施规范</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2025年3月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运维工具培训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2025年4月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心得总结</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机房常见故障培训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交付规范培训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监控系统培训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厂商</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2025年7月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w:t>
            </w:r>
            <w:r>
              <w:rPr>
                <w:rFonts w:ascii="Segoe UI" w:eastAsia="Segoe UI" w:hAnsi="Segoe UI" w:cs="Segoe UI" w:hint="eastAsia"/>
                <w:i w:val="0"/>
                <w:iCs w:val="0"/>
                <w:caps w:val="0"/>
                <w:snapToGrid w:val="0"/>
                <w:color w:val="000000"/>
                <w:spacing w:val="0"/>
                <w:kern w:val="0"/>
                <w:sz w:val="22"/>
                <w:szCs w:val="22"/>
                <w:lang w:val="en-US" w:eastAsia="zh-CN"/>
              </w:rPr>
              <w:t>知识</w:t>
            </w:r>
            <w:r>
              <w:rPr>
                <w:rFonts w:ascii="Segoe UI" w:eastAsia="Segoe UI" w:hAnsi="Segoe UI" w:cs="Segoe UI" w:hint="default"/>
                <w:i w:val="0"/>
                <w:iCs w:val="0"/>
                <w:caps w:val="0"/>
                <w:snapToGrid w:val="0"/>
                <w:color w:val="000000"/>
                <w:spacing w:val="0"/>
                <w:kern w:val="0"/>
                <w:sz w:val="22"/>
                <w:szCs w:val="22"/>
                <w:lang w:val="en-US" w:eastAsia="zh-CN"/>
              </w:rPr>
              <w:t>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服务台专员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2025年8月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default"/>
                <w:i w:val="0"/>
                <w:iCs w:val="0"/>
                <w:caps w:val="0"/>
                <w:color w:val="0F1115"/>
                <w:spacing w:val="0"/>
                <w:sz w:val="22"/>
                <w:szCs w:val="22"/>
                <w:lang w:val="en-US" w:eastAsia="zh-CN"/>
              </w:rPr>
            </w:pPr>
            <w:r>
              <w:rPr>
                <w:rFonts w:ascii="Segoe UI" w:eastAsia="宋体" w:hAnsi="Segoe UI" w:cs="Segoe UI" w:hint="eastAsia"/>
                <w:i w:val="0"/>
                <w:iCs w:val="0"/>
                <w:caps w:val="0"/>
                <w:color w:val="0F1115"/>
                <w:spacing w:val="0"/>
                <w:sz w:val="22"/>
                <w:szCs w:val="22"/>
                <w:lang w:val="en-US" w:eastAsia="zh-CN"/>
              </w:rPr>
              <w:t>研发管理规范培训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石宝升</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2025年9月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机房设备基础知识培训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入职新员工</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2025年</w:t>
            </w:r>
            <w:r>
              <w:rPr>
                <w:rFonts w:ascii="Segoe UI" w:eastAsia="Segoe UI" w:hAnsi="Segoe UI" w:cs="Segoe UI" w:hint="eastAsia"/>
                <w:i w:val="0"/>
                <w:iCs w:val="0"/>
                <w:caps w:val="0"/>
                <w:snapToGrid w:val="0"/>
                <w:color w:val="000000"/>
                <w:spacing w:val="0"/>
                <w:kern w:val="0"/>
                <w:sz w:val="22"/>
                <w:szCs w:val="22"/>
                <w:lang w:val="en-US" w:eastAsia="zh-CN"/>
              </w:rPr>
              <w:t>10</w:t>
            </w:r>
            <w:r>
              <w:rPr>
                <w:rFonts w:ascii="Segoe UI" w:eastAsia="Segoe UI" w:hAnsi="Segoe UI" w:cs="Segoe UI" w:hint="default"/>
                <w:i w:val="0"/>
                <w:iCs w:val="0"/>
                <w:caps w:val="0"/>
                <w:snapToGrid w:val="0"/>
                <w:color w:val="000000"/>
                <w:spacing w:val="0"/>
                <w:kern w:val="0"/>
                <w:sz w:val="22"/>
                <w:szCs w:val="22"/>
                <w:lang w:val="en-US" w:eastAsia="zh-CN"/>
              </w:rPr>
              <w:t>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信息安全风险培训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外部专家</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2025年11月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备件管理制度培训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1.5h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备件管理人员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刘文桂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2025年12月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备件库</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合计</w:t>
            </w:r>
          </w:p>
        </w:tc>
        <w:tc>
          <w:tcPr>
            <w:tcW w:w="88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242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91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64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26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88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53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25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45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21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21700</w:t>
            </w:r>
          </w:p>
        </w:tc>
      </w:tr>
    </w:tbl>
    <w:p>
      <w:pPr>
        <w:rPr>
          <w:rFonts w:ascii="Segoe UI" w:eastAsia="Segoe UI" w:hAnsi="Segoe UI" w:cs="Segoe UI" w:hint="eastAsia"/>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num="1" w:space="425"/>
          <w:docGrid w:type="lines" w:linePitch="312" w:charSpace="0"/>
        </w:sectPr>
      </w:pPr>
      <w:r>
        <w:rPr>
          <w:rFonts w:ascii="Segoe UI" w:eastAsia="Segoe UI" w:hAnsi="Segoe UI" w:cs="Segoe UI" w:hint="eastAsia"/>
          <w:i w:val="0"/>
          <w:iCs w:val="0"/>
          <w:caps w:val="0"/>
          <w:color w:val="0F1115"/>
          <w:spacing w:val="0"/>
          <w:sz w:val="24"/>
          <w:szCs w:val="24"/>
          <w:shd w:val="clear" w:color="auto" w:fill="FFFFFF"/>
          <w:lang w:val="en-US" w:eastAsia="zh-CN"/>
        </w:rPr>
        <w:br w:type="page"/>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18978"/>
      <w:r>
        <w:rPr>
          <w:rFonts w:hint="eastAsia"/>
          <w:lang w:val="en-US" w:eastAsia="zh-CN"/>
        </w:rPr>
        <w:t xml:space="preserve"> 2025年度人员培训预算汇总表</w:t>
      </w:r>
      <w:bookmarkEnd w:id="1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09"/>
        <w:gridCol w:w="2576"/>
        <w:gridCol w:w="423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0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部门</w:t>
            </w:r>
          </w:p>
        </w:tc>
        <w:tc>
          <w:tcPr>
            <w:tcW w:w="257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预算金额（元）</w:t>
            </w:r>
          </w:p>
        </w:tc>
        <w:tc>
          <w:tcPr>
            <w:tcW w:w="423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19000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内训+外训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研发管理规范培训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质量管理培训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新员工入职培训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备件库</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备件管理培训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总计</w:t>
            </w:r>
          </w:p>
        </w:tc>
        <w:tc>
          <w:tcPr>
            <w:tcW w:w="257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21700</w:t>
            </w:r>
          </w:p>
        </w:tc>
        <w:tc>
          <w:tcPr>
            <w:tcW w:w="423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snapToGrid w:val="0"/>
              <w:ind w:left="0" w:right="0" w:firstLine="0" w:leftChars="0" w:rightChars="0" w:firstLineChars="0"/>
              <w:jc w:val="right"/>
              <w:rPr>
                <w:rFonts w:ascii="Segoe UI" w:eastAsia="Segoe UI" w:hAnsi="Segoe UI" w:cs="Segoe UI" w:hint="default"/>
                <w:b/>
                <w:i w:val="0"/>
                <w:iCs w:val="0"/>
                <w:caps w:val="0"/>
                <w:color w:val="0F1115"/>
                <w:spacing w:val="0"/>
                <w:sz w:val="22"/>
                <w:szCs w:val="22"/>
              </w:rPr>
            </w:pPr>
          </w:p>
        </w:tc>
      </w:tr>
    </w:tbl>
    <w:p>
      <w:pPr>
        <w:pStyle w:val="a1"/>
        <w:bidi w:val="0"/>
        <w:rPr>
          <w:rFonts w:hint="eastAsia"/>
          <w:lang w:val="en-US" w:eastAsia="zh-CN"/>
        </w:rPr>
      </w:pPr>
      <w:r>
        <w:rPr>
          <w:rFonts w:hint="eastAsia"/>
          <w:lang w:val="en-US" w:eastAsia="zh-CN"/>
        </w:rPr>
        <w:t>KPI指标：人员培训计划达成率</w:t>
      </w:r>
    </w:p>
    <w:p>
      <w:pPr>
        <w:pStyle w:val="a1"/>
        <w:bidi w:val="0"/>
        <w:rPr>
          <w:rFonts w:hint="eastAsia"/>
          <w:lang w:val="en-US" w:eastAsia="zh-CN"/>
        </w:rPr>
      </w:pPr>
      <w:r>
        <w:rPr>
          <w:rFonts w:hint="eastAsia"/>
          <w:lang w:val="en-US" w:eastAsia="zh-CN"/>
        </w:rPr>
        <w:t xml:space="preserve">人员培训计划达成率是反映年度培训计划执行情况的量化指标，其计算公式为：人员培训计划达成率 = </w:t>
      </w:r>
      <w:r>
        <w:rPr>
          <w:rFonts w:hint="default"/>
          <w:lang w:val="en-US" w:eastAsia="zh-CN"/>
        </w:rPr>
        <w:t>（实际培训完成课程数/计划培训课程数）</w:t>
      </w:r>
      <w:r>
        <w:rPr>
          <w:rFonts w:hint="eastAsia"/>
          <w:lang w:val="en-US" w:eastAsia="zh-CN"/>
        </w:rPr>
        <w:t xml:space="preserve"> × 100%。目标值为 ≥ 90%，按季度进行考核，责任部门为综合部。</w:t>
      </w:r>
    </w:p>
    <w:p>
      <w:pPr>
        <w:pStyle w:val="3"/>
        <w:bidi w:val="0"/>
        <w:rPr>
          <w:rFonts w:hint="eastAsia"/>
          <w:lang w:val="en-US" w:eastAsia="zh-CN"/>
        </w:rPr>
      </w:pPr>
      <w:bookmarkStart w:id="20" w:name="_Toc20530"/>
      <w:r>
        <w:rPr>
          <w:rFonts w:hint="eastAsia"/>
          <w:lang w:val="en-US" w:eastAsia="zh-CN"/>
        </w:rPr>
        <w:t>人员备份计划</w:t>
      </w:r>
      <w:bookmarkEnd w:id="20"/>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按照《人员备份管理制度》要求，对关键岗位进行备份管理，确保关键岗位人员因各种原因无法履职时能够迅速接替，保障业务连续性。</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Toc4747"/>
      <w:r>
        <w:rPr>
          <w:rFonts w:hint="eastAsia"/>
          <w:lang w:val="en-US" w:eastAsia="zh-CN"/>
        </w:rPr>
        <w:t xml:space="preserve"> 2025年度人员关键岗位备份计划表</w:t>
      </w:r>
      <w:bookmarkEnd w:id="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7"/>
        <w:gridCol w:w="2032"/>
        <w:gridCol w:w="1810"/>
        <w:gridCol w:w="1502"/>
        <w:gridCol w:w="181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部门</w:t>
            </w:r>
          </w:p>
        </w:tc>
        <w:tc>
          <w:tcPr>
            <w:tcW w:w="203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A岗位</w:t>
            </w:r>
          </w:p>
        </w:tc>
        <w:tc>
          <w:tcPr>
            <w:tcW w:w="181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B岗</w:t>
            </w:r>
          </w:p>
        </w:tc>
        <w:tc>
          <w:tcPr>
            <w:tcW w:w="150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备份要求</w:t>
            </w:r>
          </w:p>
        </w:tc>
        <w:tc>
          <w:tcPr>
            <w:tcW w:w="181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运维项目经理</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2025年3月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研发工程师</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2025年4月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产品产品质量部专员</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2025年9月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203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综合部经理</w:t>
            </w:r>
          </w:p>
        </w:tc>
        <w:tc>
          <w:tcPr>
            <w:tcW w:w="181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人事专员</w:t>
            </w:r>
          </w:p>
        </w:tc>
        <w:tc>
          <w:tcPr>
            <w:tcW w:w="150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2025年10月</w:t>
            </w:r>
          </w:p>
        </w:tc>
      </w:tr>
    </w:tbl>
    <w:p>
      <w:pPr>
        <w:pStyle w:val="a1"/>
        <w:bidi w:val="0"/>
        <w:rPr>
          <w:rFonts w:hint="eastAsia"/>
          <w:lang w:val="en-US" w:eastAsia="zh-CN"/>
        </w:rPr>
      </w:pPr>
      <w:r>
        <w:rPr>
          <w:rFonts w:hint="eastAsia"/>
          <w:lang w:val="en-US" w:eastAsia="zh-CN"/>
        </w:rPr>
        <w:t>KPI指标：备份人员能力达标率</w:t>
      </w:r>
    </w:p>
    <w:p>
      <w:pPr>
        <w:pStyle w:val="a1"/>
        <w:bidi w:val="0"/>
        <w:rPr>
          <w:rFonts w:hint="eastAsia"/>
          <w:lang w:val="en-US" w:eastAsia="zh-CN"/>
        </w:rPr>
      </w:pPr>
      <w:r>
        <w:rPr>
          <w:rFonts w:hint="eastAsia"/>
          <w:lang w:val="en-US" w:eastAsia="zh-CN"/>
        </w:rPr>
        <w:t>备份人员能力达标率是反映关键岗位备份人员实际履职能力的量化指标，其计算公式为：备份人员能力达标率 = (能力验证合格的备份人员数 / 备份人员总数) × 100%。目标值为 ≥ 90%，按季度进行考核，责任部门为综合部。</w:t>
      </w:r>
    </w:p>
    <w:p>
      <w:pPr>
        <w:pStyle w:val="3"/>
        <w:bidi w:val="0"/>
        <w:rPr>
          <w:rFonts w:hint="eastAsia"/>
          <w:lang w:val="en-US" w:eastAsia="zh-CN"/>
        </w:rPr>
      </w:pPr>
      <w:bookmarkStart w:id="22" w:name="_Toc10668"/>
      <w:r>
        <w:rPr>
          <w:rFonts w:hint="eastAsia"/>
          <w:lang w:val="en-US" w:eastAsia="zh-CN"/>
        </w:rPr>
        <w:t>人员绩效考核计划</w:t>
      </w:r>
      <w:bookmarkEnd w:id="22"/>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按照《人员绩效考核及技能评价管理制度》，对全体员工进行绩效考核，确保考核公平、公正、及时完成，考核结果与薪酬调整、岗位晋升、培训需求识别等挂钩。</w:t>
      </w:r>
    </w:p>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3" w:name="_Toc24180"/>
      <w:r>
        <w:rPr>
          <w:rFonts w:hint="eastAsia"/>
          <w:lang w:val="en-US" w:eastAsia="zh-CN"/>
        </w:rPr>
        <w:t xml:space="preserve"> 2025年度人员绩效考核计划表</w:t>
      </w:r>
      <w:bookmarkEnd w:id="2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3"/>
        <w:gridCol w:w="1952"/>
        <w:gridCol w:w="1679"/>
        <w:gridCol w:w="1827"/>
        <w:gridCol w:w="168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8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考核类型</w:t>
            </w:r>
          </w:p>
        </w:tc>
        <w:tc>
          <w:tcPr>
            <w:tcW w:w="195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考核周期</w:t>
            </w:r>
          </w:p>
        </w:tc>
        <w:tc>
          <w:tcPr>
            <w:tcW w:w="167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考核对象</w:t>
            </w:r>
          </w:p>
        </w:tc>
        <w:tc>
          <w:tcPr>
            <w:tcW w:w="182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考核时间</w:t>
            </w:r>
          </w:p>
        </w:tc>
        <w:tc>
          <w:tcPr>
            <w:tcW w:w="168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每月5日前</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每季度末</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年度考核</w:t>
            </w:r>
          </w:p>
        </w:tc>
        <w:tc>
          <w:tcPr>
            <w:tcW w:w="195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每年一次</w:t>
            </w:r>
          </w:p>
        </w:tc>
        <w:tc>
          <w:tcPr>
            <w:tcW w:w="167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12月</w:t>
            </w:r>
          </w:p>
        </w:tc>
        <w:tc>
          <w:tcPr>
            <w:tcW w:w="168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KPI指标：绩效考核及时完成率</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绩效考核及时完成率是反映绩效考核工作按时完成情况的量化指标，其计算公式为：绩效考核及时完成率 = (按时完成绩效考核的员工数 / 应参加绩效考核总人数) × 100%。目标值为 100%，按月度进行考核，责任部门为综合部。</w:t>
      </w:r>
    </w:p>
    <w:p>
      <w:pPr>
        <w:pStyle w:val="3"/>
        <w:bidi w:val="0"/>
        <w:rPr>
          <w:rFonts w:hint="eastAsia"/>
          <w:lang w:val="en-US" w:eastAsia="zh-CN"/>
        </w:rPr>
      </w:pPr>
      <w:bookmarkStart w:id="24" w:name="_Toc5882"/>
      <w:r>
        <w:rPr>
          <w:rFonts w:hint="eastAsia"/>
          <w:lang w:val="en-US" w:eastAsia="zh-CN"/>
        </w:rPr>
        <w:t>人员技能评定计划</w:t>
      </w:r>
      <w:bookmarkEnd w:id="24"/>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科学评估员工专业技能水平，识别能力短板，为岗位任职、晋升调薪、培训需求提供依据，特制定本技能评定计划。评定工作遵循“客观公正、注重实效、持续改进”的原则，采用笔试、实操、案例答辩相结合的方式进行。</w:t>
      </w:r>
    </w:p>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5" w:name="_Toc18028"/>
      <w:r>
        <w:rPr>
          <w:rFonts w:hint="eastAsia"/>
          <w:lang w:val="en-US" w:eastAsia="zh-CN"/>
        </w:rPr>
        <w:t xml:space="preserve"> 2025年度人员技能评定周期表</w:t>
      </w:r>
      <w:bookmarkEnd w:id="2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96"/>
        <w:gridCol w:w="1590"/>
        <w:gridCol w:w="1813"/>
        <w:gridCol w:w="1949"/>
        <w:gridCol w:w="13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9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评定类型</w:t>
            </w:r>
          </w:p>
        </w:tc>
        <w:tc>
          <w:tcPr>
            <w:tcW w:w="159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评定周期</w:t>
            </w:r>
          </w:p>
        </w:tc>
        <w:tc>
          <w:tcPr>
            <w:tcW w:w="181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评定对象</w:t>
            </w:r>
          </w:p>
        </w:tc>
        <w:tc>
          <w:tcPr>
            <w:tcW w:w="194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评定时间</w:t>
            </w:r>
          </w:p>
        </w:tc>
        <w:tc>
          <w:tcPr>
            <w:tcW w:w="137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半年度技能评定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每半年一次</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每年6月、12月</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入职时</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试用期内</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晋升技能评定</w:t>
            </w:r>
          </w:p>
        </w:tc>
        <w:tc>
          <w:tcPr>
            <w:tcW w:w="159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晋升前</w:t>
            </w:r>
          </w:p>
        </w:tc>
        <w:tc>
          <w:tcPr>
            <w:tcW w:w="181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申请晋升人员</w:t>
            </w:r>
          </w:p>
        </w:tc>
        <w:tc>
          <w:tcPr>
            <w:tcW w:w="194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晋升评审前</w:t>
            </w:r>
          </w:p>
        </w:tc>
        <w:tc>
          <w:tcPr>
            <w:tcW w:w="137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6" w:name="_Toc24466"/>
      <w:r>
        <w:rPr>
          <w:rFonts w:hint="eastAsia"/>
          <w:lang w:val="en-US" w:eastAsia="zh-CN"/>
        </w:rPr>
        <w:t xml:space="preserve"> 2025年度人员技能等级划分表</w:t>
      </w:r>
      <w:bookmarkEnd w:id="2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18"/>
        <w:gridCol w:w="1330"/>
        <w:gridCol w:w="56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1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技能等级</w:t>
            </w:r>
          </w:p>
        </w:tc>
        <w:tc>
          <w:tcPr>
            <w:tcW w:w="133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评估分数</w:t>
            </w:r>
          </w:p>
        </w:tc>
        <w:tc>
          <w:tcPr>
            <w:tcW w:w="567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A级（专家）</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90-100分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能够引领技术方向，技术创新；技能优秀，可担任导师或备份人员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B级（高级）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80-89分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能够解决疑难问题，指导他人；技能良好，可独立承担岗位工作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C级（中级）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60-79分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能够独立处理复杂问题；技能合格，需持续提升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D级（初级）</w:t>
            </w:r>
          </w:p>
        </w:tc>
        <w:tc>
          <w:tcPr>
            <w:tcW w:w="133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60分以下</w:t>
            </w:r>
          </w:p>
        </w:tc>
        <w:tc>
          <w:tcPr>
            <w:tcW w:w="567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能够独立完成基础运维工作；技能不足，需参加专项培训</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7" w:name="_Toc326"/>
      <w:r>
        <w:rPr>
          <w:rFonts w:hint="eastAsia"/>
          <w:lang w:val="en-US" w:eastAsia="zh-CN"/>
        </w:rPr>
        <w:t xml:space="preserve"> 2025年度人员技能评定内容表</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19"/>
        <w:gridCol w:w="999"/>
        <w:gridCol w:w="3641"/>
        <w:gridCol w:w="266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21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评定维度</w:t>
            </w:r>
          </w:p>
        </w:tc>
        <w:tc>
          <w:tcPr>
            <w:tcW w:w="99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权重</w:t>
            </w:r>
          </w:p>
        </w:tc>
        <w:tc>
          <w:tcPr>
            <w:tcW w:w="364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评定内容</w:t>
            </w:r>
          </w:p>
        </w:tc>
        <w:tc>
          <w:tcPr>
            <w:tcW w:w="266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专业知识</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岗位相关技术理论知识</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笔试、面试</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操作技能</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实际操作能力、故障处理能力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实操考核、案例演练</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问题解决</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复杂问题分析、解决能力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案例答辩、工作成果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知识贡献</w:t>
            </w:r>
          </w:p>
        </w:tc>
        <w:tc>
          <w:tcPr>
            <w:tcW w:w="99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w:t>
            </w:r>
          </w:p>
        </w:tc>
        <w:tc>
          <w:tcPr>
            <w:tcW w:w="364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知识库贡献、培训授课</w:t>
            </w:r>
          </w:p>
        </w:tc>
        <w:tc>
          <w:tcPr>
            <w:tcW w:w="266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知识库记录、培训记录</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8" w:name="_Toc16703"/>
      <w:r>
        <w:rPr>
          <w:rFonts w:hint="eastAsia"/>
          <w:lang w:val="en-US" w:eastAsia="zh-CN"/>
        </w:rPr>
        <w:t xml:space="preserve"> 2025年度人员技能评定结果应用表</w:t>
      </w:r>
      <w:bookmarkEnd w:id="2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281"/>
        <w:gridCol w:w="624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28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应用方向</w:t>
            </w:r>
          </w:p>
        </w:tc>
        <w:tc>
          <w:tcPr>
            <w:tcW w:w="624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具体方式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岗位任职资格</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A/B级可担任关键岗位，C/D级需持续提升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绩效奖金调节</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技能等级与绩效奖金系数挂钩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培训需求识别</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D级人员需参加专项培训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备份人员选拔</w:t>
            </w:r>
          </w:p>
        </w:tc>
        <w:tc>
          <w:tcPr>
            <w:tcW w:w="624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A/B级人员优先作为关键岗位备份</w:t>
            </w:r>
          </w:p>
        </w:tc>
      </w:tr>
    </w:tbl>
    <w:p>
      <w:pPr>
        <w:pStyle w:val="a1"/>
        <w:rPr>
          <w:rFonts w:ascii="Segoe UI" w:eastAsia="Segoe UI" w:hAnsi="Segoe UI" w:cs="Segoe UI" w:hint="default"/>
          <w:i w:val="0"/>
          <w:iCs w:val="0"/>
          <w:caps w:val="0"/>
          <w:color w:val="0F1115"/>
          <w:spacing w:val="0"/>
          <w:sz w:val="24"/>
          <w:szCs w:val="24"/>
          <w:shd w:val="clear" w:color="auto" w:fill="FFFFFF"/>
          <w:lang w:val="en-US" w:eastAsia="zh-CN"/>
        </w:rPr>
      </w:pPr>
      <w:r>
        <w:rPr>
          <w:rFonts w:ascii="Segoe UI" w:eastAsia="Segoe UI" w:hAnsi="Segoe UI" w:cs="Segoe UI" w:hint="default"/>
          <w:i w:val="0"/>
          <w:iCs w:val="0"/>
          <w:caps w:val="0"/>
          <w:color w:val="0F1115"/>
          <w:spacing w:val="0"/>
          <w:sz w:val="24"/>
          <w:szCs w:val="24"/>
          <w:shd w:val="clear" w:color="auto" w:fill="FFFFFF"/>
          <w:lang w:val="en-US" w:eastAsia="zh-CN"/>
        </w:rPr>
        <w:t>技能评价覆盖率是反映员工技能评定工作覆盖广度的量化指标，其计算公式为：技能评价覆盖率 = (实际参加技能评价的员工数 / 应参加技能评价员工总数) × 100%。目标值为 100%，按半年度进行考核（每年6月、12月），责任部门为</w:t>
      </w:r>
      <w:r>
        <w:rPr>
          <w:rFonts w:ascii="Segoe UI" w:eastAsia="Segoe UI" w:hAnsi="Segoe UI" w:cs="Segoe UI" w:hint="eastAsia"/>
          <w:i w:val="0"/>
          <w:iCs w:val="0"/>
          <w:caps w:val="0"/>
          <w:color w:val="0F1115"/>
          <w:spacing w:val="0"/>
          <w:sz w:val="24"/>
          <w:szCs w:val="24"/>
          <w:shd w:val="clear" w:color="auto" w:fill="FFFFFF"/>
          <w:lang w:val="en-US" w:eastAsia="zh-CN"/>
        </w:rPr>
        <w:t>综合部</w:t>
      </w:r>
      <w:r>
        <w:rPr>
          <w:rFonts w:ascii="Segoe UI" w:eastAsia="Segoe UI" w:hAnsi="Segoe UI" w:cs="Segoe UI" w:hint="default"/>
          <w:i w:val="0"/>
          <w:iCs w:val="0"/>
          <w:caps w:val="0"/>
          <w:color w:val="0F1115"/>
          <w:spacing w:val="0"/>
          <w:sz w:val="24"/>
          <w:szCs w:val="24"/>
          <w:shd w:val="clear" w:color="auto" w:fill="FFFFFF"/>
          <w:lang w:val="en-US" w:eastAsia="zh-CN"/>
        </w:rPr>
        <w:t>。新员工入职技能评定、晋升技能评定另行统计，不计入半年度覆盖率考核。</w:t>
      </w:r>
    </w:p>
    <w:p>
      <w:pPr>
        <w:pStyle w:val="2"/>
        <w:bidi w:val="0"/>
        <w:rPr>
          <w:rFonts w:hint="default"/>
          <w:lang w:val="en-US" w:eastAsia="zh-CN"/>
        </w:rPr>
      </w:pPr>
      <w:bookmarkStart w:id="29" w:name="_Toc15625"/>
      <w:r>
        <w:rPr>
          <w:rFonts w:hint="eastAsia"/>
          <w:lang w:val="en-US" w:eastAsia="zh-CN"/>
        </w:rPr>
        <w:t>资源管理规划</w:t>
      </w:r>
      <w:bookmarkEnd w:id="29"/>
    </w:p>
    <w:p>
      <w:pPr>
        <w:pStyle w:val="a1"/>
        <w:rPr>
          <w:rFonts w:hint="default"/>
          <w:lang w:val="en-US" w:eastAsia="zh-CN"/>
        </w:rPr>
      </w:pPr>
      <w:r>
        <w:rPr>
          <w:rFonts w:hint="default"/>
          <w:lang w:val="en-US" w:eastAsia="zh-CN"/>
        </w:rPr>
        <w:t>为确保运维服务能力的持续提升，2025年公司将从运维工具、服务知识、服务台、备件库、最终软件库、服务数据六个方面加强资源管理，为运维服务提供坚实的资源保障。</w:t>
      </w:r>
    </w:p>
    <w:p>
      <w:pPr>
        <w:pStyle w:val="3"/>
        <w:bidi w:val="0"/>
        <w:rPr>
          <w:rFonts w:hint="default"/>
          <w:lang w:val="en-US" w:eastAsia="zh-CN"/>
        </w:rPr>
      </w:pPr>
      <w:bookmarkStart w:id="30" w:name="_Toc12131"/>
      <w:r>
        <w:rPr>
          <w:rFonts w:hint="default"/>
          <w:lang w:val="en-US" w:eastAsia="zh-CN"/>
        </w:rPr>
        <w:t>运维工具管理</w:t>
      </w:r>
      <w:bookmarkEnd w:id="30"/>
    </w:p>
    <w:p>
      <w:pPr>
        <w:pStyle w:val="a1"/>
        <w:rPr>
          <w:rFonts w:hint="default"/>
          <w:lang w:val="en-US" w:eastAsia="zh-CN"/>
        </w:rPr>
      </w:pPr>
      <w:r>
        <w:rPr>
          <w:rFonts w:hint="default"/>
          <w:lang w:val="en-US" w:eastAsia="zh-CN"/>
        </w:rPr>
        <w:t>根据《运维服务工具管理制度》，公司目前使用的运维工具主要包括iTop运维管理平台和图云科技运维监控平台。iTop平台集成了服务台、事件管理、问题管理、变更管理、配置管理、服务知识等功能模块，实现了运维流程的数字化管理；图云科技运维监控平台实现了对服务器、网络设备、数据库、应用性能等的全面监控。</w:t>
      </w:r>
    </w:p>
    <w:p>
      <w:pPr>
        <w:pStyle w:val="a1"/>
        <w:rPr>
          <w:rFonts w:hint="default"/>
          <w:lang w:val="en-US" w:eastAsia="zh-CN"/>
        </w:rPr>
      </w:pPr>
      <w:r>
        <w:rPr>
          <w:rFonts w:hint="default"/>
          <w:lang w:val="en-US" w:eastAsia="zh-CN"/>
        </w:rPr>
        <w:t>2025年运维工具管理的主要工作包括：研发部负责根据运维业务需求，持续优化监控平台功能，2025年重点完成数据库监控模块的研发，实现对MySQL、Redis等数据库的全面监控及慢SQL分析功能；运维部经理每年度组织一次运维工具使用效果评估，形成《运维工具</w:t>
      </w:r>
      <w:r>
        <w:rPr>
          <w:rFonts w:hint="eastAsia"/>
          <w:lang w:val="en-US" w:eastAsia="zh-CN"/>
        </w:rPr>
        <w:t>自评估</w:t>
      </w:r>
      <w:r>
        <w:rPr>
          <w:rFonts w:hint="default"/>
          <w:lang w:val="en-US" w:eastAsia="zh-CN"/>
        </w:rPr>
        <w:t>报告》，从工具覆盖度、使用效率、用户满意度等方面进行评估，识别改进点并推动优化；研发部负责编制和维护运维工具操作手册，确保操作人员熟练掌握工具使用方法，新工具上线或版本升级时，及时组织使用培训；通过工具使用数据的统计分析，评估工具对运维效率的实际提升效果，为工具优化和选型提供数据支撑。</w:t>
      </w:r>
    </w:p>
    <w:p>
      <w:pPr>
        <w:pStyle w:val="a1"/>
        <w:rPr>
          <w:rFonts w:hint="default"/>
          <w:lang w:val="en-US" w:eastAsia="zh-CN"/>
        </w:rPr>
      </w:pPr>
      <w:r>
        <w:rPr>
          <w:rFonts w:hint="default"/>
          <w:lang w:val="en-US" w:eastAsia="zh-CN"/>
        </w:rPr>
        <w:t>KPI指标：运维工具评审次数</w:t>
      </w:r>
    </w:p>
    <w:p>
      <w:pPr>
        <w:pStyle w:val="a1"/>
        <w:rPr>
          <w:rFonts w:hint="default"/>
          <w:lang w:val="en-US" w:eastAsia="zh-CN"/>
        </w:rPr>
      </w:pPr>
      <w:r>
        <w:rPr>
          <w:rFonts w:hint="default"/>
          <w:lang w:val="en-US" w:eastAsia="zh-CN"/>
        </w:rPr>
        <w:t>运维工具评审次数是反映运维工具使用效果定期评估执行情况的量化指标。</w:t>
      </w:r>
      <w:r>
        <w:rPr>
          <w:rFonts w:hint="eastAsia"/>
          <w:lang w:val="en-US" w:eastAsia="zh-CN"/>
        </w:rPr>
        <w:t>计算方式为：</w:t>
      </w:r>
      <w:r>
        <w:t>对运维工具使用效果的评审次数</w:t>
      </w:r>
      <w:r>
        <w:rPr>
          <w:rFonts w:hint="eastAsia"/>
          <w:lang w:eastAsia="zh-CN"/>
        </w:rPr>
        <w:t>。</w:t>
      </w:r>
      <w:r>
        <w:rPr>
          <w:rFonts w:hint="default"/>
          <w:lang w:val="en-US" w:eastAsia="zh-CN"/>
        </w:rPr>
        <w:t>目标值为 ≥ 1次，按年度进行考核，责任部门为运维部。</w:t>
      </w:r>
    </w:p>
    <w:p>
      <w:pPr>
        <w:pStyle w:val="3"/>
        <w:bidi w:val="0"/>
        <w:rPr>
          <w:rFonts w:hint="default"/>
          <w:lang w:val="en-US" w:eastAsia="zh-CN"/>
        </w:rPr>
      </w:pPr>
      <w:bookmarkStart w:id="31" w:name="_Toc24438"/>
      <w:r>
        <w:rPr>
          <w:rFonts w:hint="default"/>
          <w:lang w:val="en-US" w:eastAsia="zh-CN"/>
        </w:rPr>
        <w:t>服务知识管理</w:t>
      </w:r>
      <w:bookmarkEnd w:id="31"/>
    </w:p>
    <w:p>
      <w:pPr>
        <w:pStyle w:val="a1"/>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pPr>
        <w:pStyle w:val="a1"/>
        <w:rPr>
          <w:rFonts w:hint="default"/>
          <w:lang w:val="en-US" w:eastAsia="zh-CN"/>
        </w:rPr>
      </w:pPr>
      <w:r>
        <w:rPr>
          <w:rFonts w:hint="default"/>
          <w:lang w:val="en-US" w:eastAsia="zh-CN"/>
        </w:rPr>
        <w:t>2025年服务知识管理的主要工作包括：建立知识的全生命周期管理机制，严格执行知识提交、审批、发布、更新、删除的标准化流程；将事件处理、问题分析中的典型解决方案录入服务知识库，形成“事件→问题→知识”的闭环管理，服务台在处理事件时可快速检索知识库，提高一线解决率；按照服务知识管理制度的激励措施，对积极贡献知识的员工给予积分奖励和年度评优倾斜，鼓励员工主动沉淀经验、分享知识；每年度组织一次服务知识使用培训，提高运维人员对知识库的使用熟练度，确保知识库得到充分利用。</w:t>
      </w:r>
    </w:p>
    <w:p>
      <w:pPr>
        <w:pStyle w:val="a1"/>
        <w:rPr>
          <w:rFonts w:hint="default"/>
          <w:lang w:val="en-US" w:eastAsia="zh-CN"/>
        </w:rPr>
      </w:pPr>
      <w:r>
        <w:rPr>
          <w:rFonts w:hint="default"/>
          <w:lang w:val="en-US" w:eastAsia="zh-CN"/>
        </w:rPr>
        <w:t>KPI指标：</w:t>
      </w:r>
    </w:p>
    <w:p>
      <w:pPr>
        <w:pStyle w:val="a1"/>
        <w:numPr>
          <w:ilvl w:val="0"/>
          <w:numId w:val="3"/>
        </w:numPr>
        <w:ind w:left="425" w:hanging="425" w:leftChars="0" w:firstLineChars="0"/>
        <w:rPr>
          <w:rFonts w:hint="default"/>
          <w:lang w:val="en-US" w:eastAsia="zh-CN"/>
        </w:rPr>
      </w:pPr>
      <w:r>
        <w:rPr>
          <w:rFonts w:hint="default"/>
          <w:lang w:val="en-US" w:eastAsia="zh-CN"/>
        </w:rPr>
        <w:t>新增知识条目</w:t>
      </w:r>
    </w:p>
    <w:p>
      <w:pPr>
        <w:pStyle w:val="a1"/>
        <w:rPr>
          <w:rFonts w:hint="default"/>
          <w:lang w:val="en-US" w:eastAsia="zh-CN"/>
        </w:rPr>
      </w:pPr>
      <w:r>
        <w:rPr>
          <w:rFonts w:hint="default"/>
          <w:lang w:val="en-US" w:eastAsia="zh-CN"/>
        </w:rPr>
        <w:t>新增知识条目是反映知识库内容更新和积累情况的量化指标。</w:t>
      </w:r>
      <w:r>
        <w:rPr>
          <w:rFonts w:hint="eastAsia"/>
          <w:lang w:val="en-US" w:eastAsia="zh-CN"/>
        </w:rPr>
        <w:t>计算方式为：</w:t>
      </w:r>
      <w:r>
        <w:rPr>
          <w:rFonts w:hint="default"/>
          <w:lang w:val="en-US" w:eastAsia="zh-CN"/>
        </w:rPr>
        <w:t>每月度知识库中新增有效知识条目数</w:t>
      </w:r>
      <w:r>
        <w:rPr>
          <w:rFonts w:hint="eastAsia"/>
          <w:lang w:val="en-US" w:eastAsia="zh-CN"/>
        </w:rPr>
        <w:t>。</w:t>
      </w:r>
      <w:r>
        <w:rPr>
          <w:rFonts w:hint="default"/>
          <w:lang w:val="en-US" w:eastAsia="zh-CN"/>
        </w:rPr>
        <w:t>目标值为 ≥ 5条，按月度进行考核，责任部门为运维部，。</w:t>
      </w:r>
    </w:p>
    <w:p>
      <w:pPr>
        <w:pStyle w:val="a1"/>
        <w:numPr>
          <w:ilvl w:val="0"/>
          <w:numId w:val="3"/>
        </w:numPr>
        <w:ind w:left="425" w:hanging="425" w:leftChars="0" w:firstLineChars="0"/>
        <w:rPr>
          <w:rFonts w:hint="default"/>
          <w:lang w:val="en-US" w:eastAsia="zh-CN"/>
        </w:rPr>
      </w:pPr>
      <w:r>
        <w:rPr>
          <w:rFonts w:hint="default"/>
          <w:lang w:val="en-US" w:eastAsia="zh-CN"/>
        </w:rPr>
        <w:t>服务知识使用率</w:t>
      </w:r>
    </w:p>
    <w:p>
      <w:pPr>
        <w:pStyle w:val="a1"/>
        <w:rPr>
          <w:rFonts w:hint="default"/>
          <w:lang w:val="en-US" w:eastAsia="zh-CN"/>
        </w:rPr>
      </w:pPr>
      <w:r>
        <w:rPr>
          <w:rFonts w:hint="default"/>
          <w:lang w:val="en-US" w:eastAsia="zh-CN"/>
        </w:rPr>
        <w:t>服务知识使用率是反映知识库被运维人员使用频率的量化指标，其计算公式为：服务知识使用率 = (使用</w:t>
      </w:r>
      <w:r>
        <w:rPr>
          <w:rFonts w:hint="eastAsia"/>
          <w:lang w:val="en-US" w:eastAsia="zh-CN"/>
        </w:rPr>
        <w:t>人数</w:t>
      </w:r>
      <w:r>
        <w:rPr>
          <w:rFonts w:hint="default"/>
          <w:lang w:val="en-US" w:eastAsia="zh-CN"/>
        </w:rPr>
        <w:t xml:space="preserve"> / 应</w:t>
      </w:r>
      <w:r>
        <w:rPr>
          <w:rFonts w:hint="eastAsia"/>
          <w:lang w:val="en-US" w:eastAsia="zh-CN"/>
        </w:rPr>
        <w:t>使用人数</w:t>
      </w:r>
      <w:r>
        <w:rPr>
          <w:rFonts w:hint="default"/>
          <w:lang w:val="en-US" w:eastAsia="zh-CN"/>
        </w:rPr>
        <w:t>) × 100%。目标值为 ≥ 80%，按季度进行考核，责任部门为运维部。</w:t>
      </w:r>
    </w:p>
    <w:p>
      <w:pPr>
        <w:pStyle w:val="a1"/>
        <w:numPr>
          <w:ilvl w:val="0"/>
          <w:numId w:val="3"/>
        </w:numPr>
        <w:ind w:left="425" w:hanging="425" w:leftChars="0" w:firstLineChars="0"/>
        <w:rPr>
          <w:rFonts w:hint="default"/>
          <w:lang w:val="en-US" w:eastAsia="zh-CN"/>
        </w:rPr>
      </w:pPr>
      <w:r>
        <w:rPr>
          <w:rFonts w:hint="default"/>
          <w:lang w:val="en-US" w:eastAsia="zh-CN"/>
        </w:rPr>
        <w:t>知识采纳率</w:t>
      </w:r>
    </w:p>
    <w:p>
      <w:pPr>
        <w:pStyle w:val="a1"/>
        <w:rPr>
          <w:rFonts w:hint="default"/>
          <w:lang w:val="en-US" w:eastAsia="zh-CN"/>
        </w:rPr>
      </w:pPr>
      <w:r>
        <w:rPr>
          <w:rFonts w:hint="default"/>
          <w:lang w:val="en-US" w:eastAsia="zh-CN"/>
        </w:rPr>
        <w:t>知识采纳率是反映知识库内容质量和实用性的量化指标，其计算公式为：知识采纳率 = (采纳知识数 / 提交知识数) × 100%。目标值为 ≥ 70%，按季度进行考核，责任部门为运维部。</w:t>
      </w:r>
    </w:p>
    <w:p>
      <w:pPr>
        <w:pStyle w:val="3"/>
        <w:bidi w:val="0"/>
        <w:rPr>
          <w:rFonts w:hint="default"/>
          <w:lang w:val="en-US" w:eastAsia="zh-CN"/>
        </w:rPr>
      </w:pPr>
      <w:bookmarkStart w:id="32" w:name="_Toc23500"/>
      <w:r>
        <w:rPr>
          <w:rFonts w:hint="default"/>
          <w:lang w:val="en-US" w:eastAsia="zh-CN"/>
        </w:rPr>
        <w:t>服务台管理</w:t>
      </w:r>
      <w:bookmarkEnd w:id="32"/>
    </w:p>
    <w:p>
      <w:pPr>
        <w:pStyle w:val="a1"/>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pPr>
        <w:pStyle w:val="a1"/>
        <w:rPr>
          <w:rFonts w:hint="default"/>
          <w:lang w:val="en-US" w:eastAsia="zh-CN"/>
        </w:rPr>
      </w:pPr>
      <w:r>
        <w:rPr>
          <w:rFonts w:hint="default"/>
          <w:lang w:val="en-US" w:eastAsia="zh-CN"/>
        </w:rPr>
        <w:t>2025年服务台管理的主要工作包括：所有客户服务请求、故障报修、咨询投诉均通过服务台统一受理，杜绝客户直接联系现场工程师的情况，确保服务过程可记录、可追溯；严格按照“报障受理→分析判断→解决事件→工单关闭→录入服务知识→客户回访”的标准化流程执行，确保每个事件从受理到关闭的全过程闭环管理；每年度组织服务台专项培训，提升服务台人员的沟通技巧和问题判断能力；运维部经理定期填写《服务台服务质量考核表》，从响应及时性、服务态度、交付物质量三个维度进行考核，考核结果计入个人绩效；每月统计服务台请求关闭率、接通率、客户满意度等关键指标，分析服务台运行情况，发现异常及时改进。</w:t>
      </w:r>
    </w:p>
    <w:p>
      <w:pPr>
        <w:pStyle w:val="a1"/>
        <w:rPr>
          <w:rFonts w:hint="default"/>
          <w:lang w:val="en-US" w:eastAsia="zh-CN"/>
        </w:rPr>
      </w:pPr>
      <w:r>
        <w:rPr>
          <w:rFonts w:hint="default"/>
          <w:lang w:val="en-US" w:eastAsia="zh-CN"/>
        </w:rPr>
        <w:t>KPI指标</w:t>
      </w:r>
      <w:r>
        <w:rPr>
          <w:rFonts w:hint="eastAsia"/>
          <w:lang w:val="en-US" w:eastAsia="zh-CN"/>
        </w:rPr>
        <w:t>：</w:t>
      </w:r>
    </w:p>
    <w:p>
      <w:pPr>
        <w:pStyle w:val="a1"/>
        <w:numPr>
          <w:ilvl w:val="0"/>
          <w:numId w:val="4"/>
        </w:numPr>
        <w:ind w:left="425" w:hanging="425" w:leftChars="0" w:firstLineChars="0"/>
        <w:rPr>
          <w:rFonts w:hint="default"/>
          <w:lang w:val="en-US" w:eastAsia="zh-CN"/>
        </w:rPr>
      </w:pPr>
      <w:r>
        <w:rPr>
          <w:rFonts w:hint="default"/>
          <w:lang w:val="en-US" w:eastAsia="zh-CN"/>
        </w:rPr>
        <w:t>服务台请求关闭率</w:t>
      </w:r>
    </w:p>
    <w:p>
      <w:pPr>
        <w:pStyle w:val="a1"/>
        <w:rPr>
          <w:rFonts w:hint="default"/>
          <w:lang w:val="en-US" w:eastAsia="zh-CN"/>
        </w:rPr>
      </w:pPr>
      <w:r>
        <w:rPr>
          <w:rFonts w:hint="default"/>
          <w:lang w:val="en-US" w:eastAsia="zh-CN"/>
        </w:rPr>
        <w:t>服务台请求关闭率是反映服务台事件处理能力的量化指标，其计算公式为：服务台请求关闭率 = (服务台请求关闭数量 / 服务记录服务请求数量) × 100%。目标值为 ≥ 95%，按月度进行考核，责任部门为运维部。</w:t>
      </w:r>
    </w:p>
    <w:p>
      <w:pPr>
        <w:pStyle w:val="a1"/>
        <w:numPr>
          <w:ilvl w:val="0"/>
          <w:numId w:val="4"/>
        </w:numPr>
        <w:ind w:left="425" w:hanging="425" w:leftChars="0" w:firstLineChars="0"/>
        <w:rPr>
          <w:rFonts w:hint="default"/>
          <w:lang w:val="en-US" w:eastAsia="zh-CN"/>
        </w:rPr>
      </w:pPr>
      <w:r>
        <w:rPr>
          <w:rFonts w:hint="default"/>
          <w:lang w:val="en-US" w:eastAsia="zh-CN"/>
        </w:rPr>
        <w:t>服务台接通率</w:t>
      </w:r>
    </w:p>
    <w:p>
      <w:pPr>
        <w:pStyle w:val="a1"/>
        <w:rPr>
          <w:rFonts w:hint="default"/>
          <w:lang w:val="en-US" w:eastAsia="zh-CN"/>
        </w:rPr>
      </w:pPr>
      <w:r>
        <w:rPr>
          <w:rFonts w:hint="default"/>
          <w:lang w:val="en-US" w:eastAsia="zh-CN"/>
        </w:rPr>
        <w:t>服务台接通率是反映服务台电话服务可用性的量化指标，其计算公式为：服务台接通率 = (接通电话数 / 总来电数) × 100%。目标值为 ≥ 98%，按月度进行考核，责任部门为运维部。</w:t>
      </w:r>
    </w:p>
    <w:p>
      <w:pPr>
        <w:pStyle w:val="3"/>
        <w:bidi w:val="0"/>
        <w:rPr>
          <w:rFonts w:hint="default"/>
          <w:lang w:val="en-US" w:eastAsia="zh-CN"/>
        </w:rPr>
      </w:pPr>
      <w:bookmarkStart w:id="33" w:name="_Toc6983"/>
      <w:r>
        <w:rPr>
          <w:rFonts w:hint="default"/>
          <w:lang w:val="en-US" w:eastAsia="zh-CN"/>
        </w:rPr>
        <w:t>备件库管理</w:t>
      </w:r>
      <w:bookmarkEnd w:id="33"/>
    </w:p>
    <w:p>
      <w:pPr>
        <w:pStyle w:val="a1"/>
        <w:rPr>
          <w:rFonts w:hint="default"/>
          <w:lang w:val="en-US" w:eastAsia="zh-CN"/>
        </w:rPr>
      </w:pPr>
      <w:r>
        <w:rPr>
          <w:rFonts w:hint="default"/>
          <w:lang w:val="en-US" w:eastAsia="zh-CN"/>
        </w:rPr>
        <w:t>根据《运维服务备件库管理制度》，公司备件库由</w:t>
      </w:r>
      <w:r>
        <w:rPr>
          <w:rFonts w:hint="eastAsia"/>
          <w:lang w:val="en-US" w:eastAsia="zh-CN"/>
        </w:rPr>
        <w:t>备件库</w:t>
      </w:r>
      <w:r>
        <w:rPr>
          <w:rFonts w:hint="default"/>
          <w:lang w:val="en-US" w:eastAsia="zh-CN"/>
        </w:rPr>
        <w:t>负责管理，遵循“统一管理、集中调配”的原则。</w:t>
      </w:r>
    </w:p>
    <w:p>
      <w:pPr>
        <w:pStyle w:val="a1"/>
        <w:rPr>
          <w:rFonts w:hint="default"/>
          <w:lang w:val="en-US" w:eastAsia="zh-CN"/>
        </w:rPr>
      </w:pPr>
      <w:r>
        <w:rPr>
          <w:rFonts w:hint="default"/>
          <w:lang w:val="en-US" w:eastAsia="zh-CN"/>
        </w:rPr>
        <w:t>2025年备件库管理的主要工作包括：根据运维服务目录和SLA要求，制定备件储备规划，明确关键备件的安全库存数量，对于常用备件建立最低库存预警机制，低于安全库存时及时补库；所有备件入库前均需经过验收和功能性测试，确保备件质量合格，出库需凭审批单办理，确保账实相符，备件库专员每月对库存进行盘点，确保库存准确率；每月对库存备件按30%比例进行抽检，确保备件性能符合要求，对检测中发现问题的备件，及时送修或报废处理；根据SLA要求建立备件响应分级机制，确保在故障发生时能够快速调配备件。</w:t>
      </w:r>
    </w:p>
    <w:p>
      <w:pPr>
        <w:pStyle w:val="a1"/>
        <w:rPr>
          <w:rFonts w:hint="default"/>
          <w:lang w:val="en-US" w:eastAsia="zh-CN"/>
        </w:rPr>
      </w:pPr>
      <w:r>
        <w:rPr>
          <w:rFonts w:hint="default"/>
          <w:lang w:val="en-US" w:eastAsia="zh-CN"/>
        </w:rPr>
        <w:t>KPI指标：</w:t>
      </w:r>
    </w:p>
    <w:p>
      <w:pPr>
        <w:pStyle w:val="a1"/>
        <w:numPr>
          <w:ilvl w:val="0"/>
          <w:numId w:val="5"/>
        </w:numPr>
        <w:ind w:left="425" w:hanging="425" w:leftChars="0" w:firstLineChars="0"/>
        <w:rPr>
          <w:rFonts w:hint="default"/>
          <w:lang w:val="en-US" w:eastAsia="zh-CN"/>
        </w:rPr>
      </w:pPr>
      <w:r>
        <w:rPr>
          <w:rFonts w:hint="default"/>
          <w:lang w:val="en-US" w:eastAsia="zh-CN"/>
        </w:rPr>
        <w:t>备件可用率</w:t>
      </w:r>
    </w:p>
    <w:p>
      <w:pPr>
        <w:pStyle w:val="a1"/>
        <w:rPr>
          <w:rFonts w:hint="default"/>
          <w:lang w:val="en-US" w:eastAsia="zh-CN"/>
        </w:rPr>
      </w:pPr>
      <w:r>
        <w:rPr>
          <w:rFonts w:hint="default"/>
          <w:lang w:val="en-US" w:eastAsia="zh-CN"/>
        </w:rPr>
        <w:t>备件可用率是反映库存备件质量状况的量化指标，其计算公式为：备件可用率 = (合格可用备件数量 / 总数量) × 100%。目标值为 ≥ 95%，按季度进行考核，责任部门为</w:t>
      </w:r>
      <w:r>
        <w:rPr>
          <w:rFonts w:hint="eastAsia"/>
          <w:lang w:val="en-US" w:eastAsia="zh-CN"/>
        </w:rPr>
        <w:t>运维部</w:t>
      </w:r>
      <w:r>
        <w:rPr>
          <w:rFonts w:hint="default"/>
          <w:lang w:val="en-US" w:eastAsia="zh-CN"/>
        </w:rPr>
        <w:t>。</w:t>
      </w:r>
    </w:p>
    <w:p>
      <w:pPr>
        <w:pStyle w:val="a1"/>
        <w:numPr>
          <w:ilvl w:val="0"/>
          <w:numId w:val="5"/>
        </w:numPr>
        <w:ind w:left="425" w:hanging="425" w:leftChars="0" w:firstLineChars="0"/>
        <w:rPr>
          <w:rFonts w:hint="default"/>
          <w:lang w:val="en-US" w:eastAsia="zh-CN"/>
        </w:rPr>
      </w:pPr>
      <w:r>
        <w:rPr>
          <w:rFonts w:hint="default"/>
          <w:lang w:val="en-US" w:eastAsia="zh-CN"/>
        </w:rPr>
        <w:t>备件库存准确率</w:t>
      </w:r>
    </w:p>
    <w:p>
      <w:pPr>
        <w:pStyle w:val="a1"/>
        <w:rPr>
          <w:rFonts w:hint="default"/>
          <w:lang w:val="en-US" w:eastAsia="zh-CN"/>
        </w:rPr>
      </w:pPr>
      <w:r>
        <w:rPr>
          <w:rFonts w:hint="default"/>
          <w:lang w:val="en-US" w:eastAsia="zh-CN"/>
        </w:rPr>
        <w:t>备件库存准确率是反映备件库存账实一致性的量化指标，其计算公式为：备件库存准确率 = (账实相符数量 / 盘点数量) × 100%。目标值为 100%，按月度进行考核，责任部门为</w:t>
      </w:r>
      <w:r>
        <w:rPr>
          <w:rFonts w:hint="eastAsia"/>
          <w:lang w:val="en-US" w:eastAsia="zh-CN"/>
        </w:rPr>
        <w:t>运维部</w:t>
      </w:r>
      <w:r>
        <w:rPr>
          <w:rFonts w:hint="default"/>
          <w:lang w:val="en-US" w:eastAsia="zh-CN"/>
        </w:rPr>
        <w:t>。</w:t>
      </w:r>
    </w:p>
    <w:p>
      <w:pPr>
        <w:pStyle w:val="3"/>
        <w:bidi w:val="0"/>
        <w:rPr>
          <w:rFonts w:hint="default"/>
          <w:lang w:val="en-US" w:eastAsia="zh-CN"/>
        </w:rPr>
      </w:pPr>
      <w:bookmarkStart w:id="34" w:name="_Toc28879"/>
      <w:r>
        <w:rPr>
          <w:rFonts w:hint="default"/>
          <w:lang w:val="en-US" w:eastAsia="zh-CN"/>
        </w:rPr>
        <w:t>最终软件库管理</w:t>
      </w:r>
      <w:bookmarkEnd w:id="34"/>
    </w:p>
    <w:p>
      <w:pPr>
        <w:pStyle w:val="a1"/>
        <w:rPr>
          <w:rFonts w:hint="default"/>
          <w:lang w:val="en-US" w:eastAsia="zh-CN"/>
        </w:rPr>
      </w:pPr>
      <w:r>
        <w:rPr>
          <w:rFonts w:hint="default"/>
          <w:lang w:val="en-US" w:eastAsia="zh-CN"/>
        </w:rPr>
        <w:t>根据《运维服务最终软件库管理制度》，公司软件库由研发部负责管理，对运维过程中使用的各类软件进行统一存储、版本管理和授权管控。</w:t>
      </w:r>
    </w:p>
    <w:p>
      <w:pPr>
        <w:pStyle w:val="a1"/>
        <w:rPr>
          <w:rFonts w:hint="default"/>
          <w:lang w:val="en-US" w:eastAsia="zh-CN"/>
        </w:rPr>
      </w:pPr>
      <w:r>
        <w:rPr>
          <w:rFonts w:hint="default"/>
          <w:lang w:val="en-US" w:eastAsia="zh-CN"/>
        </w:rPr>
        <w:t>2025年最终软件库管理的主要工作包括：所有软件入库前需经过安全检测和完整性验证，确保软件来源可靠、内容完整，软件安装包、授权文件、技术文档统一归档存放；建立软件版本基线，对正式版本、测试版本进行分类管理，版本更新需经过测试验证后方可入库，确保生产环境使用的软件版本与软件库保持一致；所有商业软件授权在软件库中统一登记，按照授权数量和使用范围进行管控，每季度对授权使用情况进行审计，确保软件使用合规；每月对软件库进行盘点，核对软件资产清单，确保软件入库完整率达标。</w:t>
      </w:r>
    </w:p>
    <w:p>
      <w:pPr>
        <w:pStyle w:val="a1"/>
        <w:rPr>
          <w:rFonts w:hint="default"/>
          <w:lang w:val="en-US" w:eastAsia="zh-CN"/>
        </w:rPr>
      </w:pPr>
      <w:r>
        <w:rPr>
          <w:rFonts w:hint="default"/>
          <w:lang w:val="en-US" w:eastAsia="zh-CN"/>
        </w:rPr>
        <w:t>KPI指标：软件入库完整率</w:t>
      </w:r>
    </w:p>
    <w:p>
      <w:pPr>
        <w:pStyle w:val="a1"/>
        <w:rPr>
          <w:rFonts w:hint="default"/>
          <w:lang w:val="en-US" w:eastAsia="zh-CN"/>
        </w:rPr>
      </w:pPr>
      <w:r>
        <w:rPr>
          <w:rFonts w:hint="default"/>
          <w:lang w:val="en-US" w:eastAsia="zh-CN"/>
        </w:rPr>
        <w:t>软件入库完整率是反映软件资产登记完整性的量化指标，其计算公式为：软件入库完整率 = (已登记入库的软件数 / 应登记入库的软件总数) × 100%。目标值为 100%，按半年度进行考核，责任部门为研发部。</w:t>
      </w:r>
    </w:p>
    <w:p>
      <w:pPr>
        <w:pStyle w:val="3"/>
        <w:bidi w:val="0"/>
        <w:rPr>
          <w:rFonts w:hint="default"/>
          <w:lang w:val="en-US" w:eastAsia="zh-CN"/>
        </w:rPr>
      </w:pPr>
      <w:bookmarkStart w:id="35" w:name="_Toc24577"/>
      <w:r>
        <w:rPr>
          <w:rFonts w:hint="default"/>
          <w:lang w:val="en-US" w:eastAsia="zh-CN"/>
        </w:rPr>
        <w:t>服务数据管理</w:t>
      </w:r>
      <w:bookmarkEnd w:id="35"/>
    </w:p>
    <w:p>
      <w:pPr>
        <w:pStyle w:val="a1"/>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pPr>
        <w:pStyle w:val="a1"/>
        <w:rPr>
          <w:rFonts w:hint="default"/>
          <w:lang w:val="en-US" w:eastAsia="zh-CN"/>
        </w:rPr>
      </w:pPr>
      <w:r>
        <w:rPr>
          <w:rFonts w:hint="default"/>
          <w:lang w:val="en-US" w:eastAsia="zh-CN"/>
        </w:rPr>
        <w:t>2025年服务数据管理的主要工作包括：运维工单数据每日全量备份，配置管理数据每周全量备份，监控数据每月增量备份，备份数据本地和云端双存储，确保数据安全；每半年组织一次数据恢复试验，验证备份数据的可用性和完整性，确保在数据丢失时能够快速恢复；对客户敏感数据、系统核心配置等高密级数据实施存储加密和传输加密，使用经国家密码管理部门认可的加密产品，确保数据安全；定期对运维工单数据、监控数据等进行分析，识别服务趋势和潜在问题，为服务改进提供数据支撑。</w:t>
      </w:r>
    </w:p>
    <w:p>
      <w:pPr>
        <w:pStyle w:val="a1"/>
        <w:rPr>
          <w:rFonts w:hint="default"/>
          <w:lang w:val="en-US" w:eastAsia="zh-CN"/>
        </w:rPr>
      </w:pPr>
      <w:r>
        <w:rPr>
          <w:rFonts w:hint="default"/>
          <w:lang w:val="en-US" w:eastAsia="zh-CN"/>
        </w:rPr>
        <w:t>KPI指标：</w:t>
      </w:r>
    </w:p>
    <w:p>
      <w:pPr>
        <w:pStyle w:val="a1"/>
        <w:numPr>
          <w:ilvl w:val="0"/>
          <w:numId w:val="6"/>
        </w:numPr>
        <w:ind w:left="425" w:hanging="425" w:leftChars="0" w:firstLineChars="0"/>
        <w:rPr>
          <w:rFonts w:hint="default"/>
          <w:lang w:val="en-US" w:eastAsia="zh-CN"/>
        </w:rPr>
      </w:pPr>
      <w:r>
        <w:rPr>
          <w:rFonts w:hint="default"/>
          <w:lang w:val="en-US" w:eastAsia="zh-CN"/>
        </w:rPr>
        <w:t>数据备份成功率</w:t>
      </w:r>
    </w:p>
    <w:p>
      <w:pPr>
        <w:pStyle w:val="a1"/>
        <w:rPr>
          <w:rFonts w:hint="default"/>
          <w:lang w:val="en-US" w:eastAsia="zh-CN"/>
        </w:rPr>
      </w:pPr>
      <w:r>
        <w:rPr>
          <w:rFonts w:hint="default"/>
          <w:lang w:val="en-US" w:eastAsia="zh-CN"/>
        </w:rPr>
        <w:t>数据备份成功率是反映数据备份执行有效性的量化指标，其计算公式为：数据备份成功率 = (成功备份次数 / 计划备份次数) × 100%。目标值为 ≥ 99%，按月度进行考核，责任部门为</w:t>
      </w:r>
      <w:r>
        <w:rPr>
          <w:rFonts w:hint="eastAsia"/>
          <w:lang w:val="en-US" w:eastAsia="zh-CN"/>
        </w:rPr>
        <w:t>研发部</w:t>
      </w:r>
      <w:r>
        <w:rPr>
          <w:rFonts w:hint="default"/>
          <w:lang w:val="en-US" w:eastAsia="zh-CN"/>
        </w:rPr>
        <w:t>。</w:t>
      </w:r>
    </w:p>
    <w:p>
      <w:pPr>
        <w:pStyle w:val="a1"/>
        <w:numPr>
          <w:ilvl w:val="0"/>
          <w:numId w:val="6"/>
        </w:numPr>
        <w:ind w:left="425" w:hanging="425" w:leftChars="0" w:firstLineChars="0"/>
        <w:rPr>
          <w:rFonts w:hint="default"/>
          <w:lang w:val="en-US" w:eastAsia="zh-CN"/>
        </w:rPr>
      </w:pPr>
      <w:r>
        <w:rPr>
          <w:rFonts w:hint="default"/>
          <w:lang w:val="en-US" w:eastAsia="zh-CN"/>
        </w:rPr>
        <w:t>数据恢复成功率</w:t>
      </w:r>
    </w:p>
    <w:p>
      <w:pPr>
        <w:pStyle w:val="a1"/>
        <w:rPr>
          <w:rFonts w:hint="eastAsia"/>
          <w:lang w:val="en-US" w:eastAsia="zh-CN"/>
        </w:rPr>
      </w:pPr>
      <w:r>
        <w:rPr>
          <w:rFonts w:hint="default"/>
          <w:lang w:val="en-US" w:eastAsia="zh-CN"/>
        </w:rPr>
        <w:t>数据恢复成功率是反映备份数据可用性的量化指标，其计算公式为：数据恢复成功率 = (成功恢复次数 / 恢复</w:t>
      </w:r>
      <w:r>
        <w:rPr>
          <w:rFonts w:hint="eastAsia"/>
          <w:lang w:val="en-US" w:eastAsia="zh-CN"/>
        </w:rPr>
        <w:t>演练</w:t>
      </w:r>
      <w:r>
        <w:rPr>
          <w:rFonts w:hint="default"/>
          <w:lang w:val="en-US" w:eastAsia="zh-CN"/>
        </w:rPr>
        <w:t>次数) × 100%。目标值为 ≥ 95%，按半年度进行考核。</w:t>
      </w:r>
      <w:r>
        <w:rPr>
          <w:rFonts w:hint="eastAsia"/>
          <w:lang w:val="en-US" w:eastAsia="zh-CN"/>
        </w:rPr>
        <w:t>责任部门为研发部。</w:t>
      </w:r>
    </w:p>
    <w:p>
      <w:pPr>
        <w:pStyle w:val="a1"/>
        <w:numPr>
          <w:ilvl w:val="0"/>
          <w:numId w:val="6"/>
        </w:numPr>
        <w:ind w:left="425" w:hanging="425" w:leftChars="0" w:firstLineChars="0"/>
        <w:rPr>
          <w:rFonts w:hint="default"/>
          <w:lang w:val="en-US" w:eastAsia="zh-CN"/>
        </w:rPr>
      </w:pPr>
      <w:r>
        <w:rPr>
          <w:rFonts w:hint="eastAsia"/>
          <w:lang w:val="en-US" w:eastAsia="zh-CN"/>
        </w:rPr>
        <w:t>数据完整性</w:t>
      </w:r>
    </w:p>
    <w:p>
      <w:pPr>
        <w:pStyle w:val="a1"/>
        <w:bidi w:val="0"/>
        <w:rPr>
          <w:rFonts w:hint="default"/>
          <w:lang w:val="en-US" w:eastAsia="zh-CN"/>
        </w:rPr>
      </w:pPr>
      <w:r>
        <w:rPr>
          <w:rFonts w:hint="default"/>
          <w:lang w:val="en-US" w:eastAsia="zh-CN"/>
        </w:rPr>
        <w:t>数据完整性是反映备份数据可恢复后数据完整可用的量化指标，其计算公式为：数据完整性 = (抽样校验通过的数据记录数</w:t>
      </w:r>
      <w:r>
        <w:rPr>
          <w:rFonts w:hint="eastAsia"/>
          <w:lang w:val="en-US" w:eastAsia="zh-CN"/>
        </w:rPr>
        <w:t xml:space="preserve"> / </w:t>
      </w:r>
      <w:r>
        <w:rPr>
          <w:rFonts w:hint="default"/>
          <w:lang w:val="en-US" w:eastAsia="zh-CN"/>
        </w:rPr>
        <w:t>抽样校验的总数据记录数) × 100%</w:t>
      </w:r>
      <w:r>
        <w:rPr>
          <w:rFonts w:hint="eastAsia"/>
          <w:lang w:val="en-US" w:eastAsia="zh-CN"/>
        </w:rPr>
        <w:t>。</w:t>
      </w:r>
      <w:r>
        <w:rPr>
          <w:rFonts w:hint="default"/>
          <w:lang w:val="en-US" w:eastAsia="zh-CN"/>
        </w:rPr>
        <w:t>目标值为 ≥ 99%，按</w:t>
      </w:r>
      <w:r>
        <w:rPr>
          <w:rFonts w:hint="eastAsia"/>
          <w:lang w:val="en-US" w:eastAsia="zh-CN"/>
        </w:rPr>
        <w:t>季</w:t>
      </w:r>
      <w:r>
        <w:rPr>
          <w:rFonts w:hint="default"/>
          <w:lang w:val="en-US" w:eastAsia="zh-CN"/>
        </w:rPr>
        <w:t>度进行考核。责任部门为</w:t>
      </w:r>
      <w:r>
        <w:rPr>
          <w:rFonts w:hint="eastAsia"/>
          <w:lang w:val="en-US" w:eastAsia="zh-CN"/>
        </w:rPr>
        <w:t>产品产品质量部</w:t>
      </w:r>
      <w:r>
        <w:rPr>
          <w:rFonts w:hint="default"/>
          <w:lang w:val="en-US" w:eastAsia="zh-CN"/>
        </w:rPr>
        <w:t>。</w:t>
      </w:r>
    </w:p>
    <w:p>
      <w:pPr>
        <w:pStyle w:val="2"/>
        <w:bidi w:val="0"/>
        <w:rPr>
          <w:rFonts w:hint="default"/>
          <w:lang w:val="en-US" w:eastAsia="zh-CN"/>
        </w:rPr>
      </w:pPr>
      <w:bookmarkStart w:id="36" w:name="_Toc32763"/>
      <w:r>
        <w:rPr>
          <w:rFonts w:hint="eastAsia"/>
          <w:lang w:val="en-US" w:eastAsia="zh-CN"/>
        </w:rPr>
        <w:t>技术研发规划</w:t>
      </w:r>
      <w:bookmarkEnd w:id="36"/>
    </w:p>
    <w:p>
      <w:pPr>
        <w:pStyle w:val="3"/>
        <w:bidi w:val="0"/>
        <w:rPr>
          <w:rFonts w:hint="default"/>
          <w:lang w:val="en-US" w:eastAsia="zh-CN"/>
        </w:rPr>
      </w:pPr>
      <w:bookmarkStart w:id="37" w:name="_Toc24716"/>
      <w:r>
        <w:rPr>
          <w:rFonts w:hint="default"/>
          <w:lang w:val="en-US" w:eastAsia="zh-CN"/>
        </w:rPr>
        <w:t>研发现状</w:t>
      </w:r>
      <w:bookmarkEnd w:id="37"/>
    </w:p>
    <w:p>
      <w:pPr>
        <w:pStyle w:val="a1"/>
        <w:rPr>
          <w:rFonts w:hint="default"/>
          <w:lang w:val="en-US" w:eastAsia="zh-CN"/>
        </w:rPr>
      </w:pPr>
      <w:r>
        <w:rPr>
          <w:rFonts w:hint="default"/>
          <w:lang w:val="en-US" w:eastAsia="zh-CN"/>
        </w:rPr>
        <w:t>公司研发部已建立研发管理制度，配备研发团队及开发测试环境。目前自研的图云科技运维监控平台已应用于企业门店ERP统一管理系统、大化投发服务等项目，实现了对服务器、网络设备、前端设备等基础环境的监控。</w:t>
      </w:r>
    </w:p>
    <w:p>
      <w:pPr>
        <w:pStyle w:val="a1"/>
        <w:rPr>
          <w:rFonts w:hint="default"/>
          <w:lang w:val="en-US" w:eastAsia="zh-CN"/>
        </w:rPr>
      </w:pPr>
      <w:r>
        <w:rPr>
          <w:rFonts w:hint="default"/>
          <w:lang w:val="en-US" w:eastAsia="zh-CN"/>
        </w:rPr>
        <w:t>但在数据库监控方面存在明显短板：无法实时监控数据库关键性能指标，慢查询定位困难，缺乏索引优化建议，Redis监控缺失。随着运维项目增加，客户对数据库监控的需求日益迫切，亟需补齐这一能力短板。</w:t>
      </w:r>
    </w:p>
    <w:p>
      <w:pPr>
        <w:pStyle w:val="3"/>
        <w:bidi w:val="0"/>
        <w:rPr>
          <w:rFonts w:hint="default"/>
          <w:lang w:val="en-US" w:eastAsia="zh-CN"/>
        </w:rPr>
      </w:pPr>
      <w:bookmarkStart w:id="38" w:name="_Toc8655"/>
      <w:r>
        <w:rPr>
          <w:rFonts w:hint="default"/>
          <w:lang w:val="en-US" w:eastAsia="zh-CN"/>
        </w:rPr>
        <w:t>研发目标</w:t>
      </w:r>
      <w:bookmarkEnd w:id="38"/>
    </w:p>
    <w:p>
      <w:pPr>
        <w:pStyle w:val="a1"/>
        <w:rPr>
          <w:rFonts w:hint="default"/>
          <w:lang w:val="en-US" w:eastAsia="zh-CN"/>
        </w:rPr>
      </w:pPr>
      <w:r>
        <w:rPr>
          <w:rFonts w:hint="default"/>
          <w:lang w:val="en-US" w:eastAsia="zh-CN"/>
        </w:rPr>
        <w:t>2025年技术研发聚焦于数据库监控能力提升，总体目标为：完成数据库监控模块研发，实现对MySQL、Redis等主流数据库的全面监控，具备慢SQL采集分析和索引优化建议能力，并同步完成相关运维手册编写和新技术研究。</w:t>
      </w:r>
    </w:p>
    <w:p>
      <w:pPr>
        <w:pStyle w:val="3"/>
        <w:bidi w:val="0"/>
        <w:rPr>
          <w:rFonts w:hint="default"/>
          <w:lang w:val="en-US" w:eastAsia="zh-CN"/>
        </w:rPr>
      </w:pPr>
      <w:bookmarkStart w:id="39" w:name="_Toc2006"/>
      <w:r>
        <w:rPr>
          <w:rFonts w:hint="eastAsia"/>
          <w:lang w:val="en-US" w:eastAsia="zh-CN"/>
        </w:rPr>
        <w:t>研发计划</w:t>
      </w:r>
      <w:bookmarkEnd w:id="39"/>
    </w:p>
    <w:p>
      <w:pPr>
        <w:pStyle w:val="a1"/>
        <w:bidi w:val="0"/>
        <w:rPr>
          <w:rFonts w:hint="default"/>
          <w:lang w:val="en-US" w:eastAsia="zh-CN"/>
        </w:rPr>
      </w:pPr>
      <w:r>
        <w:t>本次研发将依据《运维服务技术研发规划》系统推进，围绕需求细化、功能设计、迭代开发、测试上线及培训推广等关键阶段展开，确保开发成果能有效落地并服务于运维团队的实际工作。详细的任务排期、资源分配与技术方案请参见该规划文档。</w:t>
      </w:r>
    </w:p>
    <w:p>
      <w:pPr>
        <w:pStyle w:val="2"/>
        <w:bidi w:val="0"/>
        <w:rPr>
          <w:rFonts w:hint="eastAsia"/>
          <w:lang w:val="en-US" w:eastAsia="zh-CN"/>
        </w:rPr>
      </w:pPr>
      <w:bookmarkStart w:id="40" w:name="_Toc8253"/>
      <w:r>
        <w:rPr>
          <w:rFonts w:hint="eastAsia"/>
          <w:lang w:val="en-US" w:eastAsia="zh-CN"/>
        </w:rPr>
        <w:t>过程管理规划</w:t>
      </w:r>
      <w:bookmarkEnd w:id="40"/>
    </w:p>
    <w:p>
      <w:pPr>
        <w:pStyle w:val="a1"/>
        <w:rPr>
          <w:rFonts w:hint="eastAsia"/>
          <w:lang w:val="en-US" w:eastAsia="zh-CN"/>
        </w:rPr>
      </w:pPr>
      <w:r>
        <w:rPr>
          <w:rFonts w:hint="eastAsia"/>
          <w:lang w:val="en-US" w:eastAsia="zh-CN"/>
        </w:rPr>
        <w:t>为确保运维服务过程的规范性、一致性和可追溯性，2025年公司将按照ITSS标准要求，建立并持续优化运维服务过程管理体系。</w:t>
      </w:r>
    </w:p>
    <w:p>
      <w:pPr>
        <w:pStyle w:val="3"/>
        <w:bidi w:val="0"/>
        <w:rPr>
          <w:rFonts w:hint="eastAsia"/>
          <w:lang w:val="en-US" w:eastAsia="zh-CN"/>
        </w:rPr>
      </w:pPr>
      <w:bookmarkStart w:id="41" w:name="_Toc24514"/>
      <w:r>
        <w:rPr>
          <w:rFonts w:hint="eastAsia"/>
          <w:lang w:val="en-US" w:eastAsia="zh-CN"/>
        </w:rPr>
        <w:t>过程框架管理</w:t>
      </w:r>
      <w:bookmarkEnd w:id="41"/>
    </w:p>
    <w:p>
      <w:pPr>
        <w:pStyle w:val="a1"/>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pPr>
        <w:pStyle w:val="a1"/>
        <w:rPr>
          <w:rFonts w:hint="eastAsia"/>
          <w:lang w:val="en-US" w:eastAsia="zh-CN"/>
        </w:rPr>
      </w:pPr>
      <w:r>
        <w:rPr>
          <w:rFonts w:hint="eastAsia"/>
          <w:lang w:val="en-US" w:eastAsia="zh-CN"/>
        </w:rPr>
        <w:t>2025年过程框架管理的主要工作包括：运维部负责制定并持续完善运维服务过程框架相关管理制度，牵头组织服务规划设计、部署实施、运营管理、监控改进等核心活动；产品产品质量部每年度组织一次过程框架评价，评估各过程执行的符合性和有效性，形成《过程框架评价报告》，识别改进机会并推动落实；各过程的执行情况纳入月度服务报告，定期向管理层汇报。</w:t>
      </w:r>
    </w:p>
    <w:p>
      <w:pPr>
        <w:pStyle w:val="a1"/>
        <w:rPr>
          <w:rFonts w:hint="eastAsia"/>
          <w:lang w:val="en-US" w:eastAsia="zh-CN"/>
        </w:rPr>
      </w:pPr>
      <w:r>
        <w:rPr>
          <w:rFonts w:hint="eastAsia"/>
          <w:lang w:val="en-US" w:eastAsia="zh-CN"/>
        </w:rPr>
        <w:t>KPI指标：过程框架评价次数</w:t>
      </w:r>
    </w:p>
    <w:p>
      <w:pPr>
        <w:pStyle w:val="a1"/>
        <w:rPr>
          <w:rFonts w:hint="eastAsia"/>
          <w:lang w:val="en-US" w:eastAsia="zh-CN"/>
        </w:rPr>
      </w:pPr>
      <w:r>
        <w:rPr>
          <w:rFonts w:hint="eastAsia"/>
          <w:lang w:val="en-US" w:eastAsia="zh-CN"/>
        </w:rPr>
        <w:t>过程框架评价次数是反映运维服务过程框架定期评估执行情况的量化指标。计算方式为：年度内过程框架评价次数统计。目标值为≥1次，按年度进行考核，责任部门为运维部。</w:t>
      </w:r>
    </w:p>
    <w:p>
      <w:pPr>
        <w:pStyle w:val="3"/>
        <w:bidi w:val="0"/>
        <w:rPr>
          <w:rFonts w:hint="eastAsia"/>
          <w:lang w:val="en-US" w:eastAsia="zh-CN"/>
        </w:rPr>
      </w:pPr>
      <w:bookmarkStart w:id="42" w:name="_Toc3698"/>
      <w:r>
        <w:rPr>
          <w:rFonts w:hint="eastAsia"/>
          <w:lang w:val="en-US" w:eastAsia="zh-CN"/>
        </w:rPr>
        <w:t>服务级别管理</w:t>
      </w:r>
      <w:bookmarkEnd w:id="42"/>
    </w:p>
    <w:p>
      <w:pPr>
        <w:pStyle w:val="a1"/>
        <w:rPr>
          <w:rFonts w:hint="eastAsia"/>
          <w:lang w:val="en-US" w:eastAsia="zh-CN"/>
        </w:rPr>
      </w:pPr>
      <w:r>
        <w:rPr>
          <w:rFonts w:hint="eastAsia"/>
          <w:lang w:val="en-US" w:eastAsia="zh-CN"/>
        </w:rPr>
        <w:t>根据《运维服务级别管理制度》，公司建立服务级别管理流程，对运维服务级别进行协商、监控和报告。</w:t>
      </w:r>
    </w:p>
    <w:p>
      <w:pPr>
        <w:pStyle w:val="a1"/>
        <w:rPr>
          <w:rFonts w:hint="eastAsia"/>
          <w:lang w:val="en-US" w:eastAsia="zh-CN"/>
        </w:rPr>
      </w:pPr>
      <w:r>
        <w:rPr>
          <w:rFonts w:hint="eastAsia"/>
          <w:lang w:val="en-US" w:eastAsia="zh-CN"/>
        </w:rPr>
        <w:t>2025年服务级别管理的主要工作包括：运维部经理负责制定和更新服务目录，定义和维持有效的服务级别管理流程；运维项目经理执行SLA的制定或修订工作，SLA须由客户确认后，提交运维部评审，通过后再经管理层评审，此评审活动每年至少一次；产品产品质量部每季度对服务级别执行情况进行监控，统计SLA达成率，对未达标的SLA项进行原因分析并制定改进措施；根据管理评审结果或部门例会决议，识别问题和差距，填写《服务改进计划表》，持续改进服务级别。</w:t>
      </w:r>
    </w:p>
    <w:p>
      <w:pPr>
        <w:pStyle w:val="a1"/>
        <w:rPr>
          <w:rFonts w:hint="eastAsia"/>
          <w:lang w:val="en-US" w:eastAsia="zh-CN"/>
        </w:rPr>
      </w:pPr>
      <w:r>
        <w:rPr>
          <w:rFonts w:hint="eastAsia"/>
          <w:lang w:val="en-US" w:eastAsia="zh-CN"/>
        </w:rPr>
        <w:t>KPI指标：</w:t>
      </w:r>
    </w:p>
    <w:p>
      <w:pPr>
        <w:pStyle w:val="a1"/>
        <w:numPr>
          <w:ilvl w:val="0"/>
          <w:numId w:val="7"/>
        </w:numPr>
        <w:ind w:left="425" w:hanging="425" w:leftChars="0" w:firstLineChars="0"/>
        <w:rPr>
          <w:rFonts w:hint="eastAsia"/>
          <w:lang w:val="en-US" w:eastAsia="zh-CN"/>
        </w:rPr>
      </w:pPr>
      <w:r>
        <w:rPr>
          <w:rFonts w:hint="eastAsia"/>
          <w:lang w:val="en-US" w:eastAsia="zh-CN"/>
        </w:rPr>
        <w:t>SLA达成率</w:t>
      </w:r>
    </w:p>
    <w:p>
      <w:pPr>
        <w:pStyle w:val="a1"/>
        <w:rPr>
          <w:rFonts w:hint="eastAsia"/>
          <w:lang w:val="en-US" w:eastAsia="zh-CN"/>
        </w:rPr>
      </w:pPr>
      <w:r>
        <w:rPr>
          <w:rFonts w:hint="eastAsia"/>
          <w:lang w:val="en-US" w:eastAsia="zh-CN"/>
        </w:rPr>
        <w:t>SLA达成率是反映服务级别协议执行情况的量化指标，其计算公式为：SLA达成率 = (当期已达成的SLA数 / 当期应达成的SLA总数) × 100%。目标值为≥95%，按季度进行考核，责任部门为运维部。</w:t>
      </w:r>
    </w:p>
    <w:p>
      <w:pPr>
        <w:pStyle w:val="a1"/>
        <w:numPr>
          <w:ilvl w:val="0"/>
          <w:numId w:val="7"/>
        </w:numPr>
        <w:ind w:left="425" w:hanging="425" w:leftChars="0" w:firstLineChars="0"/>
        <w:rPr>
          <w:rFonts w:hint="eastAsia"/>
          <w:lang w:val="en-US" w:eastAsia="zh-CN"/>
        </w:rPr>
      </w:pPr>
      <w:r>
        <w:rPr>
          <w:rFonts w:hint="eastAsia"/>
          <w:lang w:val="en-US" w:eastAsia="zh-CN"/>
        </w:rPr>
        <w:t>SLA评审次数</w:t>
      </w:r>
    </w:p>
    <w:p>
      <w:pPr>
        <w:pStyle w:val="a1"/>
        <w:rPr>
          <w:rFonts w:hint="eastAsia"/>
          <w:lang w:val="en-US" w:eastAsia="zh-CN"/>
        </w:rPr>
      </w:pPr>
      <w:r>
        <w:rPr>
          <w:rFonts w:hint="eastAsia"/>
          <w:lang w:val="en-US" w:eastAsia="zh-CN"/>
        </w:rPr>
        <w:t>SLA评审次数是反映服务级别协议定期评审执行情况的量化指标。计算方式为：SLA评审次数统计。目标值为≥1次，按年度进行考核，责任部门为运维部。</w:t>
      </w:r>
    </w:p>
    <w:p>
      <w:pPr>
        <w:pStyle w:val="3"/>
        <w:bidi w:val="0"/>
        <w:rPr>
          <w:rFonts w:hint="eastAsia"/>
          <w:lang w:val="en-US" w:eastAsia="zh-CN"/>
        </w:rPr>
      </w:pPr>
      <w:bookmarkStart w:id="43" w:name="_Toc25687"/>
      <w:r>
        <w:rPr>
          <w:rFonts w:hint="eastAsia"/>
          <w:lang w:val="en-US" w:eastAsia="zh-CN"/>
        </w:rPr>
        <w:t>服务报告管理</w:t>
      </w:r>
      <w:bookmarkEnd w:id="43"/>
    </w:p>
    <w:p>
      <w:pPr>
        <w:pStyle w:val="a1"/>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pPr>
        <w:pStyle w:val="a1"/>
        <w:rPr>
          <w:rFonts w:hint="eastAsia"/>
          <w:lang w:val="en-US" w:eastAsia="zh-CN"/>
        </w:rPr>
      </w:pPr>
      <w:r>
        <w:rPr>
          <w:rFonts w:hint="eastAsia"/>
          <w:lang w:val="en-US" w:eastAsia="zh-CN"/>
        </w:rPr>
        <w:t>2025年服务报告管理的主要工作包括：运维项目经理负责按照固定格式和周期编制服务报告，包括日常运维报告（每周）、服务级别报告（每月）、季度服务报告（每季度）、年度服务报告（每年）以及重大事件报告、专项改进报告等专项报告；产品产品质量部每季度组织服务报告管理过程的评审，从及时性、准确性、完整性、可读性、分析深度等维度进行评估；服务报告按照分发矩阵提交给客户、管理层、产品产品质量部等相关方，重要报告需确认对方已接收。</w:t>
      </w:r>
    </w:p>
    <w:p>
      <w:pPr>
        <w:pStyle w:val="a1"/>
        <w:rPr>
          <w:rFonts w:hint="eastAsia"/>
          <w:lang w:val="en-US" w:eastAsia="zh-CN"/>
        </w:rPr>
      </w:pPr>
      <w:r>
        <w:rPr>
          <w:rFonts w:hint="eastAsia"/>
          <w:lang w:val="en-US" w:eastAsia="zh-CN"/>
        </w:rPr>
        <w:t>KPI指标：</w:t>
      </w:r>
    </w:p>
    <w:p>
      <w:pPr>
        <w:pStyle w:val="a1"/>
        <w:numPr>
          <w:ilvl w:val="0"/>
          <w:numId w:val="8"/>
        </w:numPr>
        <w:ind w:left="425" w:hanging="425" w:leftChars="0" w:firstLineChars="0"/>
        <w:rPr>
          <w:rFonts w:hint="eastAsia"/>
          <w:lang w:val="en-US" w:eastAsia="zh-CN"/>
        </w:rPr>
      </w:pPr>
      <w:r>
        <w:rPr>
          <w:rFonts w:hint="eastAsia"/>
          <w:lang w:val="en-US" w:eastAsia="zh-CN"/>
        </w:rPr>
        <w:t>服务报告交付及时率</w:t>
      </w:r>
    </w:p>
    <w:p>
      <w:pPr>
        <w:pStyle w:val="a1"/>
        <w:rPr>
          <w:rFonts w:hint="eastAsia"/>
          <w:lang w:val="en-US" w:eastAsia="zh-CN"/>
        </w:rPr>
      </w:pPr>
      <w:r>
        <w:rPr>
          <w:rFonts w:hint="eastAsia"/>
          <w:lang w:val="en-US" w:eastAsia="zh-CN"/>
        </w:rPr>
        <w:t>服务报告交付及时率是反映服务报告按时提交情况的量化指标，其计算公式为：服务报告交付及时率 = (按时提交的服务报告数量 / 应提交服务报告总数量) × 100%。目标值为≥95%，按季度进行考核，责任部门为运维部。</w:t>
      </w:r>
    </w:p>
    <w:p>
      <w:pPr>
        <w:pStyle w:val="a1"/>
        <w:numPr>
          <w:ilvl w:val="0"/>
          <w:numId w:val="8"/>
        </w:numPr>
        <w:ind w:left="425" w:hanging="425" w:leftChars="0" w:firstLineChars="0"/>
        <w:rPr>
          <w:rFonts w:hint="eastAsia"/>
          <w:lang w:val="en-US" w:eastAsia="zh-CN"/>
        </w:rPr>
      </w:pPr>
      <w:r>
        <w:rPr>
          <w:rFonts w:hint="eastAsia"/>
          <w:lang w:val="en-US" w:eastAsia="zh-CN"/>
        </w:rPr>
        <w:t>服务报告准确率</w:t>
      </w:r>
    </w:p>
    <w:p>
      <w:pPr>
        <w:pStyle w:val="a1"/>
        <w:rPr>
          <w:rFonts w:hint="eastAsia"/>
          <w:lang w:val="en-US" w:eastAsia="zh-CN"/>
        </w:rPr>
      </w:pPr>
      <w:r>
        <w:rPr>
          <w:rFonts w:hint="eastAsia"/>
          <w:lang w:val="en-US" w:eastAsia="zh-CN"/>
        </w:rPr>
        <w:t>服务报告准确率是反映服务报告数据准确性的量化指标，其计算公式为：服务报告准确率 = (数据准确的服务报告数量 / 服务报告总数量) × 100%。目标值为≥98%，按季度进行考核，责任部门为运维部。</w:t>
      </w:r>
    </w:p>
    <w:p>
      <w:pPr>
        <w:pStyle w:val="3"/>
        <w:bidi w:val="0"/>
        <w:rPr>
          <w:rFonts w:hint="eastAsia"/>
          <w:lang w:val="en-US" w:eastAsia="zh-CN"/>
        </w:rPr>
      </w:pPr>
      <w:bookmarkStart w:id="44" w:name="_Toc32699"/>
      <w:r>
        <w:rPr>
          <w:rFonts w:hint="eastAsia"/>
          <w:lang w:val="en-US" w:eastAsia="zh-CN"/>
        </w:rPr>
        <w:t>事件管理</w:t>
      </w:r>
      <w:bookmarkEnd w:id="44"/>
    </w:p>
    <w:p>
      <w:pPr>
        <w:pStyle w:val="a1"/>
        <w:rPr>
          <w:rFonts w:hint="eastAsia"/>
          <w:lang w:val="en-US" w:eastAsia="zh-CN"/>
        </w:rPr>
      </w:pPr>
      <w:r>
        <w:rPr>
          <w:rFonts w:hint="eastAsia"/>
          <w:lang w:val="en-US" w:eastAsia="zh-CN"/>
        </w:rPr>
        <w:t>根据《运维服务事件管理制度》，公司建立标准化的服务事件管理流程，确保事件能够快速响应和有效解决。</w:t>
      </w:r>
    </w:p>
    <w:p>
      <w:pPr>
        <w:pStyle w:val="a1"/>
        <w:rPr>
          <w:rFonts w:hint="eastAsia"/>
          <w:lang w:val="en-US" w:eastAsia="zh-CN"/>
        </w:rPr>
      </w:pPr>
      <w:r>
        <w:rPr>
          <w:rFonts w:hint="eastAsia"/>
          <w:lang w:val="en-US" w:eastAsia="zh-CN"/>
        </w:rPr>
        <w:t>2025年事件管理的主要工作包括：服务台作为事件统一受理窗口，7×24小时接收客户事件请求；事件根据影响范围和紧急程度分为一级、二级、三级，各级事件规定相应的响应时间和处理时间要求（一级事件3分钟内响应、4小时内解决）；当事件在规定时间内未能解决时，按升级时间要求（一级事件1小时升级到二线、2小时升级到三线）进行升级处理；事件解决后，服务台进行客户回访，确认事件解决效果并收集满意度。</w:t>
      </w:r>
    </w:p>
    <w:p>
      <w:pPr>
        <w:pStyle w:val="a1"/>
        <w:rPr>
          <w:rFonts w:hint="eastAsia"/>
          <w:lang w:val="en-US" w:eastAsia="zh-CN"/>
        </w:rPr>
      </w:pPr>
      <w:r>
        <w:rPr>
          <w:rFonts w:hint="eastAsia"/>
          <w:lang w:val="en-US" w:eastAsia="zh-CN"/>
        </w:rPr>
        <w:t>KPI指标：</w:t>
      </w:r>
    </w:p>
    <w:p>
      <w:pPr>
        <w:pStyle w:val="a1"/>
        <w:numPr>
          <w:ilvl w:val="0"/>
          <w:numId w:val="9"/>
        </w:numPr>
        <w:ind w:left="425" w:hanging="425" w:leftChars="0" w:firstLineChars="0"/>
        <w:rPr>
          <w:rFonts w:hint="eastAsia"/>
          <w:lang w:val="en-US" w:eastAsia="zh-CN"/>
        </w:rPr>
      </w:pPr>
      <w:r>
        <w:rPr>
          <w:rFonts w:hint="eastAsia"/>
          <w:lang w:val="en-US" w:eastAsia="zh-CN"/>
        </w:rPr>
        <w:t>事件解决率</w:t>
      </w:r>
    </w:p>
    <w:p>
      <w:pPr>
        <w:pStyle w:val="a1"/>
        <w:rPr>
          <w:rFonts w:hint="eastAsia"/>
          <w:lang w:val="en-US" w:eastAsia="zh-CN"/>
        </w:rPr>
      </w:pPr>
      <w:r>
        <w:rPr>
          <w:rFonts w:hint="eastAsia"/>
          <w:lang w:val="en-US" w:eastAsia="zh-CN"/>
        </w:rPr>
        <w:t>事件解决率是反映事件处理能力的量化指标，其计算公式为：事件解决率 = (成功解决事件数 / 已关闭事件总数) × 100%。目标值为≥95%，按季度进行考核，责任部门为运维部。</w:t>
      </w:r>
    </w:p>
    <w:p>
      <w:pPr>
        <w:pStyle w:val="a1"/>
        <w:numPr>
          <w:ilvl w:val="0"/>
          <w:numId w:val="9"/>
        </w:numPr>
        <w:ind w:left="425" w:hanging="425" w:leftChars="0" w:firstLineChars="0"/>
        <w:rPr>
          <w:rFonts w:hint="eastAsia"/>
          <w:lang w:val="en-US" w:eastAsia="zh-CN"/>
        </w:rPr>
      </w:pPr>
      <w:r>
        <w:rPr>
          <w:rFonts w:hint="eastAsia"/>
          <w:lang w:val="en-US" w:eastAsia="zh-CN"/>
        </w:rPr>
        <w:t>一线解决率</w:t>
      </w:r>
    </w:p>
    <w:p>
      <w:pPr>
        <w:pStyle w:val="a1"/>
        <w:rPr>
          <w:rFonts w:hint="eastAsia"/>
          <w:lang w:val="en-US" w:eastAsia="zh-CN"/>
        </w:rPr>
      </w:pPr>
      <w:r>
        <w:rPr>
          <w:rFonts w:hint="eastAsia"/>
          <w:lang w:val="en-US" w:eastAsia="zh-CN"/>
        </w:rPr>
        <w:t>一线解决率是反映服务台问题解决能力的量化指标，其计算公式为：一线解决率 = (一线解决事件数 / 事件总数) × 100%。目标值为≥70%，按月度进行考核，责任部门为运维部。</w:t>
      </w:r>
    </w:p>
    <w:p>
      <w:pPr>
        <w:pStyle w:val="3"/>
        <w:bidi w:val="0"/>
        <w:rPr>
          <w:rFonts w:hint="eastAsia"/>
          <w:lang w:val="en-US" w:eastAsia="zh-CN"/>
        </w:rPr>
      </w:pPr>
      <w:bookmarkStart w:id="45" w:name="_Toc19842"/>
      <w:r>
        <w:rPr>
          <w:rFonts w:hint="eastAsia"/>
          <w:lang w:val="en-US" w:eastAsia="zh-CN"/>
        </w:rPr>
        <w:t>问题管理</w:t>
      </w:r>
      <w:bookmarkEnd w:id="45"/>
    </w:p>
    <w:p>
      <w:pPr>
        <w:pStyle w:val="a1"/>
        <w:rPr>
          <w:rFonts w:hint="eastAsia"/>
          <w:lang w:val="en-US" w:eastAsia="zh-CN"/>
        </w:rPr>
      </w:pPr>
      <w:r>
        <w:rPr>
          <w:rFonts w:hint="eastAsia"/>
          <w:lang w:val="en-US" w:eastAsia="zh-CN"/>
        </w:rPr>
        <w:t>根据《运维服务问题管理制度》，公司建立问题管理流程，通过分析事件的根本原因，防止同类事件再次发生。</w:t>
      </w:r>
    </w:p>
    <w:p>
      <w:pPr>
        <w:pStyle w:val="a1"/>
        <w:rPr>
          <w:rFonts w:hint="eastAsia"/>
          <w:lang w:val="en-US" w:eastAsia="zh-CN"/>
        </w:rPr>
      </w:pPr>
      <w:r>
        <w:rPr>
          <w:rFonts w:hint="eastAsia"/>
          <w:lang w:val="en-US" w:eastAsia="zh-CN"/>
        </w:rPr>
        <w:t>2025年问题管理的主要工作包括：当事件原因不明、同一事件频繁发生（一周内发生3次以上）、事件影响重大时，由事件管理流程触发问题管理流程；运维部经理作为问题管理负责人，负责分派问题并跟踪解决；问题分析采用5W1H、鱼骨图、故障树等方法进行根本原因分析；问题解决后，将解决方案录入知识库，形成知识沉淀；问题管理负责人每月进行问题汇总分析，结果作为服务报告的输入。</w:t>
      </w:r>
    </w:p>
    <w:p>
      <w:pPr>
        <w:pStyle w:val="a1"/>
        <w:rPr>
          <w:rFonts w:hint="eastAsia"/>
          <w:lang w:val="en-US" w:eastAsia="zh-CN"/>
        </w:rPr>
      </w:pPr>
      <w:r>
        <w:rPr>
          <w:rFonts w:hint="eastAsia"/>
          <w:lang w:val="en-US" w:eastAsia="zh-CN"/>
        </w:rPr>
        <w:t>KPI指标：问题解决率</w:t>
      </w:r>
    </w:p>
    <w:p>
      <w:pPr>
        <w:pStyle w:val="a1"/>
        <w:rPr>
          <w:rFonts w:hint="eastAsia"/>
          <w:lang w:val="en-US" w:eastAsia="zh-CN"/>
        </w:rPr>
      </w:pPr>
      <w:r>
        <w:rPr>
          <w:rFonts w:hint="eastAsia"/>
          <w:lang w:val="en-US" w:eastAsia="zh-CN"/>
        </w:rPr>
        <w:t>问题解决率是反映问题管理有效性的量化指标，其计算公式为：问题解决率 = (成功解决问题数 / 问题总数) × 100%。目标值为≥90%，按季度进行考核，责任部门为运维部。</w:t>
      </w:r>
    </w:p>
    <w:p>
      <w:pPr>
        <w:pStyle w:val="3"/>
        <w:bidi w:val="0"/>
        <w:rPr>
          <w:rFonts w:hint="eastAsia"/>
          <w:lang w:val="en-US" w:eastAsia="zh-CN"/>
        </w:rPr>
      </w:pPr>
      <w:bookmarkStart w:id="46" w:name="_Toc24258"/>
      <w:r>
        <w:rPr>
          <w:rFonts w:hint="eastAsia"/>
          <w:lang w:val="en-US" w:eastAsia="zh-CN"/>
        </w:rPr>
        <w:t>变更管理</w:t>
      </w:r>
      <w:bookmarkEnd w:id="46"/>
    </w:p>
    <w:p>
      <w:pPr>
        <w:pStyle w:val="a1"/>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pPr>
        <w:pStyle w:val="a1"/>
        <w:rPr>
          <w:rFonts w:hint="eastAsia"/>
          <w:lang w:val="en-US" w:eastAsia="zh-CN"/>
        </w:rPr>
      </w:pPr>
      <w:r>
        <w:rPr>
          <w:rFonts w:hint="eastAsia"/>
          <w:lang w:val="en-US" w:eastAsia="zh-CN"/>
        </w:rPr>
        <w:t>2025年变更管理的主要工作包括：变更分为一般变更、重大变更、紧急变更三类，不同类型的变更执行不同的审批流程；变更方案必须包含回退计划，明确回退触发条件、回退操作步骤、回退负责人、回退验证方法等；重大变更和紧急变更由变更管理委员会（CAB）进行评估和决策，CAB成员包括运维部经理、研发部经理、产品产品质量部经理、总经理/副总经理、客户代表；变更完成后，变更管理负责人每季度对变更数量进行统计，分析变更过程存在的问题，形成变更服务报告。</w:t>
      </w:r>
    </w:p>
    <w:p>
      <w:pPr>
        <w:pStyle w:val="a1"/>
        <w:rPr>
          <w:rFonts w:hint="eastAsia"/>
          <w:lang w:val="en-US" w:eastAsia="zh-CN"/>
        </w:rPr>
      </w:pPr>
      <w:r>
        <w:rPr>
          <w:rFonts w:hint="eastAsia"/>
          <w:lang w:val="en-US" w:eastAsia="zh-CN"/>
        </w:rPr>
        <w:t>KPI指标：变更成功率</w:t>
      </w:r>
    </w:p>
    <w:p>
      <w:pPr>
        <w:pStyle w:val="a1"/>
        <w:rPr>
          <w:rFonts w:hint="eastAsia"/>
          <w:lang w:val="en-US" w:eastAsia="zh-CN"/>
        </w:rPr>
      </w:pPr>
      <w:r>
        <w:rPr>
          <w:rFonts w:hint="eastAsia"/>
          <w:lang w:val="en-US" w:eastAsia="zh-CN"/>
        </w:rPr>
        <w:t>变更成功率是反映变更管理执行质量的量化指标，其计算公式为：变更成功率 = (成功变更数 / 发起变更总数) × 100%。目标值为≥92%，按季度进行考核，责任部门为运维部。</w:t>
      </w:r>
    </w:p>
    <w:p>
      <w:pPr>
        <w:pStyle w:val="3"/>
        <w:bidi w:val="0"/>
        <w:rPr>
          <w:rFonts w:hint="eastAsia"/>
          <w:lang w:val="en-US" w:eastAsia="zh-CN"/>
        </w:rPr>
      </w:pPr>
      <w:bookmarkStart w:id="47" w:name="_Toc27638"/>
      <w:r>
        <w:rPr>
          <w:rFonts w:hint="eastAsia"/>
          <w:lang w:val="en-US" w:eastAsia="zh-CN"/>
        </w:rPr>
        <w:t>发布管理</w:t>
      </w:r>
      <w:bookmarkEnd w:id="47"/>
    </w:p>
    <w:p>
      <w:pPr>
        <w:pStyle w:val="a1"/>
        <w:rPr>
          <w:rFonts w:hint="eastAsia"/>
          <w:lang w:val="en-US" w:eastAsia="zh-CN"/>
        </w:rPr>
      </w:pPr>
      <w:r>
        <w:rPr>
          <w:rFonts w:hint="eastAsia"/>
          <w:lang w:val="en-US" w:eastAsia="zh-CN"/>
        </w:rPr>
        <w:t>根据《运维服务发布管理制度》（HFSJ-ITSS-0607），公司建立发布管理流程，确保软件和硬件的变更经过测试验证后有序发布。</w:t>
      </w:r>
    </w:p>
    <w:p>
      <w:pPr>
        <w:pStyle w:val="a1"/>
        <w:rPr>
          <w:rFonts w:hint="eastAsia"/>
          <w:lang w:val="en-US" w:eastAsia="zh-CN"/>
        </w:rPr>
      </w:pPr>
      <w:r>
        <w:rPr>
          <w:rFonts w:hint="eastAsia"/>
          <w:lang w:val="en-US" w:eastAsia="zh-CN"/>
        </w:rPr>
        <w:t>2025年发布管理的主要工作包括：发布管理负责人根据变更计划制定《发布方案》，发布方案必须包含回退计划；发布方案需经发布管理负责人（运维部经理）牵头评审，评审通过后方可实施；发布前应对程序和数据进行备份，部署完成后进行验证，验证不成功则按计划执行回退；发布完成后，发布管理负责人收集发布引起的事件或问题数量、发布数量等数据，进行分析并编写《发布报告》，作为服务报告的一部分。</w:t>
      </w:r>
    </w:p>
    <w:p>
      <w:pPr>
        <w:pStyle w:val="a1"/>
        <w:rPr>
          <w:rFonts w:hint="eastAsia"/>
          <w:lang w:val="en-US" w:eastAsia="zh-CN"/>
        </w:rPr>
      </w:pPr>
      <w:r>
        <w:rPr>
          <w:rFonts w:hint="eastAsia"/>
          <w:lang w:val="en-US" w:eastAsia="zh-CN"/>
        </w:rPr>
        <w:t>KPI指标：发布成功率</w:t>
      </w:r>
    </w:p>
    <w:p>
      <w:pPr>
        <w:pStyle w:val="a1"/>
        <w:rPr>
          <w:rFonts w:hint="eastAsia"/>
          <w:lang w:val="en-US" w:eastAsia="zh-CN"/>
        </w:rPr>
      </w:pPr>
      <w:r>
        <w:rPr>
          <w:rFonts w:hint="eastAsia"/>
          <w:lang w:val="en-US" w:eastAsia="zh-CN"/>
        </w:rPr>
        <w:t>发布成功率是反映发布管理执行质量的量化指标，其计算公式为：发布成功率 = (发布成功次数 / 发布总次数) × 100%。目标值为≥95%，按季度进行考核，责任部门为运维部。</w:t>
      </w:r>
    </w:p>
    <w:p>
      <w:pPr>
        <w:pStyle w:val="3"/>
        <w:bidi w:val="0"/>
        <w:rPr>
          <w:rFonts w:hint="eastAsia"/>
          <w:lang w:val="en-US" w:eastAsia="zh-CN"/>
        </w:rPr>
      </w:pPr>
      <w:bookmarkStart w:id="48" w:name="_Toc12147"/>
      <w:r>
        <w:rPr>
          <w:rFonts w:hint="eastAsia"/>
          <w:lang w:val="en-US" w:eastAsia="zh-CN"/>
        </w:rPr>
        <w:t>配置管理</w:t>
      </w:r>
      <w:bookmarkEnd w:id="48"/>
    </w:p>
    <w:p>
      <w:pPr>
        <w:pStyle w:val="a1"/>
        <w:rPr>
          <w:rFonts w:hint="eastAsia"/>
          <w:lang w:val="en-US" w:eastAsia="zh-CN"/>
        </w:rPr>
      </w:pPr>
      <w:r>
        <w:rPr>
          <w:rFonts w:hint="eastAsia"/>
          <w:lang w:val="en-US" w:eastAsia="zh-CN"/>
        </w:rPr>
        <w:t>根据《运维服务配置管理制度》，公司建立配置管理流程，通过配置管理数据库（CMDB）对配置项进行统一管理。</w:t>
      </w:r>
    </w:p>
    <w:p>
      <w:pPr>
        <w:pStyle w:val="a1"/>
        <w:rPr>
          <w:rFonts w:hint="eastAsia"/>
          <w:lang w:val="en-US" w:eastAsia="zh-CN"/>
        </w:rPr>
      </w:pPr>
      <w:r>
        <w:rPr>
          <w:rFonts w:hint="eastAsia"/>
          <w:lang w:val="en-US" w:eastAsia="zh-CN"/>
        </w:rPr>
        <w:t>2025年配置管理的主要工作包括：配置项范围涵盖文档信息、软件信息、硬件信息、其他信息（供应商信息、备件信息等）；硬件运维工程师、软件运维工程师、备件库专员分别负责对应配置项的识别、录入和维护；配置项状态包括开发中、测试中、运行中、废弃；每年至少进行一次配置审计和验证，发生重大变更、新服务上线、发现配置信息与实际情况不符时追加审计；配置管理员每月整理配置管理数据库的信息，编写《配置管理报告》。</w:t>
      </w:r>
    </w:p>
    <w:p>
      <w:pPr>
        <w:pStyle w:val="a1"/>
        <w:rPr>
          <w:rFonts w:hint="eastAsia"/>
          <w:lang w:val="en-US" w:eastAsia="zh-CN"/>
        </w:rPr>
      </w:pPr>
      <w:r>
        <w:rPr>
          <w:rFonts w:hint="eastAsia"/>
          <w:lang w:val="en-US" w:eastAsia="zh-CN"/>
        </w:rPr>
        <w:t>KPI指标：</w:t>
      </w:r>
    </w:p>
    <w:p>
      <w:pPr>
        <w:pStyle w:val="a1"/>
        <w:numPr>
          <w:ilvl w:val="0"/>
          <w:numId w:val="10"/>
        </w:numPr>
        <w:ind w:left="425" w:hanging="425" w:leftChars="0" w:firstLineChars="0"/>
        <w:rPr>
          <w:rFonts w:hint="eastAsia"/>
          <w:lang w:val="en-US" w:eastAsia="zh-CN"/>
        </w:rPr>
      </w:pPr>
      <w:r>
        <w:rPr>
          <w:rFonts w:hint="eastAsia"/>
          <w:lang w:val="en-US" w:eastAsia="zh-CN"/>
        </w:rPr>
        <w:t>配置数据准确率</w:t>
      </w:r>
    </w:p>
    <w:p>
      <w:pPr>
        <w:pStyle w:val="a1"/>
        <w:rPr>
          <w:rFonts w:hint="eastAsia"/>
          <w:lang w:val="en-US" w:eastAsia="zh-CN"/>
        </w:rPr>
      </w:pPr>
      <w:r>
        <w:rPr>
          <w:rFonts w:hint="eastAsia"/>
          <w:lang w:val="en-US" w:eastAsia="zh-CN"/>
        </w:rPr>
        <w:t>配置数据准确率是反映配置管理数据库数据准确性的量化指标，其计算公式为：配置数据准确率 = (配置数据匹配数 / 配置数据总数) × 100%。目标值为≥95%，按季度进行考核，责任部门为运维部。</w:t>
      </w:r>
    </w:p>
    <w:p>
      <w:pPr>
        <w:pStyle w:val="a1"/>
        <w:numPr>
          <w:ilvl w:val="0"/>
          <w:numId w:val="10"/>
        </w:numPr>
        <w:ind w:left="425" w:hanging="425" w:leftChars="0" w:firstLineChars="0"/>
        <w:rPr>
          <w:rFonts w:hint="eastAsia"/>
          <w:lang w:val="en-US" w:eastAsia="zh-CN"/>
        </w:rPr>
      </w:pPr>
      <w:r>
        <w:rPr>
          <w:rFonts w:hint="eastAsia"/>
          <w:lang w:val="en-US" w:eastAsia="zh-CN"/>
        </w:rPr>
        <w:t>配置项覆盖率</w:t>
      </w:r>
    </w:p>
    <w:p>
      <w:pPr>
        <w:pStyle w:val="a1"/>
        <w:rPr>
          <w:rFonts w:hint="eastAsia"/>
          <w:lang w:val="en-US" w:eastAsia="zh-CN"/>
        </w:rPr>
      </w:pPr>
      <w:r>
        <w:rPr>
          <w:rFonts w:hint="eastAsia"/>
          <w:lang w:val="en-US" w:eastAsia="zh-CN"/>
        </w:rPr>
        <w:t>配置项覆盖率是反映配置项识别完整性的量化指标，其计算公式为：配置项覆盖率 = (已识别配置项数 / 应识别配置项数) × 100%。目标值为≥95%，按季度进行考核，责任部门为运维部。</w:t>
      </w:r>
    </w:p>
    <w:p>
      <w:pPr>
        <w:pStyle w:val="3"/>
        <w:bidi w:val="0"/>
        <w:rPr>
          <w:rFonts w:hint="eastAsia"/>
          <w:lang w:val="en-US" w:eastAsia="zh-CN"/>
        </w:rPr>
      </w:pPr>
      <w:bookmarkStart w:id="49" w:name="_Toc23011"/>
      <w:r>
        <w:rPr>
          <w:rFonts w:hint="eastAsia"/>
          <w:lang w:val="en-US" w:eastAsia="zh-CN"/>
        </w:rPr>
        <w:t>可用性和连续性管理</w:t>
      </w:r>
      <w:bookmarkEnd w:id="49"/>
    </w:p>
    <w:p>
      <w:pPr>
        <w:pStyle w:val="a1"/>
        <w:rPr>
          <w:rFonts w:hint="eastAsia"/>
          <w:lang w:val="en-US" w:eastAsia="zh-CN"/>
        </w:rPr>
      </w:pPr>
      <w:r>
        <w:rPr>
          <w:rFonts w:hint="eastAsia"/>
          <w:lang w:val="en-US" w:eastAsia="zh-CN"/>
        </w:rPr>
        <w:t>根据《服务可用性和连续性管理制度》，公司建立服务可用性和连续性管理流程，确保关键服务达到约定的可用性目标，在发生服务中断时能够及时恢复。</w:t>
      </w:r>
    </w:p>
    <w:p>
      <w:pPr>
        <w:pStyle w:val="a1"/>
        <w:rPr>
          <w:rFonts w:hint="eastAsia"/>
          <w:lang w:val="en-US" w:eastAsia="zh-CN"/>
        </w:rPr>
      </w:pPr>
      <w:r>
        <w:rPr>
          <w:rFonts w:hint="eastAsia"/>
          <w:lang w:val="en-US" w:eastAsia="zh-CN"/>
        </w:rPr>
        <w:t>2025年可用性和连续性管理的主要工作包括：副总经理作为服务可用性和连续性管理负责人，统筹应急管理工作；运维部经理作为日常可用性管理负责人，负责服务可用性目标的制定和分解，日常可用性监控和分析；通过监控工具7×24小时实时监测系统运行状态，当监控指标触发预警阈值时，监控系统自动发送告警；每半年组织一次应急演练（桌面推演每半年1次、实战演练每年1次），验证应急预案有效性。</w:t>
      </w:r>
    </w:p>
    <w:p>
      <w:pPr>
        <w:pStyle w:val="a1"/>
        <w:rPr>
          <w:rFonts w:hint="eastAsia"/>
          <w:lang w:val="en-US" w:eastAsia="zh-CN"/>
        </w:rPr>
      </w:pPr>
      <w:r>
        <w:rPr>
          <w:rFonts w:hint="eastAsia"/>
          <w:lang w:val="en-US" w:eastAsia="zh-CN"/>
        </w:rPr>
        <w:t>KPI指标：</w:t>
      </w:r>
    </w:p>
    <w:p>
      <w:pPr>
        <w:pStyle w:val="a1"/>
        <w:numPr>
          <w:ilvl w:val="0"/>
          <w:numId w:val="11"/>
        </w:numPr>
        <w:ind w:left="425" w:hanging="425" w:leftChars="0" w:firstLineChars="0"/>
        <w:rPr>
          <w:rFonts w:hint="eastAsia"/>
          <w:lang w:val="en-US" w:eastAsia="zh-CN"/>
        </w:rPr>
      </w:pPr>
      <w:r>
        <w:rPr>
          <w:rFonts w:hint="eastAsia"/>
          <w:lang w:val="en-US" w:eastAsia="zh-CN"/>
        </w:rPr>
        <w:t>服务可用性达标率</w:t>
      </w:r>
    </w:p>
    <w:p>
      <w:pPr>
        <w:pStyle w:val="a1"/>
        <w:rPr>
          <w:rFonts w:hint="eastAsia"/>
          <w:lang w:val="en-US" w:eastAsia="zh-CN"/>
        </w:rPr>
      </w:pPr>
      <w:r>
        <w:rPr>
          <w:rFonts w:hint="eastAsia"/>
          <w:lang w:val="en-US" w:eastAsia="zh-CN"/>
        </w:rPr>
        <w:t>服务可用性达标率是反映服务可用性目标达成情况的量化指标，其计算公式为：服务可用性达标率 = (系统实际持续可用时间 / 系统计划持续可用时间) × 100%。目标值为≥99%，按年度进行考核，责任部门为运维部。</w:t>
      </w:r>
    </w:p>
    <w:p>
      <w:pPr>
        <w:pStyle w:val="a1"/>
        <w:numPr>
          <w:ilvl w:val="0"/>
          <w:numId w:val="11"/>
        </w:numPr>
        <w:ind w:left="425" w:hanging="425" w:leftChars="0" w:firstLineChars="0"/>
        <w:rPr>
          <w:rFonts w:hint="eastAsia"/>
          <w:lang w:val="en-US" w:eastAsia="zh-CN"/>
        </w:rPr>
      </w:pPr>
      <w:r>
        <w:rPr>
          <w:rFonts w:hint="eastAsia"/>
          <w:lang w:val="en-US" w:eastAsia="zh-CN"/>
        </w:rPr>
        <w:t>服务异常中断次数</w:t>
      </w:r>
    </w:p>
    <w:p>
      <w:pPr>
        <w:pStyle w:val="a1"/>
        <w:rPr>
          <w:rFonts w:hint="eastAsia"/>
          <w:lang w:val="en-US" w:eastAsia="zh-CN"/>
        </w:rPr>
      </w:pPr>
      <w:r>
        <w:rPr>
          <w:rFonts w:hint="eastAsia"/>
          <w:lang w:val="en-US" w:eastAsia="zh-CN"/>
        </w:rPr>
        <w:t>服务异常中断次数是反映服务稳定性的量化指标。计算方式为：由于异常情况导致服务中断的次数统计。目标值为≤2次，按年度进行考核，责任部门为运维部。</w:t>
      </w:r>
    </w:p>
    <w:p>
      <w:pPr>
        <w:pStyle w:val="3"/>
        <w:bidi w:val="0"/>
        <w:rPr>
          <w:rFonts w:hint="eastAsia"/>
          <w:lang w:val="en-US" w:eastAsia="zh-CN"/>
        </w:rPr>
      </w:pPr>
      <w:bookmarkStart w:id="50" w:name="_Toc6473"/>
      <w:r>
        <w:rPr>
          <w:rFonts w:hint="eastAsia"/>
          <w:lang w:val="en-US" w:eastAsia="zh-CN"/>
        </w:rPr>
        <w:t>容量管理</w:t>
      </w:r>
      <w:bookmarkEnd w:id="50"/>
    </w:p>
    <w:p>
      <w:pPr>
        <w:pStyle w:val="a1"/>
        <w:rPr>
          <w:rFonts w:hint="eastAsia"/>
          <w:lang w:val="en-US" w:eastAsia="zh-CN"/>
        </w:rPr>
      </w:pPr>
      <w:r>
        <w:rPr>
          <w:rFonts w:hint="eastAsia"/>
          <w:lang w:val="en-US" w:eastAsia="zh-CN"/>
        </w:rPr>
        <w:t>根据《运维服务容量管理制度》，公司建立容量管理流程，确保IT基础设施和服务能力与业务需求相匹配。</w:t>
      </w:r>
    </w:p>
    <w:p>
      <w:pPr>
        <w:pStyle w:val="a1"/>
        <w:rPr>
          <w:rFonts w:hint="eastAsia"/>
          <w:lang w:val="en-US" w:eastAsia="zh-CN"/>
        </w:rPr>
      </w:pPr>
      <w:r>
        <w:rPr>
          <w:rFonts w:hint="eastAsia"/>
          <w:lang w:val="en-US" w:eastAsia="zh-CN"/>
        </w:rPr>
        <w:t>2025年容量管理的主要工作包括：容量管理范围涵盖计算资源（服务器、虚拟机）、存储资源、网络资源、数据库资源、应用系统、前端设备；容量监控人员按照容量管理计划执行日常容量监控，关键容量指标包括CPU使用率（&gt;80%预警、&gt;90%告警）、内存使用率（&gt;85%预警、&gt;95%告警）、磁盘使用率（&gt;80%预警、&gt;90%告警）等；每月进行容量分析，识别容量趋势、瓶颈和潜在风险；容量调整通过变更管理流程执行。</w:t>
      </w:r>
    </w:p>
    <w:p>
      <w:pPr>
        <w:pStyle w:val="a1"/>
        <w:rPr>
          <w:rFonts w:hint="eastAsia"/>
          <w:lang w:val="en-US" w:eastAsia="zh-CN"/>
        </w:rPr>
      </w:pPr>
      <w:r>
        <w:rPr>
          <w:rFonts w:hint="eastAsia"/>
          <w:lang w:val="en-US" w:eastAsia="zh-CN"/>
        </w:rPr>
        <w:t>KPI指标：容量报告及时性</w:t>
      </w:r>
    </w:p>
    <w:p>
      <w:pPr>
        <w:pStyle w:val="a1"/>
        <w:rPr>
          <w:rFonts w:hint="eastAsia"/>
          <w:lang w:val="en-US" w:eastAsia="zh-CN"/>
        </w:rPr>
      </w:pPr>
      <w:r>
        <w:rPr>
          <w:rFonts w:hint="eastAsia"/>
          <w:lang w:val="en-US" w:eastAsia="zh-CN"/>
        </w:rPr>
        <w:t>容量报告及时性是反映容量管理工作按时交付情况的量化指标，其计算公式为：容量报告及时性 = (实际按时提交的报告数 / 应按时提交的报告数) × 100%。目标值为≥95%，按季度进行考核，责任部门为运维部。</w:t>
      </w:r>
    </w:p>
    <w:p>
      <w:pPr>
        <w:pStyle w:val="3"/>
        <w:bidi w:val="0"/>
        <w:rPr>
          <w:rFonts w:hint="eastAsia"/>
          <w:lang w:val="en-US" w:eastAsia="zh-CN"/>
        </w:rPr>
      </w:pPr>
      <w:bookmarkStart w:id="51" w:name="_Toc1700"/>
      <w:r>
        <w:rPr>
          <w:rFonts w:hint="eastAsia"/>
          <w:lang w:val="en-US" w:eastAsia="zh-CN"/>
        </w:rPr>
        <w:t>信息安全管理</w:t>
      </w:r>
      <w:bookmarkEnd w:id="51"/>
    </w:p>
    <w:p>
      <w:pPr>
        <w:pStyle w:val="a1"/>
        <w:rPr>
          <w:rFonts w:hint="eastAsia"/>
          <w:lang w:val="en-US" w:eastAsia="zh-CN"/>
        </w:rPr>
      </w:pPr>
      <w:r>
        <w:rPr>
          <w:rFonts w:hint="eastAsia"/>
          <w:lang w:val="en-US" w:eastAsia="zh-CN"/>
        </w:rPr>
        <w:t>根据《运维服务信息安全管理制度》，公司建立信息安全管理流程，确保服务的安全性满足客户约定的级别。</w:t>
      </w:r>
    </w:p>
    <w:p>
      <w:pPr>
        <w:pStyle w:val="a1"/>
        <w:rPr>
          <w:rFonts w:hint="eastAsia"/>
          <w:lang w:val="en-US" w:eastAsia="zh-CN"/>
        </w:rPr>
      </w:pPr>
      <w:r>
        <w:rPr>
          <w:rFonts w:hint="eastAsia"/>
          <w:lang w:val="en-US" w:eastAsia="zh-CN"/>
        </w:rPr>
        <w:t>2025年信息安全管理的主要工作包括：遵循公司"统一规划、分级管理、积极防范、人人有责"的安全方针；每年至少进行一次信息安全风险评估，识别信息资产、评估面临的威胁和脆弱性，确定风险等级；制定《信息安全管理规范》，覆盖人员安全、访问控制、数据安全、系统安全、网络安全、物理安全、应急响应七类规范；每半年组织一次安全培训，确保运维人员了解安全政策和操作规范。</w:t>
      </w:r>
    </w:p>
    <w:p>
      <w:pPr>
        <w:pStyle w:val="a1"/>
        <w:rPr>
          <w:rFonts w:hint="eastAsia"/>
          <w:lang w:val="en-US" w:eastAsia="zh-CN"/>
        </w:rPr>
      </w:pPr>
      <w:r>
        <w:rPr>
          <w:rFonts w:hint="eastAsia"/>
          <w:lang w:val="en-US" w:eastAsia="zh-CN"/>
        </w:rPr>
        <w:t>KPI指标：</w:t>
      </w:r>
    </w:p>
    <w:p>
      <w:pPr>
        <w:pStyle w:val="a1"/>
        <w:numPr>
          <w:ilvl w:val="0"/>
          <w:numId w:val="12"/>
        </w:numPr>
        <w:ind w:left="425" w:hanging="425" w:leftChars="0" w:firstLineChars="0"/>
        <w:rPr>
          <w:rFonts w:hint="eastAsia"/>
          <w:lang w:val="en-US" w:eastAsia="zh-CN"/>
        </w:rPr>
      </w:pPr>
      <w:r>
        <w:rPr>
          <w:rFonts w:hint="eastAsia"/>
          <w:lang w:val="en-US" w:eastAsia="zh-CN"/>
        </w:rPr>
        <w:t>安全培训覆盖率</w:t>
      </w:r>
    </w:p>
    <w:p>
      <w:pPr>
        <w:pStyle w:val="a1"/>
        <w:rPr>
          <w:rFonts w:hint="eastAsia"/>
          <w:lang w:val="en-US" w:eastAsia="zh-CN"/>
        </w:rPr>
      </w:pPr>
      <w:r>
        <w:rPr>
          <w:rFonts w:hint="eastAsia"/>
          <w:lang w:val="en-US" w:eastAsia="zh-CN"/>
        </w:rPr>
        <w:t>安全培训覆盖率是反映安全培训覆盖广度的量化指标，其计算公式为：安全培训覆盖率 = (接受培训人数 / 应培训人数) × 100%。目标值为≥95%，按年度进行考核，责任部门为运维部。</w:t>
      </w:r>
    </w:p>
    <w:p>
      <w:pPr>
        <w:pStyle w:val="a1"/>
        <w:numPr>
          <w:ilvl w:val="0"/>
          <w:numId w:val="12"/>
        </w:numPr>
        <w:ind w:left="425" w:hanging="425" w:leftChars="0" w:firstLineChars="0"/>
        <w:rPr>
          <w:rFonts w:hint="eastAsia"/>
          <w:lang w:val="en-US" w:eastAsia="zh-CN"/>
        </w:rPr>
      </w:pPr>
      <w:r>
        <w:rPr>
          <w:rFonts w:hint="eastAsia"/>
          <w:lang w:val="en-US" w:eastAsia="zh-CN"/>
        </w:rPr>
        <w:t>信息安全事故数量</w:t>
      </w:r>
    </w:p>
    <w:p>
      <w:pPr>
        <w:pStyle w:val="a1"/>
        <w:rPr>
          <w:rFonts w:hint="eastAsia"/>
          <w:lang w:val="en-US" w:eastAsia="zh-CN"/>
        </w:rPr>
      </w:pPr>
      <w:r>
        <w:rPr>
          <w:rFonts w:hint="eastAsia"/>
          <w:lang w:val="en-US" w:eastAsia="zh-CN"/>
        </w:rPr>
        <w:t>信息安全事故数量是反映信息安全管理有效性的量化指标。计算方式为：我方人员造成安全事故的次数统计。目标值为≤1次，按年度进行考核，责任部门为运维部。</w:t>
      </w:r>
    </w:p>
    <w:p>
      <w:pPr>
        <w:pStyle w:val="2"/>
        <w:bidi w:val="0"/>
        <w:rPr>
          <w:rFonts w:hint="eastAsia"/>
          <w:lang w:val="en-US" w:eastAsia="zh-CN"/>
        </w:rPr>
      </w:pPr>
      <w:bookmarkStart w:id="52" w:name="_Toc17627"/>
      <w:r>
        <w:rPr>
          <w:rFonts w:hint="eastAsia"/>
          <w:lang w:val="en-US" w:eastAsia="zh-CN"/>
        </w:rPr>
        <w:t>交付管理规划</w:t>
      </w:r>
      <w:bookmarkEnd w:id="52"/>
    </w:p>
    <w:p>
      <w:pPr>
        <w:pStyle w:val="a1"/>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pPr>
        <w:pStyle w:val="a1"/>
        <w:rPr>
          <w:rFonts w:hint="eastAsia"/>
          <w:lang w:val="en-US" w:eastAsia="zh-CN"/>
        </w:rPr>
      </w:pPr>
      <w:r>
        <w:rPr>
          <w:rFonts w:hint="eastAsia"/>
          <w:lang w:val="en-US" w:eastAsia="zh-CN"/>
        </w:rPr>
        <w:t>2025年交付管理的主要工作包括：</w:t>
      </w:r>
    </w:p>
    <w:p>
      <w:pPr>
        <w:pStyle w:val="3"/>
        <w:bidi w:val="0"/>
        <w:rPr>
          <w:rFonts w:hint="eastAsia"/>
          <w:lang w:val="en-US" w:eastAsia="zh-CN"/>
        </w:rPr>
      </w:pPr>
      <w:bookmarkStart w:id="53" w:name="_Toc7312"/>
      <w:r>
        <w:rPr>
          <w:rFonts w:hint="eastAsia"/>
          <w:lang w:val="en-US" w:eastAsia="zh-CN"/>
        </w:rPr>
        <w:t>交付策划</w:t>
      </w:r>
      <w:bookmarkEnd w:id="53"/>
    </w:p>
    <w:p>
      <w:pPr>
        <w:pStyle w:val="a1"/>
        <w:rPr>
          <w:rFonts w:hint="eastAsia"/>
          <w:lang w:val="en-US" w:eastAsia="zh-CN"/>
        </w:rPr>
      </w:pPr>
      <w:r>
        <w:rPr>
          <w:rFonts w:hint="eastAsia"/>
          <w:lang w:val="en-US" w:eastAsia="zh-CN"/>
        </w:rPr>
        <w:t>项目启动时与客户召开项目交底会，明确服务范围、SLA指标、沟通机制、应急联络方式，形成《项目交底会议纪要》；编制《项目服务总计划》和《运维服务交付计划》，明确里程碑节点、交付物、责任人及验收标准；组建"一线、二线、三线"三级运维服务体系，明确各岗位职责；开展全面风险评估，制定《风险管理计划》和专项应急预案。</w:t>
      </w:r>
    </w:p>
    <w:p>
      <w:pPr>
        <w:pStyle w:val="3"/>
        <w:bidi w:val="0"/>
        <w:rPr>
          <w:rFonts w:hint="eastAsia"/>
          <w:lang w:val="en-US" w:eastAsia="zh-CN"/>
        </w:rPr>
      </w:pPr>
      <w:bookmarkStart w:id="54" w:name="_Toc11988"/>
      <w:r>
        <w:rPr>
          <w:rFonts w:hint="eastAsia"/>
          <w:lang w:val="en-US" w:eastAsia="zh-CN"/>
        </w:rPr>
        <w:t>交付实施</w:t>
      </w:r>
      <w:bookmarkEnd w:id="54"/>
    </w:p>
    <w:p>
      <w:pPr>
        <w:pStyle w:val="a1"/>
        <w:rPr>
          <w:rFonts w:hint="eastAsia"/>
          <w:lang w:val="en-US" w:eastAsia="zh-CN"/>
        </w:rPr>
      </w:pPr>
      <w:r>
        <w:rPr>
          <w:rFonts w:hint="eastAsia"/>
          <w:lang w:val="en-US" w:eastAsia="zh-CN"/>
        </w:rPr>
        <w:t>严格遵循服务计划及操作规范，通过工单系统统一受理、派发、处理所有服务请求；建立SLA达成情况实时监控机制，每日统计服务响应时间、故障解决率等关键数据；严格执行故障处理流程，确保所有故障在规定时限内闭环；通过周报、月报、季报等形式，定期向客户及公司管理层同步项目进展、风险状况、服务成果。</w:t>
      </w:r>
    </w:p>
    <w:p>
      <w:pPr>
        <w:pStyle w:val="3"/>
        <w:bidi w:val="0"/>
        <w:rPr>
          <w:rFonts w:hint="eastAsia"/>
          <w:lang w:val="en-US" w:eastAsia="zh-CN"/>
        </w:rPr>
      </w:pPr>
      <w:bookmarkStart w:id="55" w:name="_Toc31372"/>
      <w:r>
        <w:rPr>
          <w:rFonts w:hint="eastAsia"/>
          <w:lang w:val="en-US" w:eastAsia="zh-CN"/>
        </w:rPr>
        <w:t>交付检查</w:t>
      </w:r>
      <w:bookmarkEnd w:id="55"/>
    </w:p>
    <w:p>
      <w:pPr>
        <w:pStyle w:val="a1"/>
        <w:rPr>
          <w:rFonts w:hint="eastAsia"/>
          <w:lang w:val="en-US" w:eastAsia="zh-CN"/>
        </w:rPr>
      </w:pPr>
      <w:r>
        <w:rPr>
          <w:rFonts w:hint="eastAsia"/>
          <w:lang w:val="en-US" w:eastAsia="zh-CN"/>
        </w:rPr>
        <w:t>运维项目经理每月组织项目自查，形成《自查报告》并自行整改；产品产品质量部经理每季度对重点项目进行全覆盖抽查，填写《交付检查报告》；检查结果及时反馈并纳入问题整改台账跟踪闭环。</w:t>
      </w:r>
    </w:p>
    <w:p>
      <w:pPr>
        <w:pStyle w:val="3"/>
        <w:bidi w:val="0"/>
        <w:rPr>
          <w:rFonts w:hint="eastAsia"/>
          <w:lang w:val="en-US" w:eastAsia="zh-CN"/>
        </w:rPr>
      </w:pPr>
      <w:bookmarkStart w:id="56" w:name="_Toc25543"/>
      <w:r>
        <w:rPr>
          <w:rFonts w:hint="eastAsia"/>
          <w:lang w:val="en-US" w:eastAsia="zh-CN"/>
        </w:rPr>
        <w:t>交付改进</w:t>
      </w:r>
      <w:bookmarkEnd w:id="56"/>
    </w:p>
    <w:p>
      <w:pPr>
        <w:pStyle w:val="a1"/>
        <w:rPr>
          <w:rFonts w:hint="eastAsia"/>
          <w:lang w:val="en-US" w:eastAsia="zh-CN"/>
        </w:rPr>
      </w:pPr>
      <w:r>
        <w:rPr>
          <w:rFonts w:hint="eastAsia"/>
          <w:lang w:val="en-US" w:eastAsia="zh-CN"/>
        </w:rPr>
        <w:t>产品产品质量部牵头，针对检查报告和客户投诉，组织召开专题分析会，制定改进方案，明确整改措施、时限与责任人；定期组织服务复盘会议，总结经验教训，形成《服务改进报告》；将改进成果固化到服务流程、操作手册、知识库中。</w:t>
      </w:r>
    </w:p>
    <w:p>
      <w:pPr>
        <w:pStyle w:val="a1"/>
        <w:rPr>
          <w:rFonts w:hint="eastAsia"/>
          <w:lang w:val="en-US" w:eastAsia="zh-CN"/>
        </w:rPr>
      </w:pPr>
      <w:r>
        <w:rPr>
          <w:rFonts w:hint="eastAsia"/>
          <w:lang w:val="en-US" w:eastAsia="zh-CN"/>
        </w:rPr>
        <w:t>KPI指标：交付通过率</w:t>
      </w:r>
    </w:p>
    <w:p>
      <w:pPr>
        <w:pStyle w:val="a1"/>
        <w:rPr>
          <w:rFonts w:hint="eastAsia"/>
          <w:lang w:val="en-US" w:eastAsia="zh-CN"/>
        </w:rPr>
      </w:pPr>
      <w:r>
        <w:rPr>
          <w:rFonts w:hint="eastAsia"/>
          <w:lang w:val="en-US" w:eastAsia="zh-CN"/>
        </w:rPr>
        <w:t>交付通过率是反映运维服务交付质量的量化指标，其计算公式为：交付通过率 = (一次交付成功项目数 / 总交付项目数) × 100%。目标值为≥95%，按年度进行考核，责任部门为运维部。</w:t>
      </w:r>
    </w:p>
    <w:p>
      <w:pPr>
        <w:pStyle w:val="2"/>
        <w:bidi w:val="0"/>
        <w:rPr>
          <w:rFonts w:hint="eastAsia"/>
          <w:lang w:val="en-US" w:eastAsia="zh-CN"/>
        </w:rPr>
      </w:pPr>
      <w:bookmarkStart w:id="57" w:name="_Toc1822"/>
      <w:r>
        <w:rPr>
          <w:rFonts w:hint="eastAsia"/>
          <w:lang w:val="en-US" w:eastAsia="zh-CN"/>
        </w:rPr>
        <w:t>应急管理规划</w:t>
      </w:r>
      <w:bookmarkEnd w:id="57"/>
    </w:p>
    <w:p>
      <w:pPr>
        <w:pStyle w:val="a1"/>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pPr>
        <w:pStyle w:val="a1"/>
        <w:rPr>
          <w:rFonts w:hint="eastAsia"/>
          <w:lang w:val="en-US" w:eastAsia="zh-CN"/>
        </w:rPr>
      </w:pPr>
      <w:r>
        <w:rPr>
          <w:rFonts w:hint="eastAsia"/>
          <w:lang w:val="en-US" w:eastAsia="zh-CN"/>
        </w:rPr>
        <w:t>2025年应急管理的主要工作包括：</w:t>
      </w:r>
    </w:p>
    <w:p>
      <w:pPr>
        <w:pStyle w:val="a1"/>
        <w:rPr>
          <w:rFonts w:hint="eastAsia"/>
          <w:lang w:val="en-US" w:eastAsia="zh-CN"/>
        </w:rPr>
      </w:pPr>
      <w:r>
        <w:rPr>
          <w:rFonts w:hint="eastAsia"/>
          <w:lang w:val="en-US" w:eastAsia="zh-CN"/>
        </w:rPr>
        <w:t>应急组织：公司设立三级应急组织体系，包括应急领导小组（副总经理、运维部经理、研发部经理、产品产品质量部经理）、应急执行小组（运维项目经理、硬件/软件运维工程师、技术支持工程师）、应急支持小组（综合部经理、备件库专员、采购专员）。</w:t>
      </w:r>
    </w:p>
    <w:p>
      <w:pPr>
        <w:pStyle w:val="a1"/>
        <w:rPr>
          <w:rFonts w:hint="eastAsia"/>
          <w:lang w:val="en-US" w:eastAsia="zh-CN"/>
        </w:rPr>
      </w:pPr>
      <w:r>
        <w:rPr>
          <w:rFonts w:hint="eastAsia"/>
          <w:lang w:val="en-US" w:eastAsia="zh-CN"/>
        </w:rPr>
        <w:t>应急预案：每个运维项目至少制定一份《应急预案》，涵盖项目核心系统，包括适用范围、应急组织架构及职责、风险场景及对应处置流程、联络方式、资源清单、恢复步骤、回退方案等；应急预案由运维项目经理组织编写，经运维部经理审核、副总经理批准后发布执行；每年至少评审一次应急预案，根据风险评估结果、演练总结、实际事件处置经验进行修订。</w:t>
      </w:r>
    </w:p>
    <w:p>
      <w:pPr>
        <w:pStyle w:val="a1"/>
        <w:rPr>
          <w:rFonts w:hint="eastAsia"/>
          <w:lang w:val="en-US" w:eastAsia="zh-CN"/>
        </w:rPr>
      </w:pPr>
      <w:r>
        <w:rPr>
          <w:rFonts w:hint="eastAsia"/>
          <w:lang w:val="en-US" w:eastAsia="zh-CN"/>
        </w:rPr>
        <w:t>应急响应：应急响应流程分为监测与预警、先期处置、应急启动、应急处置、应急终止五个阶段；一线工程师接到告警后应在15分钟内响应，若在30分钟内无法恢复或事件影响重大，应立即上报运维项目经理和副总经理；应急处置过程中，重大事件每30分钟向客户和管理层通报一次进展。</w:t>
      </w:r>
    </w:p>
    <w:p>
      <w:pPr>
        <w:pStyle w:val="a1"/>
        <w:rPr>
          <w:rFonts w:hint="eastAsia"/>
          <w:lang w:val="en-US" w:eastAsia="zh-CN"/>
        </w:rPr>
      </w:pPr>
      <w:r>
        <w:rPr>
          <w:rFonts w:hint="eastAsia"/>
          <w:lang w:val="en-US" w:eastAsia="zh-CN"/>
        </w:rPr>
        <w:t>应急演练：每年至少组织一次全面演练（实战演练），每季度组织一次专项演练（桌面推演）；演练前制定《应急演练计划》，明确演练目标、场景、参与人员、物资准备；演练过程全程记录，演练后组织复盘，评估演练效果，形成《应急演练总结报告》。</w:t>
      </w:r>
    </w:p>
    <w:p>
      <w:pPr>
        <w:pStyle w:val="a1"/>
        <w:rPr>
          <w:rFonts w:hint="eastAsia"/>
          <w:lang w:val="en-US" w:eastAsia="zh-CN"/>
        </w:rPr>
      </w:pPr>
      <w:r>
        <w:rPr>
          <w:rFonts w:hint="eastAsia"/>
          <w:lang w:val="en-US" w:eastAsia="zh-CN"/>
        </w:rPr>
        <w:t>KPI指标：应急演练次数</w:t>
      </w:r>
    </w:p>
    <w:p>
      <w:pPr>
        <w:pStyle w:val="a1"/>
        <w:rPr>
          <w:rFonts w:hint="eastAsia"/>
          <w:lang w:val="en-US" w:eastAsia="zh-CN"/>
        </w:rPr>
      </w:pPr>
      <w:r>
        <w:rPr>
          <w:rFonts w:hint="eastAsia"/>
          <w:lang w:val="en-US" w:eastAsia="zh-CN"/>
        </w:rPr>
        <w:t>应急演练次数是反映应急演练执行情况的量化指标。计算方式为：应急演练报告数量统计。目标值为≥1次，按年度进行考核，责任部门为运维部。</w:t>
      </w:r>
    </w:p>
    <w:p>
      <w:pPr>
        <w:pStyle w:val="2"/>
        <w:bidi w:val="0"/>
        <w:rPr>
          <w:rFonts w:hint="eastAsia"/>
          <w:lang w:val="en-US" w:eastAsia="zh-CN"/>
        </w:rPr>
      </w:pPr>
      <w:bookmarkStart w:id="58" w:name="_Toc29559"/>
      <w:r>
        <w:rPr>
          <w:rFonts w:hint="eastAsia"/>
          <w:lang w:val="en-US" w:eastAsia="zh-CN"/>
        </w:rPr>
        <w:t>质量管理规划</w:t>
      </w:r>
      <w:bookmarkEnd w:id="58"/>
    </w:p>
    <w:p>
      <w:pPr>
        <w:pStyle w:val="a1"/>
        <w:rPr>
          <w:rFonts w:hint="eastAsia"/>
          <w:lang w:val="en-US" w:eastAsia="zh-CN"/>
        </w:rPr>
      </w:pPr>
      <w:r>
        <w:rPr>
          <w:rFonts w:hint="eastAsia"/>
          <w:lang w:val="en-US" w:eastAsia="zh-CN"/>
        </w:rPr>
        <w:t>根据《运维服务质量管理制度》《内审管理制度》（HFSJ-ITSS-0401）、《管理评审制度》《满意度管理制度》等制度，公司建立全面的质量管理体系，确保运维服务质量持续提升。</w:t>
      </w:r>
    </w:p>
    <w:p>
      <w:pPr>
        <w:pStyle w:val="a1"/>
        <w:rPr>
          <w:rFonts w:hint="eastAsia"/>
          <w:lang w:val="en-US" w:eastAsia="zh-CN"/>
        </w:rPr>
      </w:pPr>
      <w:r>
        <w:rPr>
          <w:rFonts w:hint="eastAsia"/>
          <w:lang w:val="en-US" w:eastAsia="zh-CN"/>
        </w:rPr>
        <w:t>2025年质量管理的主要工作包括：</w:t>
      </w:r>
    </w:p>
    <w:p>
      <w:pPr>
        <w:pStyle w:val="a1"/>
        <w:rPr>
          <w:rFonts w:hint="eastAsia"/>
          <w:lang w:val="en-US" w:eastAsia="zh-CN"/>
        </w:rPr>
      </w:pPr>
      <w:r>
        <w:rPr>
          <w:rFonts w:hint="eastAsia"/>
          <w:lang w:val="en-US" w:eastAsia="zh-CN"/>
        </w:rPr>
        <w:t>质量方针：遵循公司"过程规范、快速响应、提高服务质量，提升客户满意度"的质量方针，全体员工在日常工作中贯彻质量意识。</w:t>
      </w:r>
    </w:p>
    <w:p>
      <w:pPr>
        <w:pStyle w:val="3"/>
        <w:bidi w:val="0"/>
        <w:rPr>
          <w:rFonts w:hint="eastAsia"/>
          <w:lang w:val="en-US" w:eastAsia="zh-CN"/>
        </w:rPr>
      </w:pPr>
      <w:bookmarkStart w:id="59" w:name="_Toc4354"/>
      <w:r>
        <w:rPr>
          <w:rFonts w:hint="eastAsia"/>
          <w:lang w:val="en-US" w:eastAsia="zh-CN"/>
        </w:rPr>
        <w:t>质量管理计划</w:t>
      </w:r>
      <w:bookmarkEnd w:id="59"/>
    </w:p>
    <w:p>
      <w:pPr>
        <w:pStyle w:val="a1"/>
        <w:rPr>
          <w:rFonts w:hint="eastAsia"/>
          <w:lang w:val="en-US" w:eastAsia="zh-CN"/>
        </w:rPr>
      </w:pPr>
      <w:r>
        <w:rPr>
          <w:rFonts w:hint="eastAsia"/>
          <w:lang w:val="en-US" w:eastAsia="zh-CN"/>
        </w:rPr>
        <w:t>产品产品质量部每年年初制定《年度运维服务质量管理计划》，明确质量管理的目的、范围、组织、权限、责任，确定要对哪些过程和服务进行质量检查审计，明确质量检查的时间安排和频次、质量培训计划、质量目标及KPI指标。</w:t>
      </w:r>
    </w:p>
    <w:p>
      <w:pPr>
        <w:pStyle w:val="3"/>
        <w:bidi w:val="0"/>
        <w:rPr>
          <w:rFonts w:hint="eastAsia"/>
          <w:lang w:val="en-US" w:eastAsia="zh-CN"/>
        </w:rPr>
      </w:pPr>
      <w:bookmarkStart w:id="60" w:name="_Toc8076"/>
      <w:r>
        <w:rPr>
          <w:rFonts w:hint="eastAsia"/>
          <w:lang w:val="en-US" w:eastAsia="zh-CN"/>
        </w:rPr>
        <w:t>质量检查</w:t>
      </w:r>
      <w:bookmarkEnd w:id="60"/>
    </w:p>
    <w:p>
      <w:pPr>
        <w:pStyle w:val="a1"/>
        <w:rPr>
          <w:rFonts w:hint="eastAsia"/>
          <w:lang w:val="en-US" w:eastAsia="zh-CN"/>
        </w:rPr>
      </w:pPr>
      <w:r>
        <w:rPr>
          <w:rFonts w:hint="eastAsia"/>
          <w:lang w:val="en-US" w:eastAsia="zh-CN"/>
        </w:rPr>
        <w:t>产品产品质量部每季度对组织级的运维服务质量进行审计，检查能力计划执行情况和指标体系中各指标项的达成情况，检查各过程管理制度的执行情况，检查服务交付物的完整性；产品产品质量部依据质量管理计划，定期对项目活动和工作产品进行检查，记录检查发现的问题，作为改进的依据。</w:t>
      </w:r>
    </w:p>
    <w:p>
      <w:pPr>
        <w:pStyle w:val="3"/>
        <w:bidi w:val="0"/>
        <w:rPr>
          <w:rFonts w:hint="eastAsia"/>
          <w:lang w:val="en-US" w:eastAsia="zh-CN"/>
        </w:rPr>
      </w:pPr>
      <w:bookmarkStart w:id="61" w:name="_Toc20892"/>
      <w:r>
        <w:rPr>
          <w:rFonts w:hint="eastAsia"/>
          <w:lang w:val="en-US" w:eastAsia="zh-CN"/>
        </w:rPr>
        <w:t>内部审核</w:t>
      </w:r>
      <w:bookmarkEnd w:id="61"/>
    </w:p>
    <w:p>
      <w:pPr>
        <w:pStyle w:val="a1"/>
        <w:rPr>
          <w:rFonts w:hint="eastAsia"/>
          <w:lang w:val="en-US" w:eastAsia="zh-CN"/>
        </w:rPr>
      </w:pPr>
      <w:r>
        <w:rPr>
          <w:rFonts w:hint="eastAsia"/>
          <w:lang w:val="en-US" w:eastAsia="zh-CN"/>
        </w:rPr>
        <w:t>产品产品质量部每年度至少组织一次覆盖公司全范围的运维服务管理体系内部审核活动，审核范围应覆盖人员、资源、技术、过程、交付、应急六大能力域；内审员不得审核本部门，审核依据包括ITSS标准、GB/T 28827.1、公司相关制度、SLA协议、客户需求及法律法规；审核结束后，内审组长编写《内部审核报告》，报总经理审批后发放至相关受审部门。</w:t>
      </w:r>
    </w:p>
    <w:p>
      <w:pPr>
        <w:pStyle w:val="3"/>
        <w:bidi w:val="0"/>
        <w:rPr>
          <w:rFonts w:hint="eastAsia"/>
          <w:lang w:val="en-US" w:eastAsia="zh-CN"/>
        </w:rPr>
      </w:pPr>
      <w:bookmarkStart w:id="62" w:name="_Toc10449"/>
      <w:r>
        <w:rPr>
          <w:rFonts w:hint="eastAsia"/>
          <w:lang w:val="en-US" w:eastAsia="zh-CN"/>
        </w:rPr>
        <w:t>管理评审</w:t>
      </w:r>
      <w:bookmarkEnd w:id="62"/>
    </w:p>
    <w:p>
      <w:pPr>
        <w:pStyle w:val="a1"/>
        <w:rPr>
          <w:rFonts w:hint="eastAsia"/>
          <w:lang w:val="en-US" w:eastAsia="zh-CN"/>
        </w:rPr>
      </w:pPr>
      <w:r>
        <w:rPr>
          <w:rFonts w:hint="eastAsia"/>
          <w:lang w:val="en-US" w:eastAsia="zh-CN"/>
        </w:rPr>
        <w:t>总经理每年至少主持一次管理评审会议，一般在内部审核结束后一个月内进行；管理评审输入包括内审结果、外审结果、客户满意度调查报告、KPI达成情况、交付情况、应急情况、技术发展、资源状况、人员状况等；管理评审输出包括管理体系适宜性、充分性和有效性的总体评价，体系改进方向和重点，具体改进决议事项，资源配置需求，下一年度运维服务目标建议；产品产品质量部根据评审决议编写《管理评审报告》，经总经理批准后发放至各相关部门。</w:t>
      </w:r>
    </w:p>
    <w:p>
      <w:pPr>
        <w:pStyle w:val="3"/>
        <w:bidi w:val="0"/>
        <w:rPr>
          <w:rFonts w:hint="eastAsia"/>
          <w:lang w:val="en-US" w:eastAsia="zh-CN"/>
        </w:rPr>
      </w:pPr>
      <w:bookmarkStart w:id="63" w:name="_Toc1974"/>
      <w:r>
        <w:rPr>
          <w:rFonts w:hint="eastAsia"/>
          <w:lang w:val="en-US" w:eastAsia="zh-CN"/>
        </w:rPr>
        <w:t>客户满意度管理</w:t>
      </w:r>
      <w:bookmarkEnd w:id="63"/>
    </w:p>
    <w:p>
      <w:pPr>
        <w:pStyle w:val="a1"/>
        <w:rPr>
          <w:rFonts w:hint="eastAsia"/>
          <w:lang w:val="en-US" w:eastAsia="zh-CN"/>
        </w:rPr>
      </w:pPr>
      <w:r>
        <w:rPr>
          <w:rFonts w:hint="eastAsia"/>
          <w:lang w:val="en-US" w:eastAsia="zh-CN"/>
        </w:rPr>
        <w:t>产品产品质量部每年度至少组织一次组织级客户满意度调查，采用问卷填写方式，调查内容与SLA内容相一致，覆盖所有运维服务客户；调查维度包括响应速度、服务态度、技术水平、交付质量、应急响应、沟通协调、总体评价；产品产品质量部根据调查反馈数据进行分析总结，编写《客户满意度调查分析报告》，提出服务改进建议。</w:t>
      </w:r>
    </w:p>
    <w:p>
      <w:pPr>
        <w:pStyle w:val="a1"/>
        <w:rPr>
          <w:rFonts w:hint="eastAsia"/>
          <w:lang w:val="en-US" w:eastAsia="zh-CN"/>
        </w:rPr>
      </w:pPr>
      <w:r>
        <w:rPr>
          <w:rFonts w:hint="eastAsia"/>
          <w:lang w:val="en-US" w:eastAsia="zh-CN"/>
        </w:rPr>
        <w:t>KPI指标：</w:t>
      </w:r>
    </w:p>
    <w:p>
      <w:pPr>
        <w:pStyle w:val="a1"/>
        <w:numPr>
          <w:ilvl w:val="0"/>
          <w:numId w:val="13"/>
        </w:numPr>
        <w:ind w:left="425" w:hanging="425" w:leftChars="0" w:firstLineChars="0"/>
        <w:rPr>
          <w:rFonts w:hint="eastAsia"/>
          <w:lang w:val="en-US" w:eastAsia="zh-CN"/>
        </w:rPr>
      </w:pPr>
      <w:r>
        <w:rPr>
          <w:rFonts w:hint="eastAsia"/>
          <w:lang w:val="en-US" w:eastAsia="zh-CN"/>
        </w:rPr>
        <w:t>内审次数</w:t>
      </w:r>
    </w:p>
    <w:p>
      <w:pPr>
        <w:pStyle w:val="a1"/>
        <w:rPr>
          <w:rFonts w:hint="eastAsia"/>
          <w:lang w:val="en-US" w:eastAsia="zh-CN"/>
        </w:rPr>
      </w:pPr>
      <w:r>
        <w:rPr>
          <w:rFonts w:hint="eastAsia"/>
          <w:lang w:val="en-US" w:eastAsia="zh-CN"/>
        </w:rPr>
        <w:t>内审次数是反映内部审核执行情况的量化指标。计算方式为：内审报告数量统计。目标值为≥1次，按年度进行考核，责任部门为产品产品质量部。</w:t>
      </w:r>
    </w:p>
    <w:p>
      <w:pPr>
        <w:pStyle w:val="a1"/>
        <w:numPr>
          <w:ilvl w:val="0"/>
          <w:numId w:val="13"/>
        </w:numPr>
        <w:ind w:left="425" w:hanging="425" w:leftChars="0" w:firstLineChars="0"/>
        <w:rPr>
          <w:rFonts w:hint="eastAsia"/>
          <w:lang w:val="en-US" w:eastAsia="zh-CN"/>
        </w:rPr>
      </w:pPr>
      <w:r>
        <w:rPr>
          <w:rFonts w:hint="eastAsia"/>
          <w:lang w:val="en-US" w:eastAsia="zh-CN"/>
        </w:rPr>
        <w:t>管评次数</w:t>
      </w:r>
    </w:p>
    <w:p>
      <w:pPr>
        <w:pStyle w:val="a1"/>
        <w:rPr>
          <w:rFonts w:hint="eastAsia"/>
          <w:lang w:val="en-US" w:eastAsia="zh-CN"/>
        </w:rPr>
      </w:pPr>
      <w:r>
        <w:rPr>
          <w:rFonts w:hint="eastAsia"/>
          <w:lang w:val="en-US" w:eastAsia="zh-CN"/>
        </w:rPr>
        <w:t>管评次数是反映管理评审执行情况的量化指标。计算方式为：管评报告数量统计。目标值为≥1次，按年度进行考核，责任部门为产品产品质量部。</w:t>
      </w:r>
    </w:p>
    <w:p>
      <w:pPr>
        <w:pStyle w:val="a1"/>
        <w:numPr>
          <w:ilvl w:val="0"/>
          <w:numId w:val="13"/>
        </w:numPr>
        <w:ind w:left="425" w:hanging="425" w:leftChars="0" w:firstLineChars="0"/>
        <w:rPr>
          <w:rFonts w:hint="eastAsia"/>
          <w:lang w:val="en-US" w:eastAsia="zh-CN"/>
        </w:rPr>
      </w:pPr>
      <w:r>
        <w:rPr>
          <w:rFonts w:hint="eastAsia"/>
          <w:lang w:val="en-US" w:eastAsia="zh-CN"/>
        </w:rPr>
        <w:t>客户投诉数量</w:t>
      </w:r>
    </w:p>
    <w:p>
      <w:pPr>
        <w:pStyle w:val="a1"/>
        <w:rPr>
          <w:rFonts w:hint="eastAsia"/>
          <w:lang w:val="en-US" w:eastAsia="zh-CN"/>
        </w:rPr>
      </w:pPr>
      <w:r>
        <w:rPr>
          <w:rFonts w:hint="eastAsia"/>
          <w:lang w:val="en-US" w:eastAsia="zh-CN"/>
        </w:rPr>
        <w:t>客户投诉数量是反映客户满意度的量化指标。计算方式为：服务台收到的客户投诉的数量统计。目标值为≤2次，按年度进行考核，责任部门为质量</w:t>
      </w:r>
      <w:bookmarkStart w:id="64" w:name="_GoBack"/>
      <w:bookmarkEnd w:id="64"/>
      <w:r>
        <w:rPr>
          <w:rFonts w:hint="eastAsia"/>
          <w:lang w:val="en-US" w:eastAsia="zh-CN"/>
        </w:rPr>
        <w:t>。</w:t>
      </w:r>
    </w:p>
    <w:p>
      <w:pPr>
        <w:pStyle w:val="a1"/>
        <w:numPr>
          <w:ilvl w:val="0"/>
          <w:numId w:val="13"/>
        </w:numPr>
        <w:ind w:left="425" w:hanging="425" w:leftChars="0" w:firstLineChars="0"/>
        <w:rPr>
          <w:rFonts w:hint="eastAsia"/>
          <w:lang w:val="en-US" w:eastAsia="zh-CN"/>
        </w:rPr>
      </w:pPr>
      <w:r>
        <w:rPr>
          <w:rFonts w:hint="eastAsia"/>
          <w:lang w:val="en-US" w:eastAsia="zh-CN"/>
        </w:rPr>
        <w:t>满意度得分</w:t>
      </w:r>
    </w:p>
    <w:p>
      <w:pPr>
        <w:pStyle w:val="a1"/>
        <w:rPr>
          <w:rFonts w:hint="eastAsia"/>
          <w:lang w:val="en-US" w:eastAsia="zh-CN"/>
        </w:rPr>
      </w:pPr>
      <w:r>
        <w:rPr>
          <w:rFonts w:hint="eastAsia"/>
          <w:lang w:val="en-US" w:eastAsia="zh-CN"/>
        </w:rPr>
        <w:t>满意度得分是反映客户对运维服务整体满意程度的量化指标，其计算公式为：满意度得分 = 满意度得分总和 / 满意度调查客户数。目标值为≥95分，按年度进行考核，责任部门为产品产品质量部。</w:t>
      </w:r>
    </w:p>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B21FF5E"/>
    <w:multiLevelType w:val="singleLevel"/>
    <w:tmpl w:val="8B21FF5E"/>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C4E6598"/>
    <w:multiLevelType w:val="singleLevel"/>
    <w:tmpl w:val="BC4E6598"/>
    <w:lvl w:ilvl="0">
      <w:start w:val="1"/>
      <w:numFmt w:val="decimal"/>
      <w:lvlText w:val="%1."/>
      <w:lvlJc w:val="left"/>
      <w:pPr>
        <w:ind w:left="425" w:hanging="425"/>
      </w:pPr>
      <w:rPr>
        <w:rFonts w:hint="default"/>
      </w:rPr>
    </w:lvl>
  </w:abstractNum>
  <w:abstractNum w:abstractNumId="3">
    <w:nsid w:val="BD3CB2BC"/>
    <w:multiLevelType w:val="singleLevel"/>
    <w:tmpl w:val="BD3CB2BC"/>
    <w:lvl w:ilvl="0">
      <w:start w:val="1"/>
      <w:numFmt w:val="decimal"/>
      <w:lvlText w:val="%1."/>
      <w:lvlJc w:val="left"/>
      <w:pPr>
        <w:ind w:left="425" w:hanging="425"/>
      </w:pPr>
      <w:rPr>
        <w:rFonts w:hint="default"/>
      </w:rPr>
    </w:lvl>
  </w:abstractNum>
  <w:abstractNum w:abstractNumId="4">
    <w:nsid w:val="C8F36CFC"/>
    <w:multiLevelType w:val="singleLevel"/>
    <w:tmpl w:val="C8F36CFC"/>
    <w:lvl w:ilvl="0">
      <w:start w:val="1"/>
      <w:numFmt w:val="decimal"/>
      <w:lvlText w:val="%1."/>
      <w:lvlJc w:val="left"/>
      <w:pPr>
        <w:ind w:left="425" w:hanging="425"/>
      </w:pPr>
      <w:rPr>
        <w:rFonts w:hint="default"/>
      </w:rPr>
    </w:lvl>
  </w:abstractNum>
  <w:abstractNum w:abstractNumId="5">
    <w:nsid w:val="D19F490F"/>
    <w:multiLevelType w:val="singleLevel"/>
    <w:tmpl w:val="D19F490F"/>
    <w:lvl w:ilvl="0">
      <w:start w:val="1"/>
      <w:numFmt w:val="decimal"/>
      <w:lvlText w:val="%1."/>
      <w:lvlJc w:val="left"/>
      <w:pPr>
        <w:ind w:left="425" w:hanging="425"/>
      </w:pPr>
      <w:rPr>
        <w:rFonts w:hint="default"/>
      </w:rPr>
    </w:lvl>
  </w:abstractNum>
  <w:abstractNum w:abstractNumId="6">
    <w:nsid w:val="DCF153B7"/>
    <w:multiLevelType w:val="singleLevel"/>
    <w:tmpl w:val="DCF153B7"/>
    <w:lvl w:ilvl="0">
      <w:start w:val="1"/>
      <w:numFmt w:val="decimal"/>
      <w:lvlText w:val="%1."/>
      <w:lvlJc w:val="left"/>
      <w:pPr>
        <w:ind w:left="425" w:hanging="425"/>
      </w:pPr>
      <w:rPr>
        <w:rFonts w:hint="default"/>
      </w:rPr>
    </w:lvl>
  </w:abstractNum>
  <w:abstractNum w:abstractNumId="7">
    <w:nsid w:val="037B62C4"/>
    <w:multiLevelType w:val="singleLevel"/>
    <w:tmpl w:val="037B62C4"/>
    <w:lvl w:ilvl="0">
      <w:start w:val="1"/>
      <w:numFmt w:val="decimal"/>
      <w:lvlText w:val="%1."/>
      <w:lvlJc w:val="left"/>
      <w:pPr>
        <w:ind w:left="425" w:hanging="425"/>
      </w:pPr>
      <w:rPr>
        <w:rFonts w:hint="default"/>
      </w:rPr>
    </w:lvl>
  </w:abstractNum>
  <w:abstractNum w:abstractNumId="8">
    <w:nsid w:val="049F18A2"/>
    <w:multiLevelType w:val="singleLevel"/>
    <w:tmpl w:val="049F18A2"/>
    <w:lvl w:ilvl="0">
      <w:start w:val="1"/>
      <w:numFmt w:val="decimal"/>
      <w:lvlText w:val="%1."/>
      <w:lvlJc w:val="left"/>
      <w:pPr>
        <w:ind w:left="425" w:hanging="425"/>
      </w:pPr>
      <w:rPr>
        <w:rFonts w:hint="default"/>
      </w:rPr>
    </w:lvl>
  </w:abstractNum>
  <w:abstractNum w:abstractNumId="9">
    <w:nsid w:val="15FDC934"/>
    <w:multiLevelType w:val="singleLevel"/>
    <w:tmpl w:val="15FDC934"/>
    <w:lvl w:ilvl="0">
      <w:start w:val="1"/>
      <w:numFmt w:val="decimal"/>
      <w:lvlText w:val="%1."/>
      <w:lvlJc w:val="left"/>
      <w:pPr>
        <w:ind w:left="425" w:hanging="425"/>
      </w:pPr>
      <w:rPr>
        <w:rFonts w:hint="default"/>
      </w:rPr>
    </w:lvl>
  </w:abstractNum>
  <w:abstractNum w:abstractNumId="10">
    <w:nsid w:val="2209B528"/>
    <w:multiLevelType w:val="singleLevel"/>
    <w:tmpl w:val="2209B528"/>
    <w:lvl w:ilvl="0">
      <w:start w:val="1"/>
      <w:numFmt w:val="decimal"/>
      <w:lvlText w:val="%1."/>
      <w:lvlJc w:val="left"/>
      <w:pPr>
        <w:ind w:left="425" w:hanging="425"/>
      </w:pPr>
      <w:rPr>
        <w:rFonts w:hint="default"/>
      </w:rPr>
    </w:lvl>
  </w:abstractNum>
  <w:abstractNum w:abstractNumId="11">
    <w:nsid w:val="6174B873"/>
    <w:multiLevelType w:val="singleLevel"/>
    <w:tmpl w:val="6174B873"/>
    <w:lvl w:ilvl="0">
      <w:start w:val="1"/>
      <w:numFmt w:val="decimal"/>
      <w:lvlText w:val="%1."/>
      <w:lvlJc w:val="left"/>
      <w:pPr>
        <w:ind w:left="425" w:hanging="425"/>
      </w:pPr>
      <w:rPr>
        <w:rFonts w:hint="default"/>
      </w:rPr>
    </w:lvl>
  </w:abstractNum>
  <w:abstractNum w:abstractNumId="12">
    <w:nsid w:val="6C675FB8"/>
    <w:multiLevelType w:val="singleLevel"/>
    <w:tmpl w:val="6C675FB8"/>
    <w:lvl w:ilvl="0">
      <w:start w:val="1"/>
      <w:numFmt w:val="decimal"/>
      <w:lvlText w:val="%1."/>
      <w:lvlJc w:val="left"/>
      <w:pPr>
        <w:ind w:left="425" w:hanging="425"/>
      </w:pPr>
      <w:rPr>
        <w:rFonts w:hint="default"/>
      </w:rPr>
    </w:lvl>
  </w:abstractNum>
  <w:num w:numId="1">
    <w:abstractNumId w:val="1"/>
  </w:num>
  <w:num w:numId="2">
    <w:abstractNumId w:val="6"/>
  </w:num>
  <w:num w:numId="3">
    <w:abstractNumId w:val="10"/>
  </w:num>
  <w:num w:numId="4">
    <w:abstractNumId w:val="11"/>
  </w:num>
  <w:num w:numId="5">
    <w:abstractNumId w:val="5"/>
  </w:num>
  <w:num w:numId="6">
    <w:abstractNumId w:val="8"/>
  </w:num>
  <w:num w:numId="7">
    <w:abstractNumId w:val="3"/>
  </w:num>
  <w:num w:numId="8">
    <w:abstractNumId w:val="4"/>
  </w:num>
  <w:num w:numId="9">
    <w:abstractNumId w:val="2"/>
  </w:num>
  <w:num w:numId="10">
    <w:abstractNumId w:val="9"/>
  </w:num>
  <w:num w:numId="11">
    <w:abstractNumId w:val="0"/>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29</Pages>
  <Words>2527</Words>
  <Characters>2996</Characters>
  <Application>Microsoft Office Word</Application>
  <DocSecurity>0</DocSecurity>
  <Lines>0</Lines>
  <Paragraphs>0</Paragraphs>
  <ScaleCrop>false</ScaleCrop>
  <Company/>
  <LinksUpToDate>false</LinksUpToDate>
  <CharactersWithSpaces>3268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2026-04-09T16:56:09Z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