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运维服务投诉管理制度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HFSJ-ITSS-0407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熊振翔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熊振翔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5420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_Toc2266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_Toc28460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_Toc8486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服务台</w:t>
          </w:r>
          <w:r>
            <w:tab/>
          </w:r>
          <w:r>
            <w:fldChar w:fldCharType="begin"/>
          </w:r>
          <w:r>
            <w:instrText xml:space="preserve"> PAGEREF _Toc21332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产品产品质量部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被投诉部门/个人</w:t>
          </w:r>
          <w:r>
            <w:tab/>
          </w:r>
          <w:r>
            <w:fldChar w:fldCharType="begin"/>
          </w:r>
          <w:r>
            <w:instrText xml:space="preserve"> PAGEREF _Toc8347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投诉处理流程</w:t>
          </w:r>
          <w:r>
            <w:tab/>
          </w:r>
          <w:r>
            <w:fldChar w:fldCharType="begin"/>
          </w:r>
          <w:r>
            <w:instrText xml:space="preserve"> PAGEREF _Toc16566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投诉受理</w:t>
          </w:r>
          <w:r>
            <w:tab/>
          </w:r>
          <w:r>
            <w:fldChar w:fldCharType="begin"/>
          </w:r>
          <w:r>
            <w:instrText xml:space="preserve"> PAGEREF _Toc14677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投诉调查与分析</w:t>
          </w:r>
          <w:r>
            <w:tab/>
          </w:r>
          <w:r>
            <w:fldChar w:fldCharType="begin"/>
          </w:r>
          <w:r>
            <w:instrText xml:space="preserve"> PAGEREF _Toc7892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投诉处理</w:t>
          </w:r>
          <w:r>
            <w:tab/>
          </w:r>
          <w:r>
            <w:fldChar w:fldCharType="begin"/>
          </w:r>
          <w:r>
            <w:instrText xml:space="preserve"> PAGEREF _Toc12719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投诉回访及关闭</w:t>
          </w:r>
          <w:r>
            <w:tab/>
          </w:r>
          <w:r>
            <w:fldChar w:fldCharType="begin"/>
          </w:r>
          <w:r>
            <w:instrText xml:space="preserve"> PAGEREF _Toc23240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4.5. 持续改进</w:t>
          </w:r>
          <w:r>
            <w:tab/>
          </w:r>
          <w:r>
            <w:fldChar w:fldCharType="begin"/>
          </w:r>
          <w:r>
            <w:instrText xml:space="preserve"> PAGEREF _Toc30573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投诉升级机制</w:t>
          </w:r>
          <w:r>
            <w:tab/>
          </w:r>
          <w:r>
            <w:fldChar w:fldCharType="begin"/>
          </w:r>
          <w:r>
            <w:instrText xml:space="preserve"> PAGEREF _Toc25309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投诉分析与改进</w:t>
          </w:r>
          <w:r>
            <w:tab/>
          </w:r>
          <w:r>
            <w:fldChar w:fldCharType="begin"/>
          </w:r>
          <w:r>
            <w:instrText xml:space="preserve"> PAGEREF _Toc225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月度投诉分析</w:t>
          </w:r>
          <w:r>
            <w:tab/>
          </w:r>
          <w:r>
            <w:fldChar w:fldCharType="begin"/>
          </w:r>
          <w:r>
            <w:instrText xml:space="preserve"> PAGEREF _Toc22663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季度投诉总结</w:t>
          </w:r>
          <w:r>
            <w:tab/>
          </w:r>
          <w:r>
            <w:fldChar w:fldCharType="begin"/>
          </w:r>
          <w:r>
            <w:instrText xml:space="preserve"> PAGEREF _Toc1138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投诉与改进联动</w:t>
          </w:r>
          <w:r>
            <w:tab/>
          </w:r>
          <w:r>
            <w:fldChar w:fldCharType="begin"/>
          </w:r>
          <w:r>
            <w:instrText xml:space="preserve"> PAGEREF _Toc20555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输出的文件和记录</w:t>
          </w:r>
          <w:r>
            <w:tab/>
          </w:r>
          <w:r>
            <w:fldChar w:fldCharType="begin"/>
          </w:r>
          <w:r>
            <w:instrText xml:space="preserve"> PAGEREF _Toc1376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_Toc15182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投诉级别</w:t>
      </w:r>
      <w:r>
        <w:rPr>
          <w:rFonts w:hint="default"/>
          <w:lang w:val="en-US" w:eastAsia="zh-CN"/>
        </w:rPr>
        <w:t>表</w:t>
      </w:r>
      <w:r>
        <w:tab/>
      </w:r>
      <w:r>
        <w:fldChar w:fldCharType="begin"/>
      </w:r>
      <w:r>
        <w:instrText xml:space="preserve"> PAGEREF _Toc15182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_Toc1903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_Toc1903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  <w:bookmarkStart w:id="1" w:name="_Toc2266"/>
      <w:bookmarkStart w:id="2" w:name="_Toc7436"/>
      <w:r>
        <w:rPr>
          <w:rFonts w:hint="default"/>
          <w:lang w:val="en-US" w:eastAsia="zh-CN"/>
        </w:rPr>
        <w:t>目的</w:t>
      </w:r>
      <w:bookmarkEnd w:id="1"/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本制度旨在确保华风数据(深圳)有限公司（以下简称“公司”）的客户投诉得到快速、有效处理和回复，及时消除客户抱怨，提高运维服务质量，提升客户满意度。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441"/>
      <w:bookmarkStart w:id="4" w:name="_Toc28460"/>
      <w:r>
        <w:rPr>
          <w:rFonts w:hint="default"/>
          <w:lang w:val="en-US" w:eastAsia="zh-CN"/>
        </w:rPr>
        <w:t>范围</w:t>
      </w:r>
      <w:bookmarkEnd w:id="3"/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本制度适用于涉及客户投诉处理的所有部门和个人，覆盖所有运维服务客户及相关服务环节。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8486"/>
      <w:bookmarkStart w:id="6" w:name="_Toc17823"/>
      <w:r>
        <w:rPr>
          <w:rFonts w:hint="default"/>
          <w:lang w:val="en-US" w:eastAsia="zh-CN"/>
        </w:rPr>
        <w:t>职责</w:t>
      </w:r>
      <w:bookmarkEnd w:id="5"/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1332"/>
      <w:bookmarkStart w:id="8" w:name="_Toc13528"/>
      <w:r>
        <w:rPr>
          <w:rFonts w:hint="default"/>
          <w:lang w:val="en-US" w:eastAsia="zh-CN"/>
        </w:rPr>
        <w:t>服务台</w:t>
      </w:r>
      <w:bookmarkEnd w:id="7"/>
      <w:bookmarkEnd w:id="8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负责接收客户投诉，填写《客户投诉及处理记录表》。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对投诉进行初步分类和登记，记录投诉时间、投诉人、投诉内容等基本信息。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将《客户投诉及处理记录表》及时转交产品产品质量部和被投诉部门/个人。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关注客户对投诉处理结果的反馈，记录反馈结果。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跟踪投诉处理进度，直至投诉关闭。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负责投诉处理完成后的回访工作。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7501"/>
      <w:bookmarkStart w:id="10" w:name="_Toc16292"/>
      <w:r>
        <w:rPr>
          <w:rFonts w:hint="default"/>
          <w:lang w:val="en-US" w:eastAsia="zh-CN"/>
        </w:rPr>
        <w:t>产品产品质量部</w:t>
      </w:r>
      <w:bookmarkEnd w:id="9"/>
      <w:bookmarkEnd w:id="1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负责本制度的制定、解释和修订。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组织相关部门对客户投诉进行调查处理。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负责监督被投诉部门/个人的处理进度。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对投诉处理结果进行验证和评估。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对投诉处理后的客户进行满意度回访（可与服务台协同）。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定期统计分析投诉数据，识别共性问题，纳入改进流程。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将投诉处理结果作为管理评审的输入。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8347"/>
      <w:bookmarkStart w:id="12" w:name="_Toc5232"/>
      <w:r>
        <w:rPr>
          <w:rFonts w:hint="default"/>
          <w:lang w:val="en-US" w:eastAsia="zh-CN"/>
        </w:rPr>
        <w:t>被投诉部门/个人</w:t>
      </w:r>
      <w:bookmarkEnd w:id="11"/>
      <w:bookmarkEnd w:id="1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与客户沟通，调查和处理客户的投诉。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核实客户投诉内容，记录调查情况。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分析客户投诉的原因，提出改进办法和措施。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为客户重新提供符合要求的服务，必要时进行赔礼道歉和补偿。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将处理结果及时反馈给产品产品质量部和服务台。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填写《客户投诉及处理记录表》中的处理结果部分。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吸取经验教训，防止同类投诉再次发生。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16566"/>
      <w:bookmarkStart w:id="14" w:name="_Toc9669"/>
      <w:r>
        <w:rPr>
          <w:rFonts w:hint="default"/>
          <w:lang w:val="en-US" w:eastAsia="zh-CN"/>
        </w:rPr>
        <w:t>投诉处理流程</w:t>
      </w:r>
      <w:bookmarkEnd w:id="13"/>
      <w:bookmarkEnd w:id="14"/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3514"/>
      <w:bookmarkStart w:id="16" w:name="_Toc14677"/>
      <w:r>
        <w:rPr>
          <w:rFonts w:hint="default"/>
          <w:lang w:val="en-US" w:eastAsia="zh-CN"/>
        </w:rPr>
        <w:t>投诉受理</w:t>
      </w:r>
      <w:bookmarkEnd w:id="15"/>
      <w:bookmarkEnd w:id="1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公司设立以下投诉受理渠道，确保客户投诉能够及时接收：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投诉电话：服务台专线（7×8小时）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投诉邮箱：service@tuyun.com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即时通讯：客户专属服务群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现场投诉：服务工程师现场记录并反馈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服务台接到客户投诉后，应在1小时内完成以下工作：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记录投诉时间、投诉人、联系方式、投诉内容、期望解决时间等基本信息。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对投诉进行初步分类（如：服务质量、技术水平、响应速度、服务态度等）。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填写《客户投诉及处理记录表》，并对投诉进行编号登记。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将《客户投诉及处理记录表》在1小时内转发给产品产品质量部和被投诉部门/个人。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0140"/>
      <w:bookmarkStart w:id="18" w:name="_Toc7892"/>
      <w:r>
        <w:rPr>
          <w:rFonts w:hint="default"/>
          <w:lang w:val="en-US" w:eastAsia="zh-CN"/>
        </w:rPr>
        <w:t>投诉调查与分析</w:t>
      </w:r>
      <w:bookmarkEnd w:id="17"/>
      <w:bookmarkEnd w:id="18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被投诉部门/个人收到《客户投诉及处理记录表》后，应在24小时内完成以下工作：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核实客户投诉内容，了解具体情况。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记录调查情况，包括问题发生的时间、影响范围、相关人员等。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分析客户投诉的根本原因（可采用5W1H、鱼骨图等方法）。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提出改进办法和措施，明确解决方案。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将调查分析结果和处理方案填写在《客户投诉及处理记录表》中，反馈给产品产品质量部和服务台。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2719"/>
      <w:bookmarkStart w:id="20" w:name="_Toc29879"/>
      <w:r>
        <w:rPr>
          <w:rFonts w:hint="default"/>
          <w:lang w:val="en-US" w:eastAsia="zh-CN"/>
        </w:rPr>
        <w:t>投诉处理</w:t>
      </w:r>
      <w:bookmarkEnd w:id="19"/>
      <w:bookmarkEnd w:id="2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被投诉部门/个人根据确定处理方案，在48小时内完成以下工作：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为客户重新提供符合合同要求的服务。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根据实际情况，对客户进行赔礼道歉和必要的补偿。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处理完毕后，填写《客户投诉及处理记录表》中的处理结果部分。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将处理结果反馈给产品产品质量部和服务台。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对于复杂投诉，如需延长处理时间，应提前与客户沟通，说明情况并告知预计解决时间。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19746"/>
      <w:bookmarkStart w:id="22" w:name="_Toc23240"/>
      <w:r>
        <w:rPr>
          <w:rFonts w:hint="default"/>
          <w:lang w:val="en-US" w:eastAsia="zh-CN"/>
        </w:rPr>
        <w:t>投诉回访及关闭</w:t>
      </w:r>
      <w:bookmarkEnd w:id="21"/>
      <w:bookmarkEnd w:id="2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服务台收到被投诉部门反馈的《客户投诉及处理记录表》后，应在3个工作日内完成回访：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对客户进行电话回访，询问客户对处理结果的满意程度。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记录客户反馈意见，包括：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对投诉处理结果的满意程度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对处理速度的满意程度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对服务态度的满意程度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意见和建议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如客户对结果满意，将投诉状态标记为“已关闭”。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如客户对结果不满意，则：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询问客户改进建议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将客户意见反馈给产品产品质量部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重新启动调查处理流程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13150"/>
      <w:bookmarkStart w:id="24" w:name="_Toc30573"/>
      <w:r>
        <w:rPr>
          <w:rFonts w:hint="default"/>
          <w:lang w:val="en-US" w:eastAsia="zh-CN"/>
        </w:rPr>
        <w:t>持续改进</w:t>
      </w:r>
      <w:bookmarkEnd w:id="23"/>
      <w:bookmarkEnd w:id="24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产品产品质量部根据投诉处理结果，可对被投诉部门/个人的处理措施提出合理建议，要求其改进。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被投诉部门/个人应吸取经验教训，针对客户投诉情况进行改进，防止此类投诉再次发生。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产品产品质量部定期分析投诉数据，识别共性问题和改进机会，纳入改进管理流程。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5" w:name="_Toc26150"/>
      <w:bookmarkStart w:id="26" w:name="_Toc25309"/>
      <w:r>
        <w:rPr>
          <w:rFonts w:hint="default"/>
          <w:lang w:val="en-US" w:eastAsia="zh-CN"/>
        </w:rPr>
        <w:t>投诉升级机制</w:t>
      </w:r>
      <w:bookmarkEnd w:id="25"/>
      <w:bookmarkEnd w:id="26"/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根据投诉的严重程度和影响范围，实行分级处理机制</w:t>
      </w:r>
      <w:r>
        <w:rPr>
          <w:rFonts w:hint="eastAsia"/>
          <w:lang w:val="en-US" w:eastAsia="zh-CN"/>
        </w:rPr>
        <w:t>，诉讼级别如表5-1所示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7" w:name="_Toc15182"/>
      <w:r>
        <w:rPr>
          <w:rFonts w:hint="eastAsia"/>
          <w:lang w:val="en-US" w:eastAsia="zh-CN"/>
        </w:rPr>
        <w:t xml:space="preserve"> 投诉级别</w:t>
      </w:r>
      <w:r>
        <w:rPr>
          <w:rFonts w:hint="default"/>
          <w:lang w:val="en-US" w:eastAsia="zh-CN"/>
        </w:rPr>
        <w:t>表</w:t>
      </w:r>
      <w:bookmarkEnd w:id="2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8"/>
        <w:gridCol w:w="3026"/>
        <w:gridCol w:w="2420"/>
        <w:gridCol w:w="194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2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投诉级别</w:t>
            </w:r>
          </w:p>
        </w:tc>
        <w:tc>
          <w:tcPr>
            <w:tcW w:w="302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</w:t>
            </w:r>
          </w:p>
        </w:tc>
        <w:tc>
          <w:tcPr>
            <w:tcW w:w="24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处理要求</w:t>
            </w:r>
          </w:p>
        </w:tc>
        <w:tc>
          <w:tcPr>
            <w:tcW w:w="19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三级投诉</w:t>
            </w:r>
          </w:p>
        </w:tc>
        <w:tc>
          <w:tcPr>
            <w:tcW w:w="30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一般性问题，对客户影响较小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按正常流程处理，24小时内响应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被投诉部门/个人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二级投诉</w:t>
            </w:r>
          </w:p>
        </w:tc>
        <w:tc>
          <w:tcPr>
            <w:tcW w:w="30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服务质量问题，对客户造成一定影响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产品产品质量部介入监督，加快处理进度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产品产品质量部、被投诉部门负责人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一级投诉</w:t>
            </w:r>
          </w:p>
        </w:tc>
        <w:tc>
          <w:tcPr>
            <w:tcW w:w="30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重大服务问题，影响客户业务，或客户强烈不满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立即上报管理层，成立专项处理小组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管理层、产品产品质量部、运维部经理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升级触发条件：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同一问题投诉2次以上，自动升级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客户要求高层介入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投诉涉及重大安全隐患或业务中断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投诉超过48小时未解决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8" w:name="_Toc16779"/>
      <w:bookmarkStart w:id="29" w:name="_Toc225"/>
      <w:r>
        <w:rPr>
          <w:rFonts w:hint="default"/>
          <w:lang w:val="en-US" w:eastAsia="zh-CN"/>
        </w:rPr>
        <w:t>投诉分析与改进</w:t>
      </w:r>
      <w:bookmarkEnd w:id="28"/>
      <w:bookmarkEnd w:id="29"/>
    </w:p>
    <w:p>
      <w:pPr>
        <w:pStyle w:val="2"/>
        <w:bidi w:val="0"/>
        <w:rPr>
          <w:rFonts w:hint="default"/>
          <w:lang w:val="en-US" w:eastAsia="zh-CN"/>
        </w:rPr>
      </w:pPr>
      <w:bookmarkStart w:id="30" w:name="_Toc10129"/>
      <w:bookmarkStart w:id="31" w:name="_Toc22663"/>
      <w:r>
        <w:rPr>
          <w:rFonts w:hint="default"/>
          <w:lang w:val="en-US" w:eastAsia="zh-CN"/>
        </w:rPr>
        <w:t>月度投诉分析</w:t>
      </w:r>
      <w:bookmarkEnd w:id="30"/>
      <w:bookmarkEnd w:id="31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产品产品质量部每月对客户投诉进行统计分析，内容包括：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投诉总数及分类分布（按类型、按部门、按级别）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投诉处理及时率（24小时内响应率、48小时内解决率）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投诉处理满意度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典型投诉案例分析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共性问题和改进建议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分析结果纳入《月度质量简报》。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2" w:name="_Toc21135"/>
      <w:bookmarkStart w:id="33" w:name="_Toc1138"/>
      <w:r>
        <w:rPr>
          <w:rFonts w:hint="default"/>
          <w:lang w:val="en-US" w:eastAsia="zh-CN"/>
        </w:rPr>
        <w:t>季度投诉总结</w:t>
      </w:r>
      <w:bookmarkEnd w:id="32"/>
      <w:bookmarkEnd w:id="33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产品产品质量部每季度编制《投诉分析季度报告》，内容包括：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本季度投诉趋势分析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主要问题及根本原因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改进措施及效果验证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下季度改进重点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报告提交管理层审阅。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4" w:name="_Toc10584"/>
      <w:bookmarkStart w:id="35" w:name="_Toc20555"/>
      <w:r>
        <w:rPr>
          <w:rFonts w:hint="default"/>
          <w:lang w:val="en-US" w:eastAsia="zh-CN"/>
        </w:rPr>
        <w:t>投诉与改进联动</w:t>
      </w:r>
      <w:bookmarkEnd w:id="34"/>
      <w:bookmarkEnd w:id="35"/>
    </w:p>
    <w:p>
      <w:pPr>
        <w:pStyle w:val="a3"/>
        <w:bidi w:val="0"/>
        <w:rPr>
          <w:rFonts w:hint="default"/>
          <w:lang w:val="en-US" w:eastAsia="zh-CN"/>
        </w:rPr>
      </w:pPr>
      <w:bookmarkStart w:id="36" w:name="_GoBack"/>
      <w:r>
        <w:rPr>
          <w:rFonts w:hint="default"/>
          <w:lang w:val="en-US" w:eastAsia="zh-CN"/>
        </w:rPr>
        <w:t>投诉分析中识别的共性问题，纳入《质量改进管理制度》的改进项管理。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重大投诉的处理经验，纳入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，作为培训和案例分享素材。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投诉处理结果作为人员绩效考核的参考依据。</w:t>
      </w:r>
    </w:p>
    <w:p>
      <w:pPr>
        <w:pStyle w:val="1"/>
        <w:bidi w:val="0"/>
        <w:rPr>
          <w:rFonts w:hint="default"/>
          <w:lang w:val="en-US" w:eastAsia="zh-CN"/>
        </w:rPr>
      </w:pPr>
      <w:bookmarkEnd w:id="36"/>
      <w:bookmarkStart w:id="37" w:name="_Toc4324"/>
      <w:bookmarkStart w:id="38" w:name="_Toc25596"/>
      <w:bookmarkStart w:id="39" w:name="_Toc1376"/>
      <w:r>
        <w:rPr>
          <w:rFonts w:hint="default"/>
          <w:lang w:val="en-US" w:eastAsia="zh-CN"/>
        </w:rPr>
        <w:t>输出的文件和记录</w:t>
      </w:r>
      <w:bookmarkEnd w:id="37"/>
      <w:bookmarkEnd w:id="38"/>
      <w:bookmarkEnd w:id="3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运维诉讼</w:t>
      </w:r>
      <w:r>
        <w:rPr>
          <w:rFonts w:hint="default"/>
          <w:lang w:val="en-US" w:eastAsia="zh-CN"/>
        </w:rPr>
        <w:t>相关文件和记录如表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-1所示。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0" w:name="_Toc190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bookmarkEnd w:id="4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84"/>
        <w:gridCol w:w="2069"/>
        <w:gridCol w:w="206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438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06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6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《客户投诉及处理记录表》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《投诉整改情况反馈表》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《月度投诉分析报告》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《投诉分析季度报告》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《投诉回访记录》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《投诉升级处理记录》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2340</Words>
  <Characters>2473</Characters>
  <Application>Microsoft Office Word</Application>
  <DocSecurity>0</DocSecurity>
  <Lines>0</Lines>
  <Paragraphs>0</Paragraphs>
  <ScaleCrop>false</ScaleCrop>
  <Company/>
  <LinksUpToDate>false</LinksUpToDate>
  <CharactersWithSpaces>2557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2026-04-06T11:45:01Z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