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173" w:line="218" w:lineRule="auto"/>
        <w:ind w:left="3669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6"/>
          <w:sz w:val="30"/>
          <w:szCs w:val="30"/>
        </w:rPr>
        <w:t>不符合项报告</w:t>
      </w:r>
    </w:p>
    <w:p>
      <w:pPr>
        <w:spacing w:line="105" w:lineRule="exact"/>
      </w:pPr>
    </w:p>
    <w:tbl>
      <w:tblPr>
        <w:tblStyle w:val="TableNormal0"/>
        <w:tblW w:w="909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>
        <w:tblPrEx>
          <w:tblW w:w="9095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  <w:jc w:val="center"/>
        </w:trPr>
        <w:tc>
          <w:tcPr>
            <w:tcW w:w="2058" w:type="dxa"/>
            <w:gridSpan w:val="3"/>
          </w:tcPr>
          <w:p>
            <w:pPr>
              <w:pStyle w:val="TableText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>
            <w:pPr>
              <w:pStyle w:val="TableText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>
            <w:pPr>
              <w:pStyle w:val="TableText"/>
              <w:spacing w:before="124" w:line="225" w:lineRule="auto"/>
              <w:ind w:left="525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  <w:jc w:val="center"/>
        </w:trPr>
        <w:tc>
          <w:tcPr>
            <w:tcW w:w="2058" w:type="dxa"/>
            <w:gridSpan w:val="3"/>
          </w:tcPr>
          <w:p>
            <w:pPr>
              <w:pStyle w:val="TableText"/>
              <w:spacing w:before="203" w:line="220" w:lineRule="auto"/>
              <w:ind w:left="621"/>
            </w:pPr>
            <w:r>
              <w:rPr>
                <w:spacing w:val="-4"/>
              </w:rPr>
              <w:t>审核员</w:t>
            </w:r>
          </w:p>
        </w:tc>
        <w:tc>
          <w:tcPr>
            <w:tcW w:w="3157" w:type="dxa"/>
            <w:gridSpan w:val="2"/>
            <w:vAlign w:val="center"/>
          </w:tcPr>
          <w:p>
            <w:pPr>
              <w:pStyle w:val="TableText"/>
              <w:spacing w:before="63" w:line="274" w:lineRule="auto"/>
              <w:ind w:right="214"/>
              <w:jc w:val="center"/>
            </w:pPr>
            <w:r>
              <w:t>熊振翔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</w:tcPr>
          <w:p>
            <w:pPr>
              <w:ind w:firstLine="1050" w:firstLineChars="500"/>
              <w:rPr>
                <w:rFonts w:ascii="Arial" w:eastAsia="宋体" w:hint="default"/>
                <w:sz w:val="21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/>
          <w:jc w:val="center"/>
        </w:trPr>
        <w:tc>
          <w:tcPr>
            <w:tcW w:w="9095" w:type="dxa"/>
            <w:gridSpan w:val="9"/>
          </w:tcPr>
          <w:p>
            <w:r>
              <w:t>不符合事实陈述：</w:t>
            </w:r>
          </w:p>
          <w:p>
            <w:pPr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2025年12月16日审核运维部时，访谈运维部经理姚耿桂，并查阅2025年度运维工具管理记录，未能提供《运维工具自评估报告》或类似的效果评价记录，不符合TCESA1299-2023 7.6.1 c)条款要求要求。</w:t>
            </w:r>
          </w:p>
          <w:p>
            <w:pPr>
              <w:rPr>
                <w:rFonts w:eastAsia="宋体" w:hint="eastAsia"/>
                <w:lang w:val="en-US" w:eastAsia="zh-CN"/>
              </w:rPr>
            </w:pPr>
            <w:r>
              <w:t>审核员：熊振翔</w:t>
            </w:r>
          </w:p>
          <w:p>
            <w:r>
              <w:t>责任人确认：</w:t>
            </w:r>
            <w:r>
              <w:rPr>
                <w:rFonts w:hint="eastAsia"/>
                <w:lang w:val="en-US" w:eastAsia="zh-CN"/>
              </w:rPr>
              <w:t>姚耿桂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/>
          <w:jc w:val="center"/>
        </w:trPr>
        <w:tc>
          <w:tcPr>
            <w:tcW w:w="1461" w:type="dxa"/>
            <w:gridSpan w:val="2"/>
          </w:tcPr>
          <w:p>
            <w:pPr>
              <w:pStyle w:val="TableText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7.6.1 运维工具要求。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/>
          <w:jc w:val="center"/>
        </w:trPr>
        <w:tc>
          <w:tcPr>
            <w:tcW w:w="1461" w:type="dxa"/>
            <w:gridSpan w:val="2"/>
          </w:tcPr>
          <w:p>
            <w:pPr>
              <w:pStyle w:val="TableText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>
            <w:pPr>
              <w:pStyle w:val="TableText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>
            <w:pPr>
              <w:pStyle w:val="TableText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>
            <w:pPr>
              <w:pStyle w:val="TableText"/>
              <w:spacing w:before="136" w:line="225" w:lineRule="auto"/>
              <w:ind w:left="820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/>
          <w:jc w:val="center"/>
        </w:trPr>
        <w:tc>
          <w:tcPr>
            <w:tcW w:w="9095" w:type="dxa"/>
            <w:gridSpan w:val="9"/>
          </w:tcPr>
          <w:p>
            <w:pPr>
              <w:bidi w:val="0"/>
            </w:pPr>
            <w:r>
              <w:t>对不符合的处置：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编制《运维工具自评估报告》模板，明确评估内容、评估周期、责任人及输出要求；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完成2025年度运维工具使用效果自评估，形成《运维工具自评估报告》；</w:t>
            </w:r>
          </w:p>
          <w:p>
            <w:pPr>
              <w:bidi w:val="0"/>
            </w:pPr>
            <w:r>
              <w:rPr>
                <w:rFonts w:hint="eastAsia"/>
              </w:rPr>
              <w:t>将评估报告提交</w:t>
            </w:r>
            <w:r>
              <w:rPr>
                <w:rFonts w:hint="eastAsia"/>
                <w:lang w:val="en-US" w:eastAsia="zh-CN"/>
              </w:rPr>
              <w:t>运维部</w:t>
            </w:r>
            <w:r>
              <w:rPr>
                <w:rFonts w:hint="eastAsia"/>
              </w:rPr>
              <w:t>经理审核确认后，归档备查。</w:t>
            </w:r>
          </w:p>
          <w:p>
            <w:pPr>
              <w:bidi w:val="0"/>
            </w:pPr>
            <w:r>
              <w:t>部门承诺完成时间：2025年</w:t>
            </w:r>
            <w:r>
              <w:rPr>
                <w:rFonts w:hint="eastAsia"/>
                <w:lang w:val="en-US" w:eastAsia="zh-CN"/>
              </w:rPr>
              <w:t>12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姚耿桂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>
            <w:pPr>
              <w:pStyle w:val="TableText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>
            <w:pPr>
              <w:pStyle w:val="TableText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>
            <w:pPr>
              <w:pStyle w:val="TableText"/>
              <w:spacing w:before="62" w:line="219" w:lineRule="auto"/>
              <w:ind w:left="111"/>
            </w:pP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hint="eastAsia"/>
                <w:sz w:val="21"/>
              </w:rPr>
            </w:pPr>
            <w:r>
              <w:rPr>
                <w:rFonts w:ascii="Arial" w:hint="eastAsia"/>
                <w:sz w:val="21"/>
              </w:rPr>
              <w:t>修订《运维服务</w:t>
            </w:r>
            <w:r>
              <w:rPr>
                <w:rFonts w:ascii="Arial" w:hint="eastAsia"/>
                <w:sz w:val="21"/>
                <w:lang w:val="en-US" w:eastAsia="zh-CN"/>
              </w:rPr>
              <w:t>工具</w:t>
            </w:r>
            <w:r>
              <w:rPr>
                <w:rFonts w:ascii="Arial" w:hint="eastAsia"/>
                <w:sz w:val="21"/>
              </w:rPr>
              <w:t>管理制度》，明确运维工具效果评估的频次、内容和责任人；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hint="eastAsia"/>
                <w:sz w:val="21"/>
              </w:rPr>
            </w:pPr>
            <w:r>
              <w:rPr>
                <w:rFonts w:ascii="Arial" w:hint="eastAsia"/>
                <w:sz w:val="21"/>
              </w:rPr>
              <w:t>组织相关人员培训，确保制度要求落实；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eastAsia="宋体" w:hint="eastAsia"/>
                <w:sz w:val="21"/>
                <w:lang w:eastAsia="zh-CN"/>
              </w:rPr>
            </w:pPr>
            <w:r>
              <w:rPr>
                <w:rFonts w:hint="eastAsia"/>
              </w:rPr>
              <w:t>编制《运维工具使用效果自评估报告》的模板</w:t>
            </w:r>
            <w:r>
              <w:rPr>
                <w:rFonts w:hint="eastAsia"/>
                <w:lang w:eastAsia="zh-CN"/>
              </w:rPr>
              <w:t>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/>
                <w:sz w:val="21"/>
              </w:rPr>
            </w:pPr>
            <w:r>
              <w:rPr>
                <w:rFonts w:ascii="Arial" w:hint="eastAsia"/>
                <w:sz w:val="21"/>
              </w:rPr>
              <w:t>将工具效果评估纳入运维部例行工作，由产品产品质量部跟踪验证。</w:t>
            </w:r>
          </w:p>
          <w:p>
            <w:pPr>
              <w:pStyle w:val="TableText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lang w:val="en-US" w:eastAsia="zh-CN"/>
              </w:rPr>
              <w:t>姚耿桂</w:t>
            </w:r>
            <w:r>
              <w:rPr>
                <w:spacing w:val="-4"/>
              </w:rPr>
              <w:t xml:space="preserve">     2025年</w:t>
            </w:r>
            <w:r>
              <w:rPr>
                <w:rFonts w:hint="eastAsia"/>
                <w:spacing w:val="-4"/>
                <w:lang w:val="en-US" w:eastAsia="zh-CN"/>
              </w:rPr>
              <w:t>12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已完成2025年度运维工具使用效果自评估，形成《运维工具自评估报告》；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已完成《运维工具自评估报告》模板编制</w:t>
            </w:r>
            <w:r>
              <w:rPr>
                <w:rFonts w:hint="eastAsia"/>
                <w:spacing w:val="7"/>
                <w:lang w:eastAsia="zh-CN"/>
              </w:rPr>
              <w:t>。</w:t>
            </w:r>
          </w:p>
          <w:p>
            <w:pPr>
              <w:pStyle w:val="TableText"/>
              <w:spacing w:before="68" w:line="214" w:lineRule="auto"/>
              <w:ind w:left="110"/>
              <w:rPr>
                <w:rFonts w:eastAsia="宋体" w:hint="default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t>熊振翔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日期：2025/</w:t>
            </w:r>
            <w:r>
              <w:rPr>
                <w:rFonts w:hint="eastAsia"/>
                <w:spacing w:val="-3"/>
                <w:lang w:val="en-US" w:eastAsia="zh-CN"/>
              </w:rPr>
              <w:t>12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  <w:jc w:val="center"/>
        </w:trPr>
        <w:tc>
          <w:tcPr>
            <w:tcW w:w="934" w:type="dxa"/>
            <w:vMerge w:val="restart"/>
            <w:tcBorders>
              <w:bottom w:val="nil"/>
            </w:tcBorders>
          </w:tcPr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>
            <w:pPr>
              <w:pStyle w:val="TableText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>
            <w:pPr>
              <w:spacing w:line="28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t>熊振翔</w:t>
            </w:r>
          </w:p>
          <w:p>
            <w:pPr>
              <w:pStyle w:val="TableText"/>
              <w:spacing w:before="60" w:line="220" w:lineRule="auto"/>
              <w:ind w:left="188"/>
            </w:pPr>
            <w:r>
              <w:rPr>
                <w:spacing w:val="-8"/>
              </w:rPr>
              <w:t>2025年</w:t>
            </w:r>
            <w:r>
              <w:rPr>
                <w:rFonts w:hint="eastAsia"/>
                <w:spacing w:val="-8"/>
                <w:lang w:val="en-US" w:eastAsia="zh-CN"/>
              </w:rPr>
              <w:t>12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  <w:jc w:val="center"/>
        </w:trPr>
        <w:tc>
          <w:tcPr>
            <w:tcW w:w="934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  <w:jc w:val="center"/>
        </w:trPr>
        <w:tc>
          <w:tcPr>
            <w:tcW w:w="934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Arial"/>
          <w:sz w:val="21"/>
        </w:rPr>
      </w:pPr>
    </w:p>
    <w:sectPr>
      <w:pgSz w:w="11906" w:h="16839"/>
      <w:pgMar w:top="1431" w:right="1400" w:bottom="0" w:left="140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642</Words>
  <Characters>751</Characters>
  <Application>Microsoft Office Word</Application>
  <DocSecurity>0</DocSecurity>
  <Lines>0</Lines>
  <Paragraphs>0</Paragraphs>
  <ScaleCrop>false</ScaleCrop>
  <Company/>
  <LinksUpToDate>false</LinksUpToDate>
  <CharactersWithSpaces>836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机务验收环境搭建</dc:title>
  <dc:creator>caixia</dc:creator>
  <cp:lastModifiedBy>郝宇</cp:lastModifiedBy>
  <cp:revision>0</cp:revision>
  <dcterms:created xsi:type="dcterms:W3CDTF">2025-08-17T00:37:00Z</dcterms:created>
  <dcterms:modified xsi:type="dcterms:W3CDTF">2026-04-07T19:35:20Z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