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_Toc11734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_Toc11734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_Toc6325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_Toc23924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综合部</w:t>
          </w:r>
          <w:r>
            <w:tab/>
          </w:r>
          <w:r>
            <w:fldChar w:fldCharType="begin"/>
          </w:r>
          <w:r>
            <w:instrText xml:space="preserve"> PAGEREF _Toc27792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产品产品质量部</w:t>
          </w:r>
          <w:r>
            <w:tab/>
          </w:r>
          <w:r>
            <w:fldChar w:fldCharType="begin"/>
          </w:r>
          <w:r>
            <w:instrText xml:space="preserve"> PAGEREF _Toc7902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_Toc16898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运维部</w:t>
          </w:r>
          <w:r>
            <w:tab/>
          </w:r>
          <w:r>
            <w:fldChar w:fldCharType="begin"/>
          </w:r>
          <w:r>
            <w:instrText xml:space="preserve"> PAGEREF _Toc24482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各部门负责人</w:t>
          </w:r>
          <w:r>
            <w:tab/>
          </w:r>
          <w:r>
            <w:fldChar w:fldCharType="begin"/>
          </w:r>
          <w:r>
            <w:instrText xml:space="preserve"> PAGEREF _Toc4617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管理层</w:t>
          </w:r>
          <w:r>
            <w:tab/>
          </w:r>
          <w:r>
            <w:fldChar w:fldCharType="begin"/>
          </w:r>
          <w:r>
            <w:instrText xml:space="preserve"> PAGEREF _Toc14254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培训流程</w:t>
          </w:r>
          <w:r>
            <w:tab/>
          </w:r>
          <w:r>
            <w:fldChar w:fldCharType="begin"/>
          </w:r>
          <w:r>
            <w:instrText xml:space="preserve"> PAGEREF _Toc13351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培训需求调查</w:t>
          </w:r>
          <w:r>
            <w:tab/>
          </w:r>
          <w:r>
            <w:fldChar w:fldCharType="begin"/>
          </w:r>
          <w:r>
            <w:instrText xml:space="preserve"> PAGEREF _Toc19125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编制培训计划</w:t>
          </w:r>
          <w:r>
            <w:tab/>
          </w:r>
          <w:r>
            <w:fldChar w:fldCharType="begin"/>
          </w:r>
          <w:r>
            <w:instrText xml:space="preserve"> PAGEREF _Toc9867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培训计划的实施</w:t>
          </w:r>
          <w:r>
            <w:tab/>
          </w:r>
          <w:r>
            <w:fldChar w:fldCharType="begin"/>
          </w:r>
          <w:r>
            <w:instrText xml:space="preserve"> PAGEREF _Toc10805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培训效果评估</w:t>
          </w:r>
          <w:r>
            <w:tab/>
          </w:r>
          <w:r>
            <w:fldChar w:fldCharType="begin"/>
          </w:r>
          <w:r>
            <w:instrText xml:space="preserve"> PAGEREF _Toc14501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培训种类</w:t>
          </w:r>
          <w:r>
            <w:tab/>
          </w:r>
          <w:r>
            <w:fldChar w:fldCharType="begin"/>
          </w:r>
          <w:r>
            <w:instrText xml:space="preserve"> PAGEREF _Toc25658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入职培训</w:t>
          </w:r>
          <w:r>
            <w:tab/>
          </w:r>
          <w:r>
            <w:fldChar w:fldCharType="begin"/>
          </w:r>
          <w:r>
            <w:instrText xml:space="preserve"> PAGEREF _Toc13122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岗位技能培训</w:t>
          </w:r>
          <w:r>
            <w:tab/>
          </w:r>
          <w:r>
            <w:fldChar w:fldCharType="begin"/>
          </w:r>
          <w:r>
            <w:instrText xml:space="preserve"> PAGEREF _Toc3459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外部培训</w:t>
          </w:r>
          <w:r>
            <w:tab/>
          </w:r>
          <w:r>
            <w:fldChar w:fldCharType="begin"/>
          </w:r>
          <w:r>
            <w:instrText xml:space="preserve"> PAGEREF _Toc12963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内部讲师管理</w:t>
          </w:r>
          <w:r>
            <w:tab/>
          </w:r>
          <w:r>
            <w:fldChar w:fldCharType="begin"/>
          </w:r>
          <w:r>
            <w:instrText xml:space="preserve"> PAGEREF _Toc18892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培训纪律</w:t>
          </w:r>
          <w:r>
            <w:tab/>
          </w:r>
          <w:r>
            <w:fldChar w:fldCharType="begin"/>
          </w:r>
          <w:r>
            <w:instrText xml:space="preserve"> PAGEREF _Toc18985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_Toc11063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_Toc1680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_Toc12695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_Toc12695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_Toc21360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_Toc21360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1734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对华风数据(深圳)有限公司（以下简称“公司”）打造优秀的员工团队，增强核心竞争力，通过合理有效的培训体系，提高员工素质与工作能力，改善工作方法，提高工作效率，确保运维服务质量持续提升。为确保公司培训工作规范高效地展开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6325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本制度适用于公司所有员工的培训管理，覆盖管理层、技术岗和操作岗全体员工。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3924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7792"/>
      <w:r>
        <w:rPr>
          <w:rFonts w:hint="default"/>
          <w:lang w:val="en-US" w:eastAsia="zh-CN"/>
        </w:rPr>
        <w:t>综合部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负责公司整体培训工作的统筹管理；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负责组织年度培训需求调查，编制年度培训计划；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负责组织实施公司级培训（入职培训、通用技能培训等）；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负责培训记录的归档和培训档案管理；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负责培训效果的评估和跟踪；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负责培训KPI的统计和分析。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7902"/>
      <w:r>
        <w:rPr>
          <w:rFonts w:hint="default"/>
          <w:lang w:val="en-US" w:eastAsia="zh-CN"/>
        </w:rPr>
        <w:t>产品产品质量部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配合综合部进行质量管理相关的培训需求收集；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负责组织质量管理体系、内审员等专业培训；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参与培训效果的评估，从质量角度提出改进建议；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配合新员工入职培训中的质量管理制度培训。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6898"/>
      <w:r>
        <w:rPr>
          <w:rFonts w:hint="default"/>
          <w:lang w:val="en-US" w:eastAsia="zh-CN"/>
        </w:rPr>
        <w:t>研发部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配合综合部进行技术类培训的需求收集；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负责组织技术类专项培训（新技术、运维工具、知识库等）；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负责内部技术讲师的推荐和培养；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参与技术类培训课程的设计和教材编写。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4482"/>
      <w:r>
        <w:rPr>
          <w:rFonts w:hint="default"/>
          <w:lang w:val="en-US" w:eastAsia="zh-CN"/>
        </w:rPr>
        <w:t>运维部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配合综合部进行运维技能类培训的需求收集；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负责组织运维专项培训（硬件运维、软件运维、服务台规范等）；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负责运维现场工程师的技能培训和考核；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参与运维类培训课程的设计和案例分享。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4617"/>
      <w:r>
        <w:rPr>
          <w:rFonts w:hint="default"/>
          <w:lang w:val="en-US" w:eastAsia="zh-CN"/>
        </w:rPr>
        <w:t>各部门负责人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负责本部门员工培训需求的收集和汇总；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负责安排本部门员工按时参加培训；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负责对本部门员工培训后的效果进行跟踪和反馈；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负责部门级内部培训的组织和实施。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4254"/>
      <w:r>
        <w:rPr>
          <w:rFonts w:hint="default"/>
          <w:lang w:val="en-US" w:eastAsia="zh-CN"/>
        </w:rPr>
        <w:t>管理层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总经理负责审批年度培训计划和重大培训预算；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副总经理（分管应急管理）参与应急类培训的决策；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为培训工作提供必要的资源支持。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3351"/>
      <w:r>
        <w:rPr>
          <w:rFonts w:hint="default"/>
          <w:lang w:val="en-US" w:eastAsia="zh-CN"/>
        </w:rPr>
        <w:t>培训流程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9125"/>
      <w:r>
        <w:rPr>
          <w:rFonts w:hint="default"/>
          <w:lang w:val="en-US" w:eastAsia="zh-CN"/>
        </w:rPr>
        <w:t>培训需求调查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综合部应在每年11月向公司所有在职人员发放《培训需求调查表》，收集下一年度培训需求。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员工填写《培训需求调查表》后提交至综合部人事专员处，由人事专员对提交的调查表进行汇总，结合公司战略发展需要、岗位能力要求、绩效考核结果等因素，形成《年度培训需求汇总表》。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培训需求来源包括：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员工个人发展需求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岗位技能要求（依据《岗位职责说明书》）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新业务、新技术发展需要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质量检查、内审中发现的能力短板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客户满意度调查反馈的改进点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公司战略发展需要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9867"/>
      <w:r>
        <w:rPr>
          <w:rFonts w:hint="default"/>
          <w:lang w:val="en-US" w:eastAsia="zh-CN"/>
        </w:rPr>
        <w:t>编制培训计划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综合部根据《年度培训需求汇总表》，结合本年度培训经费预算，编制《员工年度培训计划》。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《员工年度培训计划》应包括以下内容：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培训目标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培训课程名称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预计培训时间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培训讲师（内训/外聘）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参训对象和人数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培训方式（内训/外训/线上等）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培训预算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《员工年度培训计划》经综合部经理审核后，报总经理批准后实施。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0805"/>
      <w:r>
        <w:rPr>
          <w:rFonts w:hint="default"/>
          <w:lang w:val="en-US" w:eastAsia="zh-CN"/>
        </w:rPr>
        <w:t>培训计划的实施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培训计划通过后，由综合部根据实际情况对培训课程安排进行调整，由培训组织者按计划组织培训。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培训实施流程：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培训通知：提前3-5个工作日发布培训通知，明确时间、地点、内容、参训人员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场地准备：提前准备培训场地、设备、资料等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签到管理：培训开始时组织参训人员签到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过程记录：保留培训照片、视频等过程资料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资料归档：培训课件、签到表、评估表等资料归档保存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综合部定期对培训计划执行情况进行评估，及时发现问题、解决问题。因特殊情况需要调整培训计划时，由综合部协调安排，并报部门经理备案。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4501"/>
      <w:r>
        <w:rPr>
          <w:rFonts w:hint="default"/>
          <w:lang w:val="en-US" w:eastAsia="zh-CN"/>
        </w:rPr>
        <w:t>培训效果评估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综合部负责对培训效果进行评估，评估方式包括：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培训结束后，参训人员填写《培训效果评估表》，对培训内容、讲师、组织等方面进行评价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跟踪调查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培训结束后两周内，综合部通过谈话、问卷等方式进行跟踪调查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了解培训目标达成情况、参训人员行为改进、技能提高程度、新知识接受领会情况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填写《培训效果跟踪记录》，作为培训工作考核和改进的依据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证书/资格评估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以取得相关证书、证明作为培训结果的，以是否取得该文件作为培训效果评估结论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绩效关联评估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将培训效果与员工绩效考核相关联，观察培训后工作绩效的变化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综合部应妥善保管培训计划、签到表、培训反馈记录、证书证明及培训课件等原始资料，培训记录加入员工个人档案以备参考。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5658"/>
      <w:r>
        <w:rPr>
          <w:rFonts w:hint="default"/>
          <w:lang w:val="en-US" w:eastAsia="zh-CN"/>
        </w:rPr>
        <w:t>培训种类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公司培训种类包括：入职培训、内部培训、外部培训等。培训的内容主要包含管理能力、专业技术、质量意识及综合知识相关内容。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3122"/>
      <w:r>
        <w:rPr>
          <w:rFonts w:hint="default"/>
          <w:lang w:val="en-US" w:eastAsia="zh-CN"/>
        </w:rPr>
        <w:t>入职培训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入职培训目的在于使新员工了解公司的基本情况与发展历程，熟悉公司组织结构，理解企业文化，学习公司规章制度与行为规范，为上岗工作奠定初步基础。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适用对象：所有新入职员工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培训内容：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公司简介与发展历程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组织架构与部门职责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企业文化与价值观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规章制度与员工手册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质量方针与质量管理制度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信息安全与保密要求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运维服务管理体系概述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岗位职责基本介绍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组织部门：综合部牵头，产品产品质量部、运维部配合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培训时间：新员工入职后1周内完成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3459"/>
      <w:r>
        <w:rPr>
          <w:rFonts w:hint="default"/>
          <w:lang w:val="en-US" w:eastAsia="zh-CN"/>
        </w:rPr>
        <w:t>岗位技能培训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岗位技能培训目的在于通过不断学习新观念、新知识、新方法，逐步提高员工的岗位技能和工作能力。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适用对象：各岗位在职员工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管理类培训：团队管理、项目管理、沟通协调、领导力等（对象：管理层）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技术类培训：硬件运维技术、软件运维技术、运维工具使用、新技术应用等（对象：技术岗）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操作类培训：服务台规范、备件库管理、采购流程、质量检查等（对象：操作岗）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质量类培训：质量管理体系、内审员培训、满意度调查方法等（对象：全员）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应急类培训：应急预案、应急演练、故障处理等（对象：应急相关人员）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组织部门：综合部统筹，各部门分别组织实施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培训方式：内部讲师授课、案例分享、实操演练、线上学习等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2963"/>
      <w:r>
        <w:rPr>
          <w:rFonts w:hint="default"/>
          <w:lang w:val="en-US" w:eastAsia="zh-CN"/>
        </w:rPr>
        <w:t>外部培训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为开拓视野，扩大员工的知识面，公司鼓励有针对性的外出学习培训。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适用对象：表现优秀、有发展潜力的员工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培训内容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行业技术交流会、研讨会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专业技能认证培训（如ITSS、PMP、ITIL等）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管理能力提升培训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新技术、新方法专项培训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管理要求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按公司统一安排外出受训的，由综合部统一组织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如有特殊需要，员工需事先填写《培训申请表》，经部门负责人审核、综合部审批、总经理批准后方可实施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外出参加培训要遵守培训纪律，注意个人言谈举止，树立企业良好形象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外出参加培训时领取的书本、光盘等培训资料属于公司财产，培训结束后需到综合部办理资料交接手续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由公司负担费用的外部培训，培训结束后参加人员需按规定签订《培训服务协议》，约定服务期限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8892"/>
      <w:r>
        <w:rPr>
          <w:rFonts w:hint="default"/>
          <w:lang w:val="en-US" w:eastAsia="zh-CN"/>
        </w:rPr>
        <w:t>内部讲师管理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公司鼓励各部门负责人、资深工程师担任内部讲师，分享专业知识和实践经验。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内部讲师职责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参与培训课程的设计和教材编写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按时完成培训授课任务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参与培训效果的评估和改进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内部讲师激励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给予适当的讲师津贴或奖励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优先参加外部培训和学习机会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纳入晋升和评优的参考依据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8985"/>
      <w:r>
        <w:rPr>
          <w:rFonts w:hint="default"/>
          <w:lang w:val="en-US" w:eastAsia="zh-CN"/>
        </w:rPr>
        <w:t>培训纪律</w:t>
      </w:r>
      <w:bookmarkEnd w:id="20"/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准时到场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参训人员在培训开始前15分钟到场签到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培训组织者负责监督参训人签到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培训讲师应提前5分钟到场准备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遵守时间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参训人员要遵守培训时间规定，不迟到、不早退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到达培训场所后要自觉签到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因故不能参加培训需提前向部门负责人和培训组织者请假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维持纪律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培训开始后，组织者或部门负责人要在场负责，维持纪律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协助讲师顺利完成培训任务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准备工具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参训时准备好学习工具，一般要带笔、笔记本等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需要电脑实操的培训，提前准备好电脑设备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手机管理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参训时将手机关闭或调至静音状态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参训人员不能因为自身原因干扰培训课的正常进行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认真听讲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要认真听讲，积极参与讨论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不得交头接耳，不得从事与培训无关的事情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违规处理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无故缺席培训的，按旷工处理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违反培训纪律的，给予批评教育，情节严重的纳入绩效考核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11063"/>
      <w:r>
        <w:rPr>
          <w:rFonts w:hint="eastAsia"/>
          <w:lang w:val="en-US" w:eastAsia="zh-CN"/>
        </w:rPr>
        <w:t>KPI指标</w:t>
      </w:r>
      <w:bookmarkEnd w:id="21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12695"/>
      <w:r>
        <w:rPr>
          <w:rFonts w:hint="eastAsia"/>
          <w:lang w:val="en-US" w:eastAsia="zh-CN"/>
        </w:rPr>
        <w:t xml:space="preserve"> KPI指标表</w:t>
      </w:r>
      <w:bookmarkEnd w:id="22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人员培训</w:t>
            </w:r>
            <w:bookmarkStart w:id="23" w:name="_GoBack"/>
            <w:bookmarkEnd w:id="23"/>
            <w:r>
              <w:rPr>
                <w:rFonts w:hint="eastAsia"/>
                <w:vertAlign w:val="baseline"/>
                <w:lang w:val="en-US" w:eastAsia="zh-CN"/>
              </w:rPr>
              <w:t>计划达成率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实际培训完成课程数/计划培训课程数*100%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1680"/>
      <w:r>
        <w:rPr>
          <w:rFonts w:hint="eastAsia"/>
          <w:lang w:val="en-US" w:eastAsia="zh-CN"/>
        </w:rPr>
        <w:t>输出的文件和记录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21360"/>
      <w:r>
        <w:rPr>
          <w:rFonts w:hint="eastAsia"/>
          <w:lang w:val="en-US" w:eastAsia="zh-CN"/>
        </w:rPr>
        <w:t xml:space="preserve"> 输出文件记录表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《培训需求调查表》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《年度培训需求汇总表》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《员工年度培训计划》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《培训签到表》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《培训效果评估表》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《培训效果跟踪记录》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《培训服务协议》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《员工培训档案》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《培训课件资料》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8E6574"/>
    <w:multiLevelType w:val="singleLevel"/>
    <w:tmpl w:val="908E657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37DB64"/>
    <w:multiLevelType w:val="singleLevel"/>
    <w:tmpl w:val="BC37DB6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1982F5F"/>
    <w:multiLevelType w:val="singleLevel"/>
    <w:tmpl w:val="51982F5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5AFF04E0"/>
    <w:multiLevelType w:val="singleLevel"/>
    <w:tmpl w:val="5AFF04E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DE35D75"/>
    <w:multiLevelType w:val="singleLevel"/>
    <w:tmpl w:val="5DE35D7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60FA8A4"/>
    <w:multiLevelType w:val="singleLevel"/>
    <w:tmpl w:val="760FA8A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E17EA97"/>
    <w:multiLevelType w:val="singleLevel"/>
    <w:tmpl w:val="7E17EA9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5"/>
  </w:num>
  <w:num w:numId="6">
    <w:abstractNumId w:val="6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3434</Words>
  <Characters>3579</Characters>
  <Application>Microsoft Office Word</Application>
  <DocSecurity>0</DocSecurity>
  <Lines>0</Lines>
  <Paragraphs>0</Paragraphs>
  <ScaleCrop>false</ScaleCrop>
  <Company/>
  <LinksUpToDate>false</LinksUpToDate>
  <CharactersWithSpaces>3679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2026-03-18T02:06:27Z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