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2025年度人员管理计划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HFSJ-ITSS-0510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_Toc1911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_Toc9189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_Toc9189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_Toc26008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人员招聘计划</w:t>
          </w:r>
          <w:r>
            <w:tab/>
          </w:r>
          <w:r>
            <w:fldChar w:fldCharType="begin"/>
          </w:r>
          <w:r>
            <w:instrText xml:space="preserve"> PAGEREF _Toc26008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_Toc16696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招聘总体安排</w:t>
          </w:r>
          <w:r>
            <w:tab/>
          </w:r>
          <w:r>
            <w:fldChar w:fldCharType="begin"/>
          </w:r>
          <w:r>
            <w:instrText xml:space="preserve"> PAGEREF _Toc16696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_Toc23331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招聘计划执行跟踪</w:t>
          </w:r>
          <w:r>
            <w:tab/>
          </w:r>
          <w:r>
            <w:fldChar w:fldCharType="begin"/>
          </w:r>
          <w:r>
            <w:instrText xml:space="preserve"> PAGEREF _Toc23331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_Toc6703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人员储备计划</w:t>
          </w:r>
          <w:r>
            <w:tab/>
          </w:r>
          <w:r>
            <w:fldChar w:fldCharType="begin"/>
          </w:r>
          <w:r>
            <w:instrText xml:space="preserve"> PAGEREF _Toc6703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_Toc15632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储备总体安排</w:t>
          </w:r>
          <w:r>
            <w:tab/>
          </w:r>
          <w:r>
            <w:fldChar w:fldCharType="begin"/>
          </w:r>
          <w:r>
            <w:instrText xml:space="preserve"> PAGEREF _Toc15632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_Toc24850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储备计划执行跟踪</w:t>
          </w:r>
          <w:r>
            <w:tab/>
          </w:r>
          <w:r>
            <w:fldChar w:fldCharType="begin"/>
          </w:r>
          <w:r>
            <w:instrText xml:space="preserve"> PAGEREF _Toc24850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人员培训计划</w:t>
          </w:r>
          <w:r>
            <w:tab/>
          </w:r>
          <w:r>
            <w:fldChar w:fldCharType="begin"/>
          </w:r>
          <w:r>
            <w:instrText xml:space="preserve"> PAGEREF _Toc2314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_Toc26455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培训总体安排</w:t>
          </w:r>
          <w:r>
            <w:tab/>
          </w:r>
          <w:r>
            <w:fldChar w:fldCharType="begin"/>
          </w:r>
          <w:r>
            <w:instrText xml:space="preserve"> PAGEREF _Toc26455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_Toc21316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培训预算汇总</w:t>
          </w:r>
          <w:r>
            <w:tab/>
          </w:r>
          <w:r>
            <w:fldChar w:fldCharType="begin"/>
          </w:r>
          <w:r>
            <w:instrText xml:space="preserve"> PAGEREF _Toc21316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_Toc7854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培训计划执行跟踪</w:t>
          </w:r>
          <w:r>
            <w:tab/>
          </w:r>
          <w:r>
            <w:fldChar w:fldCharType="begin"/>
          </w:r>
          <w:r>
            <w:instrText xml:space="preserve"> PAGEREF _Toc7854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_Toc25550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关键岗位备份计划</w:t>
          </w:r>
          <w:r>
            <w:tab/>
          </w:r>
          <w:r>
            <w:fldChar w:fldCharType="begin"/>
          </w:r>
          <w:r>
            <w:instrText xml:space="preserve"> PAGEREF _Toc25550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_Toc24451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备份总体安排</w:t>
          </w:r>
          <w:r>
            <w:tab/>
          </w:r>
          <w:r>
            <w:fldChar w:fldCharType="begin"/>
          </w:r>
          <w:r>
            <w:instrText xml:space="preserve"> PAGEREF _Toc24451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_Toc1942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备份计划执行跟踪</w:t>
          </w:r>
          <w:r>
            <w:tab/>
          </w:r>
          <w:r>
            <w:fldChar w:fldCharType="begin"/>
          </w:r>
          <w:r>
            <w:instrText xml:space="preserve"> PAGEREF _Toc1942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人员绩效考核计划</w:t>
          </w:r>
          <w:r>
            <w:tab/>
          </w:r>
          <w:r>
            <w:fldChar w:fldCharType="begin"/>
          </w:r>
          <w:r>
            <w:instrText xml:space="preserve"> PAGEREF _Toc2166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_Toc31361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考核周期</w:t>
          </w:r>
          <w:r>
            <w:tab/>
          </w:r>
          <w:r>
            <w:fldChar w:fldCharType="begin"/>
          </w:r>
          <w:r>
            <w:instrText xml:space="preserve"> PAGEREF _Toc31361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绩效考核跟踪</w:t>
          </w:r>
          <w:r>
            <w:tab/>
          </w:r>
          <w:r>
            <w:fldChar w:fldCharType="begin"/>
          </w:r>
          <w:r>
            <w:instrText xml:space="preserve"> PAGEREF _Toc26256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人员技能评定计划</w:t>
          </w:r>
          <w:r>
            <w:tab/>
          </w:r>
          <w:r>
            <w:fldChar w:fldCharType="begin"/>
          </w:r>
          <w:r>
            <w:instrText xml:space="preserve"> PAGEREF _Toc15167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评定周期</w:t>
          </w:r>
          <w:r>
            <w:tab/>
          </w:r>
          <w:r>
            <w:fldChar w:fldCharType="begin"/>
          </w:r>
          <w:r>
            <w:instrText xml:space="preserve"> PAGEREF _Toc5197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技能评定结果应用</w:t>
          </w:r>
          <w:r>
            <w:tab/>
          </w:r>
          <w:r>
            <w:fldChar w:fldCharType="begin"/>
          </w:r>
          <w:r>
            <w:instrText xml:space="preserve"> PAGEREF _Toc24261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_Toc11687 </w:instrText>
          </w:r>
          <w:r>
            <w:fldChar w:fldCharType="separate"/>
          </w:r>
          <w:r>
            <w:rPr>
              <w:rFonts w:hint="default"/>
            </w:rPr>
            <w:t xml:space="preserve">8.3. </w:t>
          </w:r>
          <w:r>
            <w:rPr>
              <w:rFonts w:hint="eastAsia"/>
              <w:lang w:val="en-US" w:eastAsia="zh-CN"/>
            </w:rPr>
            <w:t>技能</w:t>
          </w:r>
          <w:r>
            <w:rPr>
              <w:rFonts w:hint="default"/>
            </w:rPr>
            <w:t>评定执行跟踪</w:t>
          </w:r>
          <w:r>
            <w:tab/>
          </w:r>
          <w:r>
            <w:fldChar w:fldCharType="begin"/>
          </w:r>
          <w:r>
            <w:instrText xml:space="preserve"> PAGEREF _Toc11687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_Toc26771 </w:instrText>
          </w:r>
          <w:r>
            <w:fldChar w:fldCharType="separate"/>
          </w:r>
          <w:r>
            <w:rPr>
              <w:rFonts w:hint="default"/>
            </w:rPr>
            <w:t>8.3.1. 跟踪内容</w:t>
          </w:r>
          <w:r>
            <w:tab/>
          </w:r>
          <w:r>
            <w:fldChar w:fldCharType="begin"/>
          </w:r>
          <w:r>
            <w:instrText xml:space="preserve"> PAGEREF _Toc26771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_Toc27079 </w:instrText>
          </w:r>
          <w:r>
            <w:fldChar w:fldCharType="separate"/>
          </w:r>
          <w:r>
            <w:rPr>
              <w:rFonts w:hint="default"/>
            </w:rPr>
            <w:t>8.3.2. 覆盖率统计</w:t>
          </w:r>
          <w:r>
            <w:tab/>
          </w:r>
          <w:r>
            <w:fldChar w:fldCharType="begin"/>
          </w:r>
          <w:r>
            <w:instrText xml:space="preserve"> PAGEREF _Toc27079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_Toc5681 </w:instrText>
          </w:r>
          <w:r>
            <w:fldChar w:fldCharType="separate"/>
          </w:r>
          <w:r>
            <w:rPr>
              <w:rFonts w:hint="default"/>
            </w:rPr>
            <w:t>8.3.3. 结果处理</w:t>
          </w:r>
          <w:r>
            <w:tab/>
          </w:r>
          <w:r>
            <w:fldChar w:fldCharType="begin"/>
          </w:r>
          <w:r>
            <w:instrText xml:space="preserve"> PAGEREF _Toc5681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_Toc16262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2025年度人员招聘计划表</w:t>
      </w:r>
      <w:r>
        <w:tab/>
      </w:r>
      <w:r>
        <w:fldChar w:fldCharType="begin"/>
      </w:r>
      <w:r>
        <w:instrText xml:space="preserve"> PAGEREF _Toc16262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_Toc15095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内部</w:t>
      </w:r>
      <w:r>
        <w:t>储备计划表</w:t>
      </w:r>
      <w:r>
        <w:tab/>
      </w:r>
      <w:r>
        <w:fldChar w:fldCharType="begin"/>
      </w:r>
      <w:r>
        <w:instrText xml:space="preserve"> PAGEREF _Toc15095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_Toc27504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2025年度人员培训计划表</w:t>
      </w:r>
      <w:r>
        <w:tab/>
      </w:r>
      <w:r>
        <w:fldChar w:fldCharType="begin"/>
      </w:r>
      <w:r>
        <w:instrText xml:space="preserve"> PAGEREF _Toc27504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_Toc4036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>培训费用汇总表</w:t>
      </w:r>
      <w:r>
        <w:tab/>
      </w:r>
      <w:r>
        <w:fldChar w:fldCharType="begin"/>
      </w:r>
      <w:r>
        <w:instrText xml:space="preserve"> PAGEREF _Toc4036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_Toc26125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2025年度关键岗位备份计划表</w:t>
      </w:r>
      <w:r>
        <w:tab/>
      </w:r>
      <w:r>
        <w:fldChar w:fldCharType="begin"/>
      </w:r>
      <w:r>
        <w:instrText xml:space="preserve"> PAGEREF _Toc26125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绩效考核周期</w:t>
      </w:r>
      <w:r>
        <w:t>表</w:t>
      </w:r>
      <w:r>
        <w:tab/>
      </w:r>
      <w:r>
        <w:fldChar w:fldCharType="begin"/>
      </w:r>
      <w:r>
        <w:instrText xml:space="preserve"> PAGEREF _Toc2792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_Toc31688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技能评定周期表</w:t>
      </w:r>
      <w:r>
        <w:tab/>
      </w:r>
      <w:r>
        <w:fldChar w:fldCharType="begin"/>
      </w:r>
      <w:r>
        <w:instrText xml:space="preserve"> PAGEREF _Toc31688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_Toc7351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技能评定结果应用表</w:t>
      </w:r>
      <w:r>
        <w:tab/>
      </w:r>
      <w:r>
        <w:fldChar w:fldCharType="begin"/>
      </w:r>
      <w:r>
        <w:instrText xml:space="preserve"> PAGEREF _Toc7351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1911"/>
      <w:r>
        <w:t>目的</w:t>
      </w:r>
      <w:bookmarkEnd w:id="1"/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运维服务人员管理工作，确保运维服务团队人员配置合理、能力满足要求、关键岗位有备份保障、绩效管理科学有效、技能持续提升，持续增强运维服务能力，满足ITSS信息技术服务运行维护标准要求，特制定本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9189"/>
      <w:r>
        <w:t>适用范围</w:t>
      </w:r>
      <w:bookmarkEnd w:id="3"/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本计划适用于公司2025年度运维服务相关人员的招聘、储备、培训、备份、绩效考核和技能评定工作，涵盖运维部、研发部、产品产品质量部、综合部等部门。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6008"/>
      <w:bookmarkStart w:id="6" w:name="heading_4"/>
      <w:r>
        <w:t>人员招聘计划</w:t>
      </w:r>
      <w:bookmarkEnd w:id="5"/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为保障公司2025年度运维服务业务的正常开展，满足各部门人员配置需求，确保关键岗位及时补充，根据公司战略发展目标和年度人员编制计划，制定本招聘计划。招聘工作遵循“按需招聘、择优录用、人岗匹配”的原则，通过内部培养与外部引进相结合的方式，为公司运维服务能力建设提供坚实的人力资源保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6696"/>
      <w:bookmarkStart w:id="8" w:name="heading_5"/>
      <w:r>
        <w:t>招聘总体安排</w:t>
      </w:r>
      <w:bookmarkEnd w:id="7"/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6262"/>
      <w:r>
        <w:rPr>
          <w:rFonts w:hint="default"/>
          <w:lang w:val="en-US" w:eastAsia="zh-CN"/>
        </w:rPr>
        <w:t xml:space="preserve"> </w:t>
      </w:r>
      <w:r>
        <w:t>2025年度人员招聘计划表</w:t>
      </w:r>
      <w:bookmarkEnd w:id="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15"/>
        <w:gridCol w:w="1049"/>
        <w:gridCol w:w="1484"/>
        <w:gridCol w:w="1707"/>
        <w:gridCol w:w="1181"/>
        <w:gridCol w:w="561"/>
        <w:gridCol w:w="561"/>
        <w:gridCol w:w="561"/>
        <w:gridCol w:w="561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2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8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计划招聘总人数</w:t>
            </w:r>
          </w:p>
        </w:tc>
        <w:tc>
          <w:tcPr>
            <w:tcW w:w="125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招聘方式</w:t>
            </w:r>
          </w:p>
        </w:tc>
        <w:tc>
          <w:tcPr>
            <w:tcW w:w="4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</w:t>
            </w:r>
          </w:p>
        </w:tc>
        <w:tc>
          <w:tcPr>
            <w:tcW w:w="4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Q2</w:t>
            </w:r>
          </w:p>
        </w:tc>
        <w:tc>
          <w:tcPr>
            <w:tcW w:w="4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Q3</w:t>
            </w:r>
          </w:p>
        </w:tc>
        <w:tc>
          <w:tcPr>
            <w:tcW w:w="4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Q4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招聘网站/内部储备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产品产品质量部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产品产品质量部专员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12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7"/>
      <w:bookmarkStart w:id="11" w:name="_Toc23331"/>
      <w:r>
        <w:t>招聘计划执行跟踪</w:t>
      </w:r>
      <w:bookmarkEnd w:id="10"/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综合部每季度对招聘计划执行情况进行跟踪统计，包括各岗位招聘进度、到岗情况、招聘渠道效果等，形成《招聘进度报告》，并统计招聘计划达成率。达成率计算公式为：（实际</w:t>
      </w:r>
      <w:r>
        <w:rPr>
          <w:rFonts w:hint="eastAsia"/>
          <w:lang w:val="en-US" w:eastAsia="zh-CN"/>
        </w:rPr>
        <w:t>招聘</w:t>
      </w:r>
      <w:r>
        <w:t>人数/计划招聘人数）×100%。跟踪结果作为招聘工作改进和人员配置调整的依据，相关数据纳入季度绩效考核。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6703"/>
      <w:bookmarkStart w:id="13" w:name="heading_8"/>
      <w:r>
        <w:t>人员储备计划</w:t>
      </w:r>
      <w:bookmarkEnd w:id="12"/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障公司关键岗位人员变动的连续性，降低因人员流失、岗位调整带来的业务风险，建立可持续的人才供给机制，特制定本储备计划。储备工作遵循“提前规划、定向培养、动态管理”的原则，通过内部培养与外部引进相结合的方式，为公司运维服务能力建设提供稳定的人才梯队支持，确保关键岗位空缺时能够快速补位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5632"/>
      <w:bookmarkStart w:id="15" w:name="heading_9"/>
      <w:r>
        <w:t>储备总体安排</w:t>
      </w:r>
      <w:bookmarkEnd w:id="14"/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储备分为外部招聘和内部培养。其中外部招聘计划如第三节“人员招聘计划”，内部培养储备如表4-1所示。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6" w:name="_Toc15095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内部</w:t>
      </w:r>
      <w:r>
        <w:t>储备计划表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574"/>
        <w:gridCol w:w="1800"/>
        <w:gridCol w:w="1606"/>
        <w:gridCol w:w="1049"/>
        <w:gridCol w:w="18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7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8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60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104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8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储备来源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2025年12月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2"/>
      <w:bookmarkStart w:id="18" w:name="_Toc24850"/>
      <w:r>
        <w:t>储备计划执行跟踪</w:t>
      </w:r>
      <w:bookmarkEnd w:id="17"/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综合部每季度对储备计划执行情况进行跟踪，包括储备人员选拔进度、培养计划完成情况、储备人员能力评估等，形成《储备人员评估报告》，并统计储备计划达成率。达成率计算公式为：（实际储备人数/计划储备人数）×100%。跟踪结果作为储备人员选拔、培养方案调整和岗位晋升的参考依据，相关数据纳入季度绩效考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sectPr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314"/>
      <w:bookmarkStart w:id="20" w:name="heading_13"/>
      <w:r>
        <w:t>人员培训计划</w:t>
      </w:r>
      <w:bookmarkEnd w:id="19"/>
      <w:bookmarkEnd w:id="20"/>
    </w:p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4"/>
      <w:bookmarkStart w:id="22" w:name="_Toc26455"/>
      <w:r>
        <w:t>培训总体安排</w:t>
      </w:r>
      <w:bookmarkEnd w:id="21"/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27504"/>
      <w:r>
        <w:rPr>
          <w:rFonts w:hint="default"/>
          <w:lang w:val="en-US" w:eastAsia="zh-CN"/>
        </w:rPr>
        <w:t xml:space="preserve"> </w:t>
      </w:r>
      <w:r>
        <w:t>2025年度人员培训计划表</w:t>
      </w:r>
      <w:bookmarkEnd w:id="23"/>
    </w:p>
    <w:tbl>
      <w:tblPr>
        <w:tblStyle w:val="TableNormal"/>
        <w:tblW w:w="1226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504"/>
        <w:gridCol w:w="2058"/>
        <w:gridCol w:w="983"/>
        <w:gridCol w:w="1400"/>
        <w:gridCol w:w="983"/>
        <w:gridCol w:w="983"/>
        <w:gridCol w:w="1190"/>
        <w:gridCol w:w="983"/>
        <w:gridCol w:w="1190"/>
        <w:gridCol w:w="1194"/>
      </w:tblGrid>
      <w:tr>
        <w:tblPrEx>
          <w:tblW w:w="1226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0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0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培训时长</w:t>
            </w:r>
          </w:p>
        </w:tc>
        <w:tc>
          <w:tcPr>
            <w:tcW w:w="14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培训老师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培训方式</w:t>
            </w:r>
          </w:p>
        </w:tc>
        <w:tc>
          <w:tcPr>
            <w:tcW w:w="11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考核方式</w:t>
            </w:r>
          </w:p>
        </w:tc>
        <w:tc>
          <w:tcPr>
            <w:tcW w:w="11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负责部门</w:t>
            </w:r>
          </w:p>
        </w:tc>
        <w:tc>
          <w:tcPr>
            <w:tcW w:w="119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预算（元）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新员工入职培训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2.5h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黄剑锋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入职一周内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ITSS运维体系培训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2025年1月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4000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质量管理培训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熊振翔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2025年2月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产品产品质量部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1200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现场实施规范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800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运维工具培训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1200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机房常见故障培训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2025年4月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心得总结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800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ascii="Arial" w:eastAsia="宋体"/>
                <w:sz w:val="24"/>
              </w:rPr>
              <w:t>交付规范培训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2025年6月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1200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监控系统培训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8h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厂商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2025年7月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5200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服务知识培训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2025年8月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研发管理规范培训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2025年9月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技术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3h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运维工程师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姚耿桂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信息安全风险培训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2025年11月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4800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备件管理制度培训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1.5h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备件管理人员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刘文桂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2025年12月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</w:tr>
      <w:tr>
        <w:tblPrEx>
          <w:tblW w:w="12268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6838" w:h="11906" w:orient="landscape"/>
          <w:pgMar w:top="1800" w:right="1440" w:bottom="1800" w:left="1440" w:header="851" w:footer="992" w:gutter="0"/>
          <w:cols w:num="1" w:space="425"/>
          <w:docGrid w:type="lines" w:linePitch="312" w:charSpace="0"/>
        </w:sectPr>
      </w:pPr>
      <w:bookmarkStart w:id="24" w:name="heading_15"/>
    </w:p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1316"/>
      <w:r>
        <w:t>培训预算汇总</w:t>
      </w:r>
      <w:bookmarkEnd w:id="24"/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6" w:name="_Toc4036"/>
      <w:r>
        <w:rPr>
          <w:rFonts w:hint="eastAsia"/>
          <w:lang w:val="en-US" w:eastAsia="zh-CN"/>
        </w:rPr>
        <w:t>培训费用汇总表</w:t>
      </w:r>
      <w:bookmarkEnd w:id="2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49"/>
        <w:gridCol w:w="2333"/>
        <w:gridCol w:w="444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44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90</w:t>
            </w:r>
            <w:r>
              <w:t>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内训+外训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500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研发管理规范培训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产品产品质量部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1200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质量管理培训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新员工入职培训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备件库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备件管理培训</w:t>
            </w:r>
            <w:bookmarkStart w:id="27" w:name="_GoBack"/>
            <w:bookmarkEnd w:id="27"/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总计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  <w:tc>
          <w:tcPr>
            <w:tcW w:w="44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6"/>
      <w:bookmarkStart w:id="29" w:name="_Toc7854"/>
      <w:r>
        <w:t>培训计划执行跟踪</w:t>
      </w:r>
      <w:bookmarkEnd w:id="28"/>
      <w:bookmarkEnd w:id="2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综合部</w:t>
      </w:r>
      <w:r>
        <w:rPr>
          <w:rFonts w:hint="eastAsia"/>
        </w:rPr>
        <w:t>经理每季度对培训计划执行情况进行跟踪统计，包括培训课程完成情况、参训人员出勤率、培训效果评估等，形成《培训执行记录》，并统计培训计划达成率。达成率计算公式为：（实际培训完成课程数/计划培训课程数）×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综合部经理每季度对培训计划达成率进行汇总统计，形成《培训达成率统计表》，作为培训工作改进和培训预算调整的依据。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产品产品质量部经理在每次培训结束后，组织参训人员进行培训效果评估，收集反馈意见，形成《培训效果评估表》，评估结果作为后续培训课程优化和讲师能力提升的参考。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以上跟踪结果均纳入季度绩效考核，确保培训工作按计划有效落地。</w:t>
      </w:r>
    </w:p>
    <w:p>
      <w:pPr>
        <w:pStyle w:val="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7"/>
      <w:bookmarkStart w:id="31" w:name="_Toc25550"/>
      <w:r>
        <w:t>关键岗位备份计划</w:t>
      </w:r>
      <w:bookmarkEnd w:id="30"/>
      <w:bookmarkEnd w:id="31"/>
    </w:p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_Toc24451"/>
      <w:bookmarkStart w:id="33" w:name="heading_18"/>
      <w:r>
        <w:t>备份总体安排</w:t>
      </w:r>
      <w:bookmarkEnd w:id="32"/>
      <w:bookmarkEnd w:id="3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26125"/>
      <w:r>
        <w:rPr>
          <w:rFonts w:hint="default"/>
          <w:lang w:val="en-US" w:eastAsia="zh-CN"/>
        </w:rPr>
        <w:t xml:space="preserve"> </w:t>
      </w:r>
      <w:r>
        <w:t>2025年度关键岗位备份计划表</w:t>
      </w:r>
      <w:bookmarkEnd w:id="34"/>
    </w:p>
    <w:tbl>
      <w:tblPr>
        <w:tblStyle w:val="TableNormal"/>
        <w:tblW w:w="733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1580"/>
        <w:gridCol w:w="1580"/>
        <w:gridCol w:w="1246"/>
        <w:gridCol w:w="1585"/>
      </w:tblGrid>
      <w:tr>
        <w:tblPrEx>
          <w:tblW w:w="7331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4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A岗位</w:t>
            </w:r>
          </w:p>
        </w:tc>
        <w:tc>
          <w:tcPr>
            <w:tcW w:w="15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B岗</w:t>
            </w:r>
          </w:p>
        </w:tc>
        <w:tc>
          <w:tcPr>
            <w:tcW w:w="12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73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</w:t>
            </w:r>
          </w:p>
        </w:tc>
      </w:tr>
      <w:tr>
        <w:tblPrEx>
          <w:tblW w:w="73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</w:tr>
      <w:tr>
        <w:tblPrEx>
          <w:tblW w:w="73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产品产品质量部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产品产品质量部经理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产品产品质量部专员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</w:tr>
      <w:tr>
        <w:tblPrEx>
          <w:tblW w:w="73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综合部经理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_Toc1942"/>
      <w:bookmarkStart w:id="36" w:name="heading_21"/>
      <w:r>
        <w:t>备份计划执行跟踪</w:t>
      </w:r>
      <w:bookmarkEnd w:id="35"/>
      <w:bookmarkEnd w:id="3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部经理每季度对备份计划执行情况进行跟踪统计，包括备份人员选拔进度、培养计划完成情况、备份人员能力评估等，形成《备份人员评估报告》，并统计备份人员能力达标率。能力达标率计算公式为：（能力验证合格的备份人员数/备份人员总数）×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综合部经理每季度对备份计划达成率进行汇总统计，形成《备份能力达标统计表》，作为备份人员选拔、培养方案调整和岗位晋升的参考依据。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对于能力验证不合格的备份人员，由部门负责人制定专项提升计划，限期完成能力补足；连续两次验证不合格的，取消备份资格，由其他符合条件的人员递补。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以上跟踪结果均纳入季度绩效考核，确保关键岗位人员备份机制有效运行。</w:t>
      </w:r>
    </w:p>
    <w:p>
      <w:pPr>
        <w:pStyle w:val="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heading_22"/>
      <w:bookmarkStart w:id="38" w:name="_Toc2166"/>
      <w:r>
        <w:t>人员绩效考核计划</w:t>
      </w:r>
      <w:bookmarkEnd w:id="37"/>
      <w:bookmarkEnd w:id="38"/>
    </w:p>
    <w:p>
      <w:pPr>
        <w:pStyle w:val="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23"/>
      <w:bookmarkStart w:id="40" w:name="_Toc31361"/>
      <w:r>
        <w:t>考核周期</w:t>
      </w:r>
      <w:bookmarkEnd w:id="39"/>
      <w:bookmarkEnd w:id="4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2792"/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绩效考核周期</w:t>
      </w:r>
      <w:r>
        <w:t>表</w:t>
      </w:r>
      <w:bookmarkEnd w:id="4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46"/>
        <w:gridCol w:w="1855"/>
        <w:gridCol w:w="1546"/>
        <w:gridCol w:w="1719"/>
        <w:gridCol w:w="185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4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考核类型</w:t>
            </w:r>
          </w:p>
        </w:tc>
        <w:tc>
          <w:tcPr>
            <w:tcW w:w="18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</w:t>
            </w:r>
          </w:p>
        </w:tc>
        <w:tc>
          <w:tcPr>
            <w:tcW w:w="15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考核对象</w:t>
            </w:r>
          </w:p>
        </w:tc>
        <w:tc>
          <w:tcPr>
            <w:tcW w:w="17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考核时间</w:t>
            </w:r>
          </w:p>
        </w:tc>
        <w:tc>
          <w:tcPr>
            <w:tcW w:w="185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月度考核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每月一次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每月5日前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综合部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季度考核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每季度末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综合部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年度考核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每年一次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12月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综合部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2" w:name="_Toc26256"/>
      <w:r>
        <w:rPr>
          <w:rFonts w:hint="eastAsia"/>
          <w:lang w:val="en-US" w:eastAsia="zh-CN"/>
        </w:rPr>
        <w:t>绩效考核跟踪</w:t>
      </w:r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月对绩效考核执行情况进行跟踪统计，包括考核材料提交情况、考核完成进度、考核结果汇总等，形成《绩效考核结果汇总表》，并统计绩效考核及时完成率。及时完成率计算公式为：（按时完成绩效考核的员工数/应参加绩效考核总人数）×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综合部经理每月对绩效考核及时完成率进行汇总统计，形成《绩效完成率统计表》，作为各部门绩效考核执行情况的评价依据。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对于未按时完成绩效考核的部门或个人，由综合部进行通报提醒，并纳入部门负责人月度绩效考核扣分项；连续两次未按时完成的，由分管副总经理约谈部门负责人。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考核结果经员工确认后，由综合部归档保存，作为薪酬调整、岗位晋升、培训需求识别的重要依据。员工对考核结果有异议的，可在结果公布后5个工作日内向综合部提出申诉，综合部在接到申诉后7个工作日内组织复核并反馈结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以上跟踪结果纳入季度绩效考核，确保绩效考核工作公平、公正、及时完成。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15167"/>
      <w:r>
        <w:rPr>
          <w:rFonts w:hint="default"/>
          <w:lang w:val="en-US" w:eastAsia="zh-CN"/>
        </w:rPr>
        <w:t>人员技能评定计划</w:t>
      </w:r>
      <w:bookmarkEnd w:id="4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评估员工专业技能水平，识别能力短板，为岗位任职、晋升调薪、培训需求提供依据，特制定本技能评定计划。评定工作遵循“客观公正、注重实效、持续改进”的原则，采用笔试、实操、案例答辩相结合的方式进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5197"/>
      <w:r>
        <w:rPr>
          <w:rFonts w:hint="default"/>
          <w:lang w:val="en-US" w:eastAsia="zh-CN"/>
        </w:rPr>
        <w:t>评定周期</w:t>
      </w:r>
      <w:bookmarkEnd w:id="4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根据《人员绩效考核及技能评价管理制度》规定，</w:t>
      </w:r>
      <w:r>
        <w:rPr>
          <w:rFonts w:hint="eastAsia"/>
          <w:lang w:val="en-US" w:eastAsia="zh-CN"/>
        </w:rPr>
        <w:t>技能评定周期如表8-1所示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5" w:name="_Toc3168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技能评定周期表</w:t>
      </w:r>
      <w:bookmarkEnd w:id="4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2"/>
        <w:gridCol w:w="1544"/>
        <w:gridCol w:w="1763"/>
        <w:gridCol w:w="1897"/>
        <w:gridCol w:w="154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评定类型</w:t>
            </w:r>
          </w:p>
        </w:tc>
        <w:tc>
          <w:tcPr>
            <w:tcW w:w="15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评定周期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评定对象</w:t>
            </w:r>
          </w:p>
        </w:tc>
        <w:tc>
          <w:tcPr>
            <w:tcW w:w="189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评定时间</w:t>
            </w:r>
          </w:p>
        </w:tc>
        <w:tc>
          <w:tcPr>
            <w:tcW w:w="154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半年度技能评定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每半年一次</w:t>
            </w:r>
          </w:p>
        </w:tc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每年6月、12月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入职技能评定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入职时</w:t>
            </w:r>
          </w:p>
        </w:tc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试用期内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晋升技能评定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晋升前</w:t>
            </w:r>
          </w:p>
        </w:tc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申请晋升人员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晋升评审前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24261"/>
      <w:r>
        <w:rPr>
          <w:rFonts w:hint="default"/>
          <w:lang w:val="en-US" w:eastAsia="zh-CN"/>
        </w:rPr>
        <w:t>技能评定结果应用</w:t>
      </w:r>
      <w:bookmarkEnd w:id="4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根据《人员绩效考核及技能评价管理制度》规定，技能评定结果应用</w:t>
      </w:r>
      <w:r>
        <w:rPr>
          <w:rFonts w:hint="eastAsia"/>
          <w:lang w:val="en-US" w:eastAsia="zh-CN"/>
        </w:rPr>
        <w:t>方向如表8-3所示。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7" w:name="_Toc735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技能评定结果应用表</w:t>
      </w:r>
      <w:bookmarkEnd w:id="4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3"/>
        <w:gridCol w:w="630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2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应用方向</w:t>
            </w:r>
          </w:p>
        </w:tc>
        <w:tc>
          <w:tcPr>
            <w:tcW w:w="630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具体方式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岗位任职资格</w:t>
            </w:r>
          </w:p>
        </w:tc>
        <w:tc>
          <w:tcPr>
            <w:tcW w:w="6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A/B级可担任关键岗位，C/D级需持续提升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绩效奖金调节</w:t>
            </w:r>
          </w:p>
        </w:tc>
        <w:tc>
          <w:tcPr>
            <w:tcW w:w="6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技能等级与绩效奖金系数挂钩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培训需求识别</w:t>
            </w:r>
          </w:p>
        </w:tc>
        <w:tc>
          <w:tcPr>
            <w:tcW w:w="6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D级人员需参加专项培训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备份人员选拔</w:t>
            </w:r>
          </w:p>
        </w:tc>
        <w:tc>
          <w:tcPr>
            <w:tcW w:w="63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A/B级人员优先作为关键岗位备份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8" w:name="_Toc11687"/>
      <w:r>
        <w:rPr>
          <w:rFonts w:hint="eastAsia"/>
          <w:lang w:val="en-US" w:eastAsia="zh-CN"/>
        </w:rPr>
        <w:t>技能</w:t>
      </w:r>
      <w:r>
        <w:rPr>
          <w:rFonts w:hint="default"/>
        </w:rPr>
        <w:t>评定执行跟踪</w:t>
      </w:r>
      <w:bookmarkEnd w:id="4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根据《人员绩效考核及技能评价管理制度》KPI指标要求，研发部经理每半年对技能评定执行情况进行跟踪统计：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9" w:name="_Toc26771"/>
      <w:r>
        <w:rPr>
          <w:rFonts w:hint="default"/>
        </w:rPr>
        <w:t>跟踪内容</w:t>
      </w:r>
      <w:bookmarkEnd w:id="4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包括评定计划完成情况、参评人员覆盖率、评定结果分布、技能等级变化趋势等，形成《技能评定结果汇总表》。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0" w:name="_Toc27079"/>
      <w:r>
        <w:rPr>
          <w:rFonts w:hint="default"/>
        </w:rPr>
        <w:t>覆盖率统计</w:t>
      </w:r>
      <w:bookmarkEnd w:id="5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技能评价覆盖率计算公式为：（实际参加技能评价的员工数/应参加技能评价员工总数）×100%，目标值为100%。</w:t>
      </w:r>
      <w:r>
        <w:rPr>
          <w:rFonts w:hint="eastAsia"/>
          <w:lang w:val="en-US" w:eastAsia="zh-CN"/>
        </w:rPr>
        <w:t>综合部</w:t>
      </w:r>
      <w:r>
        <w:rPr>
          <w:rFonts w:hint="default"/>
        </w:rPr>
        <w:t>经理每半年对技能评价覆盖率进行汇总统计，形成《技能评价覆盖率统计表》，作为技能评定工作改进和培训需求识别的依据。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1" w:name="_Toc5681"/>
      <w:r>
        <w:rPr>
          <w:rFonts w:hint="default"/>
        </w:rPr>
        <w:t>结果处理</w:t>
      </w:r>
      <w:bookmarkEnd w:id="5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对于评定结果为D级（60分以下）的员工，由部门负责人制定专项提升计划，安排导师辅导和针对性培训，限期完成能力提升；连续两次评定结果为D级的，纳入重点关注对象，由产品产品质量部进行跟踪帮扶。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申诉机制：技能评定结果经员工确认后，由综合部归档保存。员工对评定结果有异议的，可在结果公布后10个工作日内向</w:t>
      </w:r>
      <w:r>
        <w:rPr>
          <w:rFonts w:hint="eastAsia"/>
          <w:lang w:val="en-US" w:eastAsia="zh-CN"/>
        </w:rPr>
        <w:t>产品产品质量部</w:t>
      </w:r>
      <w:r>
        <w:rPr>
          <w:rFonts w:hint="default"/>
        </w:rPr>
        <w:t>提出复核申请，</w:t>
      </w:r>
      <w:r>
        <w:rPr>
          <w:rFonts w:hint="eastAsia"/>
          <w:lang w:val="en-US" w:eastAsia="zh-CN"/>
        </w:rPr>
        <w:t>产品产品质量部</w:t>
      </w:r>
      <w:r>
        <w:rPr>
          <w:rFonts w:hint="default"/>
        </w:rPr>
        <w:t>在接到申请后7个工作日内组织复核并反馈结果。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</w:rPr>
        <w:t>以上跟踪结果纳入半年度绩效考核，确保技能评定工作有效落地，与《人员绩效考核及技能评价管理制度》形成闭环管理。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7CA1C00"/>
    <w:multiLevelType w:val="singleLevel"/>
    <w:tmpl w:val="47CA1C0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4070</Words>
  <Characters>4464</Characters>
  <Application>Microsoft Office Word</Application>
  <DocSecurity>0</DocSecurity>
  <Lines>0</Lines>
  <Paragraphs>0</Paragraphs>
  <ScaleCrop>false</ScaleCrop>
  <Company/>
  <LinksUpToDate>false</LinksUpToDate>
  <CharactersWithSpaces>4610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2026-04-09T18:56:21Z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