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2025年度人员管理报告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HFSJ-ITSS-0511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刘文桂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刘文桂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_Toc24275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报告概述</w:t>
          </w:r>
          <w:r>
            <w:tab/>
          </w:r>
          <w:r>
            <w:fldChar w:fldCharType="begin"/>
          </w:r>
          <w:r>
            <w:instrText xml:space="preserve"> PAGEREF _Toc24275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_Toc135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人员招聘计划执行情况</w:t>
          </w:r>
          <w:r>
            <w:tab/>
          </w:r>
          <w:r>
            <w:fldChar w:fldCharType="begin"/>
          </w:r>
          <w:r>
            <w:instrText xml:space="preserve"> PAGEREF _Toc135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_Toc29300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招聘完成情况</w:t>
          </w:r>
          <w:r>
            <w:tab/>
          </w:r>
          <w:r>
            <w:fldChar w:fldCharType="begin"/>
          </w:r>
          <w:r>
            <w:instrText xml:space="preserve"> PAGEREF _Toc29300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_Toc20929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招聘工作成效</w:t>
          </w:r>
          <w:r>
            <w:tab/>
          </w:r>
          <w:r>
            <w:fldChar w:fldCharType="begin"/>
          </w:r>
          <w:r>
            <w:instrText xml:space="preserve"> PAGEREF _Toc20929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_Toc9738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_Toc9738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_Toc24144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人员储备计划执行情况</w:t>
          </w:r>
          <w:r>
            <w:tab/>
          </w:r>
          <w:r>
            <w:fldChar w:fldCharType="begin"/>
          </w:r>
          <w:r>
            <w:instrText xml:space="preserve"> PAGEREF _Toc24144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_Toc13063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储备完成情况</w:t>
          </w:r>
          <w:r>
            <w:tab/>
          </w:r>
          <w:r>
            <w:fldChar w:fldCharType="begin"/>
          </w:r>
          <w:r>
            <w:instrText xml:space="preserve"> PAGEREF _Toc13063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_Toc9592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储备培养情况</w:t>
          </w:r>
          <w:r>
            <w:tab/>
          </w:r>
          <w:r>
            <w:fldChar w:fldCharType="begin"/>
          </w:r>
          <w:r>
            <w:instrText xml:space="preserve"> PAGEREF _Toc9592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_Toc210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_Toc2414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人员培训计划执行情况</w:t>
          </w:r>
          <w:r>
            <w:tab/>
          </w:r>
          <w:r>
            <w:fldChar w:fldCharType="begin"/>
          </w:r>
          <w:r>
            <w:instrText xml:space="preserve"> PAGEREF _Toc2414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_Toc18319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培训完成情况</w:t>
          </w:r>
          <w:r>
            <w:tab/>
          </w:r>
          <w:r>
            <w:fldChar w:fldCharType="begin"/>
          </w:r>
          <w:r>
            <w:instrText xml:space="preserve"> PAGEREF _Toc18319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_Toc19841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培训预算执行情况</w:t>
          </w:r>
          <w:r>
            <w:tab/>
          </w:r>
          <w:r>
            <w:fldChar w:fldCharType="begin"/>
          </w:r>
          <w:r>
            <w:instrText xml:space="preserve"> PAGEREF _Toc19841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_Toc25121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培训效果评估</w:t>
          </w:r>
          <w:r>
            <w:tab/>
          </w:r>
          <w:r>
            <w:fldChar w:fldCharType="begin"/>
          </w:r>
          <w:r>
            <w:instrText xml:space="preserve"> PAGEREF _Toc25121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_Toc14987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关键岗位备份计划执行情况</w:t>
          </w:r>
          <w:r>
            <w:tab/>
          </w:r>
          <w:r>
            <w:fldChar w:fldCharType="begin"/>
          </w:r>
          <w:r>
            <w:instrText xml:space="preserve"> PAGEREF _Toc14987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备份完成情况</w:t>
          </w:r>
          <w:r>
            <w:tab/>
          </w:r>
          <w:r>
            <w:fldChar w:fldCharType="begin"/>
          </w:r>
          <w:r>
            <w:instrText xml:space="preserve"> PAGEREF _Toc4442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_Toc17400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备份人员能力达标情况</w:t>
          </w:r>
          <w:r>
            <w:tab/>
          </w:r>
          <w:r>
            <w:fldChar w:fldCharType="begin"/>
          </w:r>
          <w:r>
            <w:instrText xml:space="preserve"> PAGEREF _Toc17400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_Toc16746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人员绩效考核执行情况</w:t>
          </w:r>
          <w:r>
            <w:tab/>
          </w:r>
          <w:r>
            <w:fldChar w:fldCharType="begin"/>
          </w:r>
          <w:r>
            <w:instrText xml:space="preserve"> PAGEREF _Toc16746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考核完成情况</w:t>
          </w:r>
          <w:r>
            <w:tab/>
          </w:r>
          <w:r>
            <w:fldChar w:fldCharType="begin"/>
          </w:r>
          <w:r>
            <w:instrText xml:space="preserve"> PAGEREF _Toc6623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绩效考核及时完成率</w:t>
          </w:r>
          <w:r>
            <w:tab/>
          </w:r>
          <w:r>
            <w:fldChar w:fldCharType="begin"/>
          </w:r>
          <w:r>
            <w:instrText xml:space="preserve"> PAGEREF _Toc11280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考核结果分布</w:t>
          </w:r>
          <w:r>
            <w:tab/>
          </w:r>
          <w:r>
            <w:fldChar w:fldCharType="begin"/>
          </w:r>
          <w:r>
            <w:instrText xml:space="preserve"> PAGEREF _Toc14591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人员技能评定执行情况</w:t>
          </w:r>
          <w:r>
            <w:tab/>
          </w:r>
          <w:r>
            <w:fldChar w:fldCharType="begin"/>
          </w:r>
          <w:r>
            <w:instrText xml:space="preserve"> PAGEREF _Toc17694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7.1. </w:t>
          </w:r>
          <w:r>
            <w:rPr>
              <w:rFonts w:hint="eastAsia"/>
              <w:lang w:val="en-US" w:eastAsia="zh-CN"/>
            </w:rPr>
            <w:t>评定完成情况</w:t>
          </w:r>
          <w:r>
            <w:tab/>
          </w:r>
          <w:r>
            <w:fldChar w:fldCharType="begin"/>
          </w:r>
          <w:r>
            <w:instrText xml:space="preserve"> PAGEREF _Toc20391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7.2. </w:t>
          </w:r>
          <w:r>
            <w:rPr>
              <w:rFonts w:hint="eastAsia"/>
              <w:lang w:val="en-US" w:eastAsia="zh-CN"/>
            </w:rPr>
            <w:t>技能评定结果</w:t>
          </w:r>
          <w:r>
            <w:tab/>
          </w:r>
          <w:r>
            <w:fldChar w:fldCharType="begin"/>
          </w:r>
          <w:r>
            <w:instrText xml:space="preserve"> PAGEREF _Toc3150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_Toc18121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7.3. </w:t>
          </w:r>
          <w:r>
            <w:rPr>
              <w:rFonts w:hint="eastAsia"/>
              <w:lang w:val="en-US" w:eastAsia="zh-CN"/>
            </w:rPr>
            <w:t>技能评定成效</w:t>
          </w:r>
          <w:r>
            <w:tab/>
          </w:r>
          <w:r>
            <w:fldChar w:fldCharType="begin"/>
          </w:r>
          <w:r>
            <w:instrText xml:space="preserve"> PAGEREF _Toc18121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_Toc30323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总结与下年度展望</w:t>
          </w:r>
          <w:r>
            <w:tab/>
          </w:r>
          <w:r>
            <w:fldChar w:fldCharType="begin"/>
          </w:r>
          <w:r>
            <w:instrText xml:space="preserve"> PAGEREF _Toc30323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8.1. </w:t>
          </w:r>
          <w:r>
            <w:rPr>
              <w:rFonts w:hint="eastAsia"/>
              <w:lang w:val="en-US" w:eastAsia="zh-CN"/>
            </w:rPr>
            <w:t>年度总体评价</w:t>
          </w:r>
          <w:r>
            <w:tab/>
          </w:r>
          <w:r>
            <w:fldChar w:fldCharType="begin"/>
          </w:r>
          <w:r>
            <w:instrText xml:space="preserve"> PAGEREF _Toc30930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8.2. </w:t>
          </w:r>
          <w:r>
            <w:rPr>
              <w:rFonts w:hint="eastAsia"/>
              <w:lang w:val="en-US" w:eastAsia="zh-CN"/>
            </w:rPr>
            <w:t>年度工作亮点</w:t>
          </w:r>
          <w:r>
            <w:tab/>
          </w:r>
          <w:r>
            <w:fldChar w:fldCharType="begin"/>
          </w:r>
          <w:r>
            <w:instrText xml:space="preserve"> PAGEREF _Toc29073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8.3. </w:t>
          </w:r>
          <w:r>
            <w:rPr>
              <w:rFonts w:hint="eastAsia"/>
              <w:lang w:val="en-US" w:eastAsia="zh-CN"/>
            </w:rPr>
            <w:t>下年度工作重点</w:t>
          </w:r>
          <w:r>
            <w:tab/>
          </w:r>
          <w:r>
            <w:fldChar w:fldCharType="begin"/>
          </w:r>
          <w:r>
            <w:instrText xml:space="preserve"> PAGEREF _Toc11250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_Toc21501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2025年度人员招聘计划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_Toc21501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储备</w:t>
      </w:r>
      <w:r>
        <w:t>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_Toc18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_Toc15009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培训</w:t>
      </w:r>
      <w:r>
        <w:t>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_Toc15009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_Toc5777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培训资金使用情况</w:t>
      </w:r>
      <w:r>
        <w:tab/>
      </w:r>
      <w:r>
        <w:fldChar w:fldCharType="begin"/>
      </w:r>
      <w:r>
        <w:instrText xml:space="preserve"> PAGEREF _Toc5777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_Toc24569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备份</w:t>
      </w:r>
      <w:r>
        <w:t>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_Toc24569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_Toc14524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绩效考核</w:t>
      </w:r>
      <w:r>
        <w:t>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_Toc14524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_Toc17820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绩效考核人员占比</w:t>
      </w:r>
      <w:r>
        <w:tab/>
      </w:r>
      <w:r>
        <w:fldChar w:fldCharType="begin"/>
      </w:r>
      <w:r>
        <w:instrText xml:space="preserve"> PAGEREF _Toc17820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_Toc5653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技能评定完成情况</w:t>
      </w:r>
      <w:r>
        <w:tab/>
      </w:r>
      <w:r>
        <w:fldChar w:fldCharType="begin"/>
      </w:r>
      <w:r>
        <w:instrText xml:space="preserve"> PAGEREF _Toc5653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_Toc7762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技能评定结果</w:t>
      </w:r>
      <w:r>
        <w:tab/>
      </w:r>
      <w:r>
        <w:fldChar w:fldCharType="begin"/>
      </w:r>
      <w:r>
        <w:instrText xml:space="preserve"> PAGEREF _Toc7762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_Toc17072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</w:t>
      </w:r>
      <w:r>
        <w:rPr>
          <w:rFonts w:hint="eastAsia"/>
          <w:lang w:val="en-US" w:eastAsia="zh-CN"/>
        </w:rPr>
        <w:t>6年度工作重点</w:t>
      </w:r>
      <w:r>
        <w:tab/>
      </w:r>
      <w:r>
        <w:fldChar w:fldCharType="begin"/>
      </w:r>
      <w:r>
        <w:instrText xml:space="preserve"> PAGEREF _Toc17072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4275"/>
      <w:r>
        <w:t>报告概述</w:t>
      </w:r>
      <w:bookmarkEnd w:id="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本报告旨在总结公司2025年度人员管理工作的执行情况，评估招聘、储备、培训、备份、绩效考核、技能评定六个方面的工作成效，分析存在的问题，为下一年度人员管理工作提供改进依据。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5"/>
      <w:bookmarkStart w:id="3" w:name="_Toc135"/>
      <w:r>
        <w:t>人员招聘计划执行情况</w:t>
      </w:r>
      <w:bookmarkEnd w:id="2"/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6"/>
      <w:bookmarkStart w:id="5" w:name="_Toc29300"/>
      <w:r>
        <w:t>招聘完成情况</w:t>
      </w:r>
      <w:bookmarkEnd w:id="4"/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2025年度计划招聘6人，实际到岗6人，招聘计划达成率100%。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" w:name="_Toc21501"/>
      <w:r>
        <w:rPr>
          <w:rFonts w:hint="default"/>
          <w:lang w:val="en-US" w:eastAsia="zh-CN"/>
        </w:rPr>
        <w:t xml:space="preserve"> </w:t>
      </w:r>
      <w:r>
        <w:t>2025年度人员招聘计划</w:t>
      </w:r>
      <w:r>
        <w:rPr>
          <w:rFonts w:hint="eastAsia"/>
          <w:lang w:val="en-US" w:eastAsia="zh-CN"/>
        </w:rPr>
        <w:t>完成情况</w:t>
      </w:r>
      <w:bookmarkEnd w:id="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22"/>
        <w:gridCol w:w="1926"/>
        <w:gridCol w:w="1692"/>
        <w:gridCol w:w="1692"/>
        <w:gridCol w:w="965"/>
        <w:gridCol w:w="152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2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2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69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计划招聘人数</w:t>
            </w:r>
          </w:p>
        </w:tc>
        <w:tc>
          <w:tcPr>
            <w:tcW w:w="169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实际到岗人数</w:t>
            </w:r>
          </w:p>
        </w:tc>
        <w:tc>
          <w:tcPr>
            <w:tcW w:w="96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达成率</w:t>
            </w:r>
          </w:p>
        </w:tc>
        <w:tc>
          <w:tcPr>
            <w:tcW w:w="152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到岗时间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2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26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1692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692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96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2025年3月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2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926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92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92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6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rPr>
                <w:rFonts w:hint="eastAsia"/>
                <w:lang w:val="en-US" w:eastAsia="zh-CN"/>
              </w:rPr>
              <w:t>2025年</w:t>
            </w:r>
            <w:r>
              <w:t>12月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硬件运维工程师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2025年3月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服务台专员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2025年9月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2025年6月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9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产品产品质量部专员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2025年9月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合计</w:t>
            </w:r>
          </w:p>
        </w:tc>
        <w:tc>
          <w:tcPr>
            <w:tcW w:w="192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6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100%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right"/>
              <w:textAlignment w:val="baseline"/>
              <w:rPr>
                <w:b/>
              </w:rPr>
            </w:pP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0929"/>
      <w:bookmarkStart w:id="8" w:name="heading_7"/>
      <w:r>
        <w:t>招聘工作成效</w:t>
      </w:r>
      <w:bookmarkEnd w:id="7"/>
      <w:bookmarkEnd w:id="8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所有招聘岗位均在计划时间内完成到岗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招聘渠道主要包括招聘网站、内部储备和校园招聘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新员工入职后均完成入职培训和试用期考核，试用期通过率100%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8"/>
      <w:bookmarkStart w:id="10" w:name="_Toc9738"/>
      <w:r>
        <w:t>存在问题与改进措施</w:t>
      </w:r>
      <w:bookmarkEnd w:id="9"/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针对运维项目经理</w:t>
      </w:r>
      <w:r>
        <w:rPr>
          <w:rFonts w:ascii="Segoe UI" w:eastAsia="宋体" w:hAnsi="Segoe UI" w:cs="Segoe UI" w:hint="eastAsia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候选人来源渠道单一、招聘周期长的现状</w:t>
      </w:r>
      <w:r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，综合部计划在2026年第一季度通过拓展猎头招聘渠道、建立运维项目经理专项人才库的方式，扩大候选人来源渠道，提升岗位招聘效率。同时，加强与行业内相关人才的日常联系，形成常态化的人才储备机制，确保岗位空缺时能够快速补充合适人选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9"/>
      <w:bookmarkStart w:id="12" w:name="_Toc24144"/>
      <w:r>
        <w:t>人员储备计划执行情况</w:t>
      </w:r>
      <w:bookmarkEnd w:id="11"/>
      <w:bookmarkEnd w:id="1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13063"/>
      <w:bookmarkStart w:id="14" w:name="heading_10"/>
      <w:r>
        <w:t>储备完成情况</w:t>
      </w:r>
      <w:bookmarkEnd w:id="13"/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2025年度计划储备</w:t>
      </w:r>
      <w:r>
        <w:rPr>
          <w:rFonts w:hint="eastAsia"/>
          <w:lang w:val="en-US" w:eastAsia="zh-CN"/>
        </w:rPr>
        <w:t>2</w:t>
      </w:r>
      <w:r>
        <w:t>人，实际储备</w:t>
      </w:r>
      <w:r>
        <w:rPr>
          <w:rFonts w:hint="eastAsia"/>
          <w:lang w:val="en-US" w:eastAsia="zh-CN"/>
        </w:rPr>
        <w:t>2</w:t>
      </w:r>
      <w:r>
        <w:t>人，储备计划达成率100%。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5" w:name="_Toc18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储备</w:t>
      </w:r>
      <w:r>
        <w:t>计划</w:t>
      </w:r>
      <w:r>
        <w:rPr>
          <w:rFonts w:hint="eastAsia"/>
          <w:lang w:val="en-US" w:eastAsia="zh-CN"/>
        </w:rPr>
        <w:t>完成情况</w:t>
      </w:r>
      <w:bookmarkEnd w:id="1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5"/>
        <w:gridCol w:w="1574"/>
        <w:gridCol w:w="1800"/>
        <w:gridCol w:w="1606"/>
        <w:gridCol w:w="1049"/>
        <w:gridCol w:w="186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2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57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80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储备岗位</w:t>
            </w:r>
          </w:p>
        </w:tc>
        <w:tc>
          <w:tcPr>
            <w:tcW w:w="160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储备方式</w:t>
            </w:r>
          </w:p>
        </w:tc>
        <w:tc>
          <w:tcPr>
            <w:tcW w:w="104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储备目标人数</w:t>
            </w:r>
          </w:p>
        </w:tc>
        <w:tc>
          <w:tcPr>
            <w:tcW w:w="186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完成时间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2025年12月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研发工程师</w:t>
            </w:r>
          </w:p>
        </w:tc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04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2025年12月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9592"/>
      <w:bookmarkStart w:id="17" w:name="heading_11"/>
      <w:r>
        <w:t>储备培养情况</w:t>
      </w:r>
      <w:bookmarkEnd w:id="16"/>
      <w:bookmarkEnd w:id="17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内部培养人员均完成导师制培养计划，培养周期3-6个月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外部储备人员信息已录入《外部人才储备台账》，定期保持联系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储备人员能力验证合格率100%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210"/>
      <w:bookmarkStart w:id="19" w:name="heading_12"/>
      <w:r>
        <w:t>存在问题与改进措施</w:t>
      </w:r>
      <w:bookmarkEnd w:id="18"/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针对储备人员实战经验不足的问题，运维部将在2026年度加强储备人员的实践锻炼，每季度至少安排一次顶岗实习机会，让储备人员在真实工作场景中积累经验。同时，建立导师带教机制，由经验丰富的在岗人员对储备人员进行一对一指导，定期评估储备人员的能力提升情况，确保储备人员在需要顶岗时能够独立胜任岗位工作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2414"/>
      <w:bookmarkStart w:id="21" w:name="heading_13"/>
      <w:r>
        <w:t>人员培训计划执行情况</w:t>
      </w:r>
      <w:bookmarkEnd w:id="20"/>
      <w:bookmarkEnd w:id="21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14"/>
      <w:bookmarkStart w:id="23" w:name="_Toc18319"/>
      <w:r>
        <w:t>培训完成情况</w:t>
      </w:r>
      <w:bookmarkEnd w:id="22"/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2025年度计划开展培训13项，实际完成13项，培训计划达成率100%。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4" w:name="_Toc15009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培训</w:t>
      </w:r>
      <w:r>
        <w:t>计划</w:t>
      </w:r>
      <w:r>
        <w:rPr>
          <w:rFonts w:hint="eastAsia"/>
          <w:lang w:val="en-US" w:eastAsia="zh-CN"/>
        </w:rPr>
        <w:t>完成情况</w:t>
      </w:r>
      <w:bookmarkEnd w:id="2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44"/>
        <w:gridCol w:w="744"/>
        <w:gridCol w:w="2730"/>
        <w:gridCol w:w="1571"/>
        <w:gridCol w:w="1742"/>
        <w:gridCol w:w="99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4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73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培训内容</w:t>
            </w:r>
          </w:p>
        </w:tc>
        <w:tc>
          <w:tcPr>
            <w:tcW w:w="157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174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99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新员工入职培训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入职一周内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按时完成</w:t>
            </w:r>
          </w:p>
        </w:tc>
        <w:tc>
          <w:tcPr>
            <w:tcW w:w="9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int="eastAsia"/>
                <w:sz w:val="24"/>
                <w:lang w:eastAsia="zh-CN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ITSS运维体系培训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2025年1月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2025年1月</w:t>
            </w:r>
          </w:p>
        </w:tc>
        <w:tc>
          <w:tcPr>
            <w:tcW w:w="9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质量管理培训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2025年2月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2025年2月</w:t>
            </w:r>
          </w:p>
        </w:tc>
        <w:tc>
          <w:tcPr>
            <w:tcW w:w="9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现场实施规范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2025年3月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2025年3月</w:t>
            </w:r>
          </w:p>
        </w:tc>
        <w:tc>
          <w:tcPr>
            <w:tcW w:w="9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运维工具培训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2025年4月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2025年4月</w:t>
            </w:r>
          </w:p>
        </w:tc>
        <w:tc>
          <w:tcPr>
            <w:tcW w:w="9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机房常见故障培训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2025年6月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2025年6月</w:t>
            </w:r>
          </w:p>
        </w:tc>
        <w:tc>
          <w:tcPr>
            <w:tcW w:w="9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交付规范培训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2025年6月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2025年6月</w:t>
            </w:r>
          </w:p>
        </w:tc>
        <w:tc>
          <w:tcPr>
            <w:tcW w:w="9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监控系统培训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2025年7月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2025年7月</w:t>
            </w:r>
          </w:p>
        </w:tc>
        <w:tc>
          <w:tcPr>
            <w:tcW w:w="9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操作</w:t>
            </w:r>
          </w:p>
        </w:tc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服务知识培训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2025年8月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2025年8月</w:t>
            </w:r>
          </w:p>
        </w:tc>
        <w:tc>
          <w:tcPr>
            <w:tcW w:w="9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研发管理规范培训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2025年9月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2025年9月</w:t>
            </w:r>
          </w:p>
        </w:tc>
        <w:tc>
          <w:tcPr>
            <w:tcW w:w="9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</w:p>
        </w:tc>
        <w:tc>
          <w:tcPr>
            <w:tcW w:w="27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ascii="Arial" w:eastAsia="宋体"/>
                <w:sz w:val="24"/>
              </w:rPr>
              <w:t>机房设备基础知识培训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ascii="Arial" w:eastAsia="宋体"/>
                <w:sz w:val="24"/>
              </w:rPr>
              <w:t>2025年</w:t>
            </w:r>
            <w:r>
              <w:rPr>
                <w:rFonts w:hint="eastAsia"/>
                <w:sz w:val="24"/>
                <w:lang w:val="en-US" w:eastAsia="zh-CN"/>
              </w:rPr>
              <w:t>10</w:t>
            </w:r>
            <w:r>
              <w:rPr>
                <w:rFonts w:ascii="Arial" w:eastAsia="宋体"/>
                <w:sz w:val="24"/>
              </w:rPr>
              <w:t>月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ascii="Arial" w:eastAsia="宋体"/>
                <w:sz w:val="24"/>
              </w:rPr>
              <w:t>2025年</w:t>
            </w:r>
            <w:r>
              <w:rPr>
                <w:rFonts w:hint="eastAsia"/>
                <w:sz w:val="24"/>
                <w:lang w:val="en-US" w:eastAsia="zh-CN"/>
              </w:rPr>
              <w:t>10</w:t>
            </w:r>
            <w:r>
              <w:rPr>
                <w:rFonts w:ascii="Arial" w:eastAsia="宋体"/>
                <w:sz w:val="24"/>
              </w:rPr>
              <w:t>月</w:t>
            </w:r>
          </w:p>
        </w:tc>
        <w:tc>
          <w:tcPr>
            <w:tcW w:w="9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4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信息安全风险培训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2025年11月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2025年11月</w:t>
            </w:r>
          </w:p>
        </w:tc>
        <w:tc>
          <w:tcPr>
            <w:tcW w:w="9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4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操作</w:t>
            </w:r>
          </w:p>
        </w:tc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备件管理制度培训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2025年12月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2025年12月</w:t>
            </w:r>
          </w:p>
        </w:tc>
        <w:tc>
          <w:tcPr>
            <w:tcW w:w="9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int="default"/>
                <w:sz w:val="24"/>
                <w:lang w:val="en-US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已完成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15"/>
      <w:bookmarkStart w:id="26" w:name="_Toc19841"/>
      <w:r>
        <w:t>培训预算执行情况</w:t>
      </w:r>
      <w:bookmarkEnd w:id="25"/>
      <w:bookmarkEnd w:id="2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7" w:name="_Toc5777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培训资金使用情况</w:t>
      </w:r>
      <w:bookmarkEnd w:id="2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967"/>
        <w:gridCol w:w="2623"/>
        <w:gridCol w:w="2623"/>
        <w:gridCol w:w="130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96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262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预算金额（元）</w:t>
            </w:r>
          </w:p>
        </w:tc>
        <w:tc>
          <w:tcPr>
            <w:tcW w:w="262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实际支出（元）</w:t>
            </w:r>
          </w:p>
        </w:tc>
        <w:tc>
          <w:tcPr>
            <w:tcW w:w="130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执行率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19,000</w:t>
            </w: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18,800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98.9%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500</w:t>
            </w: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500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100%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产品产品质量部</w:t>
            </w: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1,200</w:t>
            </w: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1,200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100%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综合部</w:t>
            </w: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500</w:t>
            </w: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500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  <w:r>
              <w:t>100%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备件库</w:t>
            </w: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500</w:t>
            </w: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500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</w:pP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合计</w:t>
            </w: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21,700</w:t>
            </w: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right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21,500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right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99.1%</w:t>
            </w:r>
          </w:p>
        </w:tc>
      </w:tr>
    </w:tbl>
    <w:p>
      <w:pPr>
        <w:pStyle w:val="a1"/>
        <w:bidi w:val="0"/>
        <w:rPr>
          <w:rFonts w:eastAsia="宋体" w:hint="default"/>
          <w:lang w:val="en-US" w:eastAsia="zh-CN"/>
        </w:rPr>
      </w:pPr>
      <w:bookmarkStart w:id="28" w:name="heading_16"/>
      <w:r>
        <w:rPr>
          <w:rFonts w:hint="eastAsia"/>
          <w:lang w:val="en-US" w:eastAsia="zh-CN"/>
        </w:rPr>
        <w:t>培训费用使用21500元，剩余费用将继续用于下一年度人员管理计划。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_Toc25121"/>
      <w:r>
        <w:t>培训效果评估</w:t>
      </w:r>
      <w:bookmarkEnd w:id="28"/>
      <w:bookmarkEnd w:id="29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所有培训均完成效果评估</w:t>
      </w:r>
      <w:r>
        <w:rPr>
          <w:rFonts w:hint="eastAsia"/>
          <w:lang w:eastAsia="zh-CN"/>
        </w:rPr>
        <w:t>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培训后考核通过率100%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参训人员反馈培训内容实用，对工作有指导作用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30" w:name="_Toc14987"/>
      <w:r>
        <w:rPr>
          <w:rFonts w:hint="eastAsia"/>
          <w:lang w:val="en-US" w:eastAsia="zh-CN"/>
        </w:rPr>
        <w:t>关键岗位备份计划执行情况</w:t>
      </w:r>
      <w:bookmarkEnd w:id="30"/>
    </w:p>
    <w:p>
      <w:pPr>
        <w:pStyle w:val="2"/>
        <w:bidi w:val="0"/>
        <w:rPr>
          <w:rFonts w:hint="eastAsia"/>
          <w:lang w:val="en-US" w:eastAsia="zh-CN"/>
        </w:rPr>
      </w:pPr>
      <w:bookmarkStart w:id="31" w:name="_Toc4442"/>
      <w:r>
        <w:rPr>
          <w:rFonts w:hint="eastAsia"/>
          <w:lang w:val="en-US" w:eastAsia="zh-CN"/>
        </w:rPr>
        <w:t>备份完成情况</w:t>
      </w:r>
      <w:bookmarkEnd w:id="3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2" w:name="_Toc24569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备份</w:t>
      </w:r>
      <w:r>
        <w:t>计划</w:t>
      </w:r>
      <w:r>
        <w:rPr>
          <w:rFonts w:hint="eastAsia"/>
          <w:lang w:val="en-US" w:eastAsia="zh-CN"/>
        </w:rPr>
        <w:t>完成情况</w:t>
      </w:r>
      <w:bookmarkEnd w:id="32"/>
    </w:p>
    <w:tbl>
      <w:tblPr>
        <w:tblStyle w:val="TableNormal"/>
        <w:tblW w:w="854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84"/>
        <w:gridCol w:w="1514"/>
        <w:gridCol w:w="1514"/>
        <w:gridCol w:w="965"/>
        <w:gridCol w:w="1748"/>
        <w:gridCol w:w="1519"/>
      </w:tblGrid>
      <w:tr>
        <w:tblPrEx>
          <w:tblW w:w="854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8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151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A岗位</w:t>
            </w:r>
          </w:p>
        </w:tc>
        <w:tc>
          <w:tcPr>
            <w:tcW w:w="151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b/>
                <w:lang w:eastAsia="zh-CN"/>
              </w:rPr>
            </w:pPr>
            <w:r>
              <w:rPr>
                <w:rFonts w:hint="eastAsia"/>
                <w:b/>
                <w:lang w:val="en-US" w:eastAsia="zh-CN"/>
              </w:rPr>
              <w:t>B岗</w:t>
            </w:r>
          </w:p>
        </w:tc>
        <w:tc>
          <w:tcPr>
            <w:tcW w:w="96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备份要求</w:t>
            </w:r>
          </w:p>
        </w:tc>
        <w:tc>
          <w:tcPr>
            <w:tcW w:w="174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51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状态</w:t>
            </w:r>
          </w:p>
        </w:tc>
      </w:tr>
      <w:tr>
        <w:tblPrEx>
          <w:tblW w:w="854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运维部经理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运维项目经理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3</w:t>
            </w:r>
            <w:r>
              <w:t>月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>
        <w:tblPrEx>
          <w:tblW w:w="854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研发部经理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4</w:t>
            </w:r>
            <w:r>
              <w:t>月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>
        <w:tblPrEx>
          <w:tblW w:w="854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产品产品质量部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产品产品质量部经理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产品产品质量部专员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9</w:t>
            </w:r>
            <w:r>
              <w:t>月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>
        <w:tblPrEx>
          <w:tblW w:w="854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综合部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综合部经理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人事专员</w:t>
            </w:r>
          </w:p>
        </w:tc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10</w:t>
            </w:r>
            <w:r>
              <w:t>月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所有岗位均完成备份。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33" w:name="_Toc17400"/>
      <w:r>
        <w:rPr>
          <w:rFonts w:hint="eastAsia"/>
          <w:lang w:val="en-US" w:eastAsia="zh-CN"/>
        </w:rPr>
        <w:t>备份人员能力达标情况</w:t>
      </w:r>
      <w:bookmarkEnd w:id="33"/>
    </w:p>
    <w:p>
      <w:pPr>
        <w:pStyle w:val="a1"/>
        <w:rPr>
          <w:rFonts w:hint="eastAsia"/>
          <w:lang w:val="en-US" w:eastAsia="zh-CN"/>
        </w:rPr>
      </w:pPr>
      <w:r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本年度备份人员能力达标率达到100%，圆满完成年度目标。所有内部固定储备人员均已完成能力验证，验证内容包括岗位技能掌握程度、应急响应流程熟悉度以及独立顶岗能力，验证结果全部合格。外部不固定储备人员信息已全部录入《外部人才储备台账》，并建立了定期联系机制，确保储备信息的及时更新和有效性。对于已通过能力验证的备份人员，已纳入公司关键岗位人才库，作为岗位空缺时的优先补充对象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4" w:name="_Toc16746"/>
      <w:r>
        <w:rPr>
          <w:rFonts w:hint="eastAsia"/>
          <w:lang w:val="en-US" w:eastAsia="zh-CN"/>
        </w:rPr>
        <w:t>人员绩效考核执行情况</w:t>
      </w:r>
      <w:bookmarkEnd w:id="34"/>
    </w:p>
    <w:p>
      <w:pPr>
        <w:pStyle w:val="2"/>
        <w:bidi w:val="0"/>
        <w:rPr>
          <w:rFonts w:hint="default"/>
          <w:lang w:val="en-US" w:eastAsia="zh-CN"/>
        </w:rPr>
      </w:pPr>
      <w:bookmarkStart w:id="35" w:name="_Toc6623"/>
      <w:r>
        <w:rPr>
          <w:rFonts w:hint="eastAsia"/>
          <w:lang w:val="en-US" w:eastAsia="zh-CN"/>
        </w:rPr>
        <w:t>考核完成情况</w:t>
      </w:r>
      <w:bookmarkEnd w:id="35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6" w:name="_Toc14524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绩效考核</w:t>
      </w:r>
      <w:r>
        <w:t>计划</w:t>
      </w:r>
      <w:r>
        <w:rPr>
          <w:rFonts w:hint="eastAsia"/>
          <w:lang w:val="en-US" w:eastAsia="zh-CN"/>
        </w:rPr>
        <w:t>完成情况</w:t>
      </w:r>
      <w:bookmarkEnd w:id="3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1"/>
        <w:gridCol w:w="1865"/>
        <w:gridCol w:w="1865"/>
        <w:gridCol w:w="2125"/>
        <w:gridCol w:w="134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2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考核类型</w:t>
            </w:r>
          </w:p>
        </w:tc>
        <w:tc>
          <w:tcPr>
            <w:tcW w:w="186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考核周期</w:t>
            </w:r>
          </w:p>
        </w:tc>
        <w:tc>
          <w:tcPr>
            <w:tcW w:w="186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应考核人次</w:t>
            </w:r>
          </w:p>
        </w:tc>
        <w:tc>
          <w:tcPr>
            <w:tcW w:w="212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实际考核人次</w:t>
            </w:r>
          </w:p>
        </w:tc>
        <w:tc>
          <w:tcPr>
            <w:tcW w:w="134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完成率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月度考核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每月一次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96</w:t>
            </w: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96</w:t>
            </w: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人次</w:t>
            </w:r>
            <w:bookmarkStart w:id="37" w:name="_GoBack"/>
            <w:bookmarkEnd w:id="37"/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季度考核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每季度一次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32</w:t>
            </w: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32</w:t>
            </w: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年度考核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每年一次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合计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136</w:t>
            </w: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136</w:t>
            </w: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38" w:name="_Toc11280"/>
      <w:r>
        <w:rPr>
          <w:rFonts w:hint="eastAsia"/>
          <w:lang w:val="en-US" w:eastAsia="zh-CN"/>
        </w:rPr>
        <w:t>绩效考核及时完成率</w:t>
      </w:r>
      <w:bookmarkEnd w:id="38"/>
    </w:p>
    <w:p>
      <w:pPr>
        <w:pStyle w:val="a1"/>
        <w:rPr>
          <w:rFonts w:hint="default"/>
          <w:lang w:val="en-US" w:eastAsia="zh-CN"/>
        </w:rPr>
      </w:pPr>
      <w:r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本年度绩效考核及时完成率达到100%，圆满完成年度目标。全年应开展月度考核12次、季度考核4次、年度考核1次，共计</w:t>
      </w:r>
      <w:r>
        <w:rPr>
          <w:rFonts w:ascii="Segoe UI" w:eastAsia="宋体" w:hAnsi="Segoe UI" w:cs="Segoe UI" w:hint="eastAsia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136</w:t>
      </w:r>
      <w:r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人次考核，全部在规定时间内完成。综合部每月5日前完成上月度考核材料的收集、汇总和结果发布，未出现延期或漏报情况。对于考核过程中出现的材料提交不及时等问题，综合部及时进行通报提醒，并纳入部门负责人月度绩效考核，有效保障了考核工作的规范性和时效性。员工对考核结果的申诉均在规定时限内完成复核并反馈，申诉处理满意度100%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9" w:name="_Toc14591"/>
      <w:r>
        <w:rPr>
          <w:rFonts w:hint="eastAsia"/>
          <w:lang w:val="en-US" w:eastAsia="zh-CN"/>
        </w:rPr>
        <w:t>考核结果分布</w:t>
      </w:r>
      <w:bookmarkEnd w:id="3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0" w:name="_Toc17820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绩效考核人员占比</w:t>
      </w:r>
      <w:bookmarkEnd w:id="4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72"/>
        <w:gridCol w:w="2378"/>
        <w:gridCol w:w="2378"/>
        <w:gridCol w:w="179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97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等级</w:t>
            </w:r>
          </w:p>
        </w:tc>
        <w:tc>
          <w:tcPr>
            <w:tcW w:w="237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月度平均占比</w:t>
            </w:r>
          </w:p>
        </w:tc>
        <w:tc>
          <w:tcPr>
            <w:tcW w:w="237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季度平均占比</w:t>
            </w:r>
          </w:p>
        </w:tc>
        <w:tc>
          <w:tcPr>
            <w:tcW w:w="179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年度占比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优秀（A级）</w:t>
            </w:r>
          </w:p>
        </w:tc>
        <w:tc>
          <w:tcPr>
            <w:tcW w:w="23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20%</w:t>
            </w:r>
          </w:p>
        </w:tc>
        <w:tc>
          <w:tcPr>
            <w:tcW w:w="23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20%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25%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一般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（B级）</w:t>
            </w:r>
          </w:p>
        </w:tc>
        <w:tc>
          <w:tcPr>
            <w:tcW w:w="23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0%</w:t>
            </w:r>
          </w:p>
        </w:tc>
        <w:tc>
          <w:tcPr>
            <w:tcW w:w="23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0%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75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%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7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较差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（C级）</w:t>
            </w:r>
          </w:p>
        </w:tc>
        <w:tc>
          <w:tcPr>
            <w:tcW w:w="23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%</w:t>
            </w:r>
          </w:p>
        </w:tc>
        <w:tc>
          <w:tcPr>
            <w:tcW w:w="23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%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%</w:t>
            </w:r>
          </w:p>
        </w:tc>
      </w:tr>
    </w:tbl>
    <w:p>
      <w:pPr>
        <w:pStyle w:val="1"/>
        <w:bidi w:val="0"/>
        <w:rPr>
          <w:rFonts w:hint="eastAsia"/>
          <w:lang w:val="en-US" w:eastAsia="zh-CN"/>
        </w:rPr>
      </w:pPr>
      <w:bookmarkStart w:id="41" w:name="_Toc17694"/>
      <w:r>
        <w:rPr>
          <w:rFonts w:hint="eastAsia"/>
          <w:lang w:val="en-US" w:eastAsia="zh-CN"/>
        </w:rPr>
        <w:t>人员技能评定执行情况</w:t>
      </w:r>
      <w:bookmarkEnd w:id="41"/>
    </w:p>
    <w:p>
      <w:pPr>
        <w:pStyle w:val="2"/>
        <w:bidi w:val="0"/>
        <w:rPr>
          <w:rFonts w:hint="eastAsia"/>
          <w:lang w:val="en-US" w:eastAsia="zh-CN"/>
        </w:rPr>
      </w:pPr>
      <w:bookmarkStart w:id="42" w:name="_Toc20391"/>
      <w:r>
        <w:rPr>
          <w:rFonts w:hint="eastAsia"/>
          <w:lang w:val="en-US" w:eastAsia="zh-CN"/>
        </w:rPr>
        <w:t>评定完成情况</w:t>
      </w:r>
      <w:bookmarkEnd w:id="4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3" w:name="_Toc5653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技能评定完成情况</w:t>
      </w:r>
      <w:bookmarkEnd w:id="4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2"/>
        <w:gridCol w:w="1525"/>
        <w:gridCol w:w="1319"/>
        <w:gridCol w:w="1730"/>
        <w:gridCol w:w="1129"/>
        <w:gridCol w:w="111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70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评定类型</w:t>
            </w:r>
          </w:p>
        </w:tc>
        <w:tc>
          <w:tcPr>
            <w:tcW w:w="152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评定周期</w:t>
            </w:r>
          </w:p>
        </w:tc>
        <w:tc>
          <w:tcPr>
            <w:tcW w:w="131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应评人数</w:t>
            </w:r>
          </w:p>
        </w:tc>
        <w:tc>
          <w:tcPr>
            <w:tcW w:w="173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实际评定人数</w:t>
            </w:r>
          </w:p>
        </w:tc>
        <w:tc>
          <w:tcPr>
            <w:tcW w:w="112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覆盖率</w:t>
            </w:r>
          </w:p>
        </w:tc>
        <w:tc>
          <w:tcPr>
            <w:tcW w:w="111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完成率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0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半年度技能评定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每半年一次</w:t>
            </w: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16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16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11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0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入职技能评定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入职时</w:t>
            </w: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6</w:t>
            </w: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6</w:t>
            </w:r>
          </w:p>
        </w:tc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11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0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晋升技能评定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晋升前</w:t>
            </w:r>
          </w:p>
        </w:tc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11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</w:tbl>
    <w:p>
      <w:pPr>
        <w:pStyle w:val="2"/>
        <w:bidi w:val="0"/>
        <w:rPr>
          <w:rFonts w:hint="eastAsia"/>
          <w:lang w:val="en-US" w:eastAsia="zh-CN"/>
        </w:rPr>
      </w:pPr>
      <w:bookmarkStart w:id="44" w:name="_Toc3150"/>
      <w:r>
        <w:rPr>
          <w:rFonts w:hint="eastAsia"/>
          <w:lang w:val="en-US" w:eastAsia="zh-CN"/>
        </w:rPr>
        <w:t>技能评定结果</w:t>
      </w:r>
      <w:bookmarkEnd w:id="4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5" w:name="_Toc7762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技能评定结果</w:t>
      </w:r>
      <w:bookmarkEnd w:id="4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81"/>
        <w:gridCol w:w="1892"/>
        <w:gridCol w:w="1892"/>
        <w:gridCol w:w="225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248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技能等级</w:t>
            </w:r>
          </w:p>
        </w:tc>
        <w:tc>
          <w:tcPr>
            <w:tcW w:w="189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上半年</w:t>
            </w:r>
          </w:p>
        </w:tc>
        <w:tc>
          <w:tcPr>
            <w:tcW w:w="189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下半年</w:t>
            </w:r>
          </w:p>
        </w:tc>
        <w:tc>
          <w:tcPr>
            <w:tcW w:w="225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变化趋势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8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A级（专家）</w:t>
            </w:r>
          </w:p>
        </w:tc>
        <w:tc>
          <w:tcPr>
            <w:tcW w:w="18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1人</w:t>
            </w:r>
          </w:p>
        </w:tc>
        <w:tc>
          <w:tcPr>
            <w:tcW w:w="18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2人</w:t>
            </w:r>
          </w:p>
        </w:tc>
        <w:tc>
          <w:tcPr>
            <w:tcW w:w="22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↑ 上升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8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B级（高级）</w:t>
            </w:r>
          </w:p>
        </w:tc>
        <w:tc>
          <w:tcPr>
            <w:tcW w:w="18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</w:t>
            </w:r>
          </w:p>
        </w:tc>
        <w:tc>
          <w:tcPr>
            <w:tcW w:w="18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4人</w:t>
            </w:r>
          </w:p>
        </w:tc>
        <w:tc>
          <w:tcPr>
            <w:tcW w:w="22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不变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8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C级（中级）</w:t>
            </w:r>
          </w:p>
        </w:tc>
        <w:tc>
          <w:tcPr>
            <w:tcW w:w="18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3人</w:t>
            </w:r>
          </w:p>
        </w:tc>
        <w:tc>
          <w:tcPr>
            <w:tcW w:w="18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2人</w:t>
            </w:r>
          </w:p>
        </w:tc>
        <w:tc>
          <w:tcPr>
            <w:tcW w:w="22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↓ 下降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8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D级（初级）</w:t>
            </w:r>
          </w:p>
        </w:tc>
        <w:tc>
          <w:tcPr>
            <w:tcW w:w="18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</w:t>
            </w:r>
          </w:p>
        </w:tc>
        <w:tc>
          <w:tcPr>
            <w:tcW w:w="18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0人</w:t>
            </w:r>
          </w:p>
        </w:tc>
        <w:tc>
          <w:tcPr>
            <w:tcW w:w="22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不变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46" w:name="_Toc18121"/>
      <w:r>
        <w:rPr>
          <w:rFonts w:hint="eastAsia"/>
          <w:lang w:val="en-US" w:eastAsia="zh-CN"/>
        </w:rPr>
        <w:t>技能评定成效</w:t>
      </w:r>
      <w:bookmarkEnd w:id="46"/>
    </w:p>
    <w:p>
      <w:pPr>
        <w:pStyle w:val="a1"/>
        <w:numPr>
          <w:ilvl w:val="0"/>
          <w:numId w:val="6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技能评价覆盖率100%，达到目标值</w:t>
      </w:r>
    </w:p>
    <w:p>
      <w:pPr>
        <w:pStyle w:val="a1"/>
        <w:numPr>
          <w:ilvl w:val="0"/>
          <w:numId w:val="6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高等级人员（A+B级）占比从</w:t>
      </w:r>
      <w:r>
        <w:rPr>
          <w:rFonts w:hint="eastAsia"/>
          <w:lang w:val="en-US" w:eastAsia="zh-CN"/>
        </w:rPr>
        <w:t>62.5</w:t>
      </w:r>
      <w:r>
        <w:rPr>
          <w:rFonts w:hint="default"/>
          <w:lang w:val="en-US" w:eastAsia="zh-CN"/>
        </w:rPr>
        <w:t>%提升至75%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47" w:name="_Toc30323"/>
      <w:r>
        <w:rPr>
          <w:rFonts w:hint="eastAsia"/>
          <w:lang w:val="en-US" w:eastAsia="zh-CN"/>
        </w:rPr>
        <w:t>总结与下年度展望</w:t>
      </w:r>
      <w:bookmarkEnd w:id="47"/>
    </w:p>
    <w:p>
      <w:pPr>
        <w:pStyle w:val="2"/>
        <w:bidi w:val="0"/>
        <w:rPr>
          <w:rFonts w:hint="eastAsia"/>
          <w:lang w:val="en-US" w:eastAsia="zh-CN"/>
        </w:rPr>
      </w:pPr>
      <w:bookmarkStart w:id="48" w:name="_Toc30930"/>
      <w:r>
        <w:rPr>
          <w:rFonts w:hint="eastAsia"/>
          <w:lang w:val="en-US" w:eastAsia="zh-CN"/>
        </w:rPr>
        <w:t>年度总体评价</w:t>
      </w:r>
      <w:bookmarkEnd w:id="48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人员招聘、储备、培训、备份指标全都完成，绩效考核及技能评价指标也达到KPI要求。保证了运维工作的平稳进行。但是在人员招聘与储备方面存在的问题，综合部应当在下一年度重点跟踪。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49" w:name="_Toc29073"/>
      <w:r>
        <w:rPr>
          <w:rFonts w:hint="eastAsia"/>
          <w:lang w:val="en-US" w:eastAsia="zh-CN"/>
        </w:rPr>
        <w:t>年度工作亮点</w:t>
      </w:r>
      <w:bookmarkEnd w:id="49"/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招聘工作：全年招聘计划100%完成，所有岗位按时到岗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培训工作：13项培训全部按计划完成，培训预算执行率99.1%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备份机制：关键岗位备份机制全面建立，能力达标率100%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技能提升：高等级人员占比从62.5%提升至75%，技能结构持续优化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绩效考核：全年136人次考核全部按时完成，无延期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0" w:name="_Toc11250"/>
      <w:r>
        <w:rPr>
          <w:rFonts w:hint="eastAsia"/>
          <w:lang w:val="en-US" w:eastAsia="zh-CN"/>
        </w:rPr>
        <w:t>下年度工作重点</w:t>
      </w:r>
      <w:bookmarkEnd w:id="5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1" w:name="_Toc17072"/>
      <w:r>
        <w:rPr>
          <w:rFonts w:hint="default"/>
          <w:lang w:val="en-US" w:eastAsia="zh-CN"/>
        </w:rPr>
        <w:t xml:space="preserve"> </w:t>
      </w:r>
      <w:r>
        <w:t>202</w:t>
      </w:r>
      <w:r>
        <w:rPr>
          <w:rFonts w:hint="eastAsia"/>
          <w:lang w:val="en-US" w:eastAsia="zh-CN"/>
        </w:rPr>
        <w:t>6年度工作重点</w:t>
      </w:r>
      <w:bookmarkEnd w:id="5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6"/>
        <w:gridCol w:w="2822"/>
        <w:gridCol w:w="3106"/>
        <w:gridCol w:w="187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71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282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工作重点</w:t>
            </w:r>
          </w:p>
        </w:tc>
        <w:tc>
          <w:tcPr>
            <w:tcW w:w="310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目标</w:t>
            </w:r>
          </w:p>
        </w:tc>
        <w:tc>
          <w:tcPr>
            <w:tcW w:w="187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1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28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优化招聘渠道</w:t>
            </w:r>
          </w:p>
        </w:tc>
        <w:tc>
          <w:tcPr>
            <w:tcW w:w="310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建立多元化人才库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综合部经理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1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28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加强储备人员实战培养</w:t>
            </w:r>
          </w:p>
        </w:tc>
        <w:tc>
          <w:tcPr>
            <w:tcW w:w="310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每季度安排顶岗实习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1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28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开展进阶技术培训</w:t>
            </w:r>
          </w:p>
        </w:tc>
        <w:tc>
          <w:tcPr>
            <w:tcW w:w="310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提升高级技术人员占比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1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28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完善备份机制</w:t>
            </w:r>
          </w:p>
        </w:tc>
        <w:tc>
          <w:tcPr>
            <w:tcW w:w="310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实现关键岗位AB角全覆盖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综合部经理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1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</w:t>
            </w:r>
          </w:p>
        </w:tc>
        <w:tc>
          <w:tcPr>
            <w:tcW w:w="28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优化绩效考核体系</w:t>
            </w:r>
          </w:p>
        </w:tc>
        <w:tc>
          <w:tcPr>
            <w:tcW w:w="31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提升考核精准度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产品产品质量部经理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A0DBF5E"/>
    <w:multiLevelType w:val="singleLevel"/>
    <w:tmpl w:val="8A0DBF5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99E3BB3"/>
    <w:multiLevelType w:val="singleLevel"/>
    <w:tmpl w:val="A99E3BB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8195BE3"/>
    <w:multiLevelType w:val="singleLevel"/>
    <w:tmpl w:val="D8195BE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1B899871"/>
    <w:multiLevelType w:val="singleLevel"/>
    <w:tmpl w:val="1B89987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36CA819F"/>
    <w:multiLevelType w:val="singleLevel"/>
    <w:tmpl w:val="36CA819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B422474"/>
    <w:multiLevelType w:val="singleLevel"/>
    <w:tmpl w:val="3B42247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4"/>
  </w:num>
  <w:num w:numId="5">
    <w:abstractNumId w:val="6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semiHidden="0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1436</Words>
  <Characters>1735</Characters>
  <Application>Microsoft Office Word</Application>
  <DocSecurity>0</DocSecurity>
  <Lines>0</Lines>
  <Paragraphs>0</Paragraphs>
  <ScaleCrop>false</ScaleCrop>
  <Company/>
  <LinksUpToDate>false</LinksUpToDate>
  <CharactersWithSpaces>1893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2026-04-09T19:02:04Z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