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2026年度人员管理计划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HFSJ-ITSS-0512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刘文桂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</w:t>
            </w:r>
            <w:bookmarkStart w:id="1" w:name="_GoBack"/>
            <w:bookmarkEnd w:id="1"/>
            <w:r>
              <w:rPr>
                <w:rFonts w:hint="eastAsia"/>
                <w:lang w:val="en-US" w:eastAsia="zh-CN"/>
              </w:rPr>
              <w:t>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刘文桂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_Toc17965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_Toc17965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_Toc12471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_Toc12471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_Toc31446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人员招聘计划</w:t>
          </w:r>
          <w:r>
            <w:tab/>
          </w:r>
          <w:r>
            <w:fldChar w:fldCharType="begin"/>
          </w:r>
          <w:r>
            <w:instrText xml:space="preserve"> PAGEREF _Toc31446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招聘总体安排</w:t>
          </w:r>
          <w:r>
            <w:tab/>
          </w:r>
          <w:r>
            <w:fldChar w:fldCharType="begin"/>
          </w:r>
          <w:r>
            <w:instrText xml:space="preserve"> PAGEREF _Toc19124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招聘计划执行跟踪</w:t>
          </w:r>
          <w:r>
            <w:tab/>
          </w:r>
          <w:r>
            <w:fldChar w:fldCharType="begin"/>
          </w:r>
          <w:r>
            <w:instrText xml:space="preserve"> PAGEREF _Toc11799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_Toc12777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人员储备计划</w:t>
          </w:r>
          <w:r>
            <w:tab/>
          </w:r>
          <w:r>
            <w:fldChar w:fldCharType="begin"/>
          </w:r>
          <w:r>
            <w:instrText xml:space="preserve"> PAGEREF _Toc12777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储备总体安排</w:t>
          </w:r>
          <w:r>
            <w:tab/>
          </w:r>
          <w:r>
            <w:fldChar w:fldCharType="begin"/>
          </w:r>
          <w:r>
            <w:instrText xml:space="preserve"> PAGEREF _Toc26550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_Toc24815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储备培养加强措施</w:t>
          </w:r>
          <w:r>
            <w:tab/>
          </w:r>
          <w:r>
            <w:fldChar w:fldCharType="begin"/>
          </w:r>
          <w:r>
            <w:instrText xml:space="preserve"> PAGEREF _Toc24815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_Toc18960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储备计划执行跟踪</w:t>
          </w:r>
          <w:r>
            <w:tab/>
          </w:r>
          <w:r>
            <w:fldChar w:fldCharType="begin"/>
          </w:r>
          <w:r>
            <w:instrText xml:space="preserve"> PAGEREF _Toc18960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人员培训计划</w:t>
          </w:r>
          <w:r>
            <w:tab/>
          </w:r>
          <w:r>
            <w:fldChar w:fldCharType="begin"/>
          </w:r>
          <w:r>
            <w:instrText xml:space="preserve"> PAGEREF _Toc25146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_Toc26951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培训总体安排</w:t>
          </w:r>
          <w:r>
            <w:tab/>
          </w:r>
          <w:r>
            <w:fldChar w:fldCharType="begin"/>
          </w:r>
          <w:r>
            <w:instrText xml:space="preserve"> PAGEREF _Toc26951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培训预算汇总</w:t>
          </w:r>
          <w:r>
            <w:tab/>
          </w:r>
          <w:r>
            <w:fldChar w:fldCharType="begin"/>
          </w:r>
          <w:r>
            <w:instrText xml:space="preserve"> PAGEREF _Toc18165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培训计划执行跟踪</w:t>
          </w:r>
          <w:r>
            <w:tab/>
          </w:r>
          <w:r>
            <w:fldChar w:fldCharType="begin"/>
          </w:r>
          <w:r>
            <w:instrText xml:space="preserve"> PAGEREF _Toc28961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关键岗位备份计划</w:t>
          </w:r>
          <w:r>
            <w:tab/>
          </w:r>
          <w:r>
            <w:fldChar w:fldCharType="begin"/>
          </w:r>
          <w:r>
            <w:instrText xml:space="preserve"> PAGEREF _Toc5608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备份总体安排</w:t>
          </w:r>
          <w:r>
            <w:tab/>
          </w:r>
          <w:r>
            <w:fldChar w:fldCharType="begin"/>
          </w:r>
          <w:r>
            <w:instrText xml:space="preserve"> PAGEREF _Toc14045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_Toc31376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备份计划执行跟踪</w:t>
          </w:r>
          <w:r>
            <w:tab/>
          </w:r>
          <w:r>
            <w:fldChar w:fldCharType="begin"/>
          </w:r>
          <w:r>
            <w:instrText xml:space="preserve"> PAGEREF _Toc31376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_Toc32373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人员绩效考核计划</w:t>
          </w:r>
          <w:r>
            <w:tab/>
          </w:r>
          <w:r>
            <w:fldChar w:fldCharType="begin"/>
          </w:r>
          <w:r>
            <w:instrText xml:space="preserve"> PAGEREF _Toc32373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考核周期</w:t>
          </w:r>
          <w:r>
            <w:tab/>
          </w:r>
          <w:r>
            <w:fldChar w:fldCharType="begin"/>
          </w:r>
          <w:r>
            <w:instrText xml:space="preserve"> PAGEREF _Toc32190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绩效考核跟踪</w:t>
          </w:r>
          <w:r>
            <w:tab/>
          </w:r>
          <w:r>
            <w:fldChar w:fldCharType="begin"/>
          </w:r>
          <w:r>
            <w:instrText xml:space="preserve"> PAGEREF _Toc14121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人员技能评定计划</w:t>
          </w:r>
          <w:r>
            <w:tab/>
          </w:r>
          <w:r>
            <w:fldChar w:fldCharType="begin"/>
          </w:r>
          <w:r>
            <w:instrText xml:space="preserve"> PAGEREF _Toc7300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评定周期</w:t>
          </w:r>
          <w:r>
            <w:tab/>
          </w:r>
          <w:r>
            <w:fldChar w:fldCharType="begin"/>
          </w:r>
          <w:r>
            <w:instrText xml:space="preserve"> PAGEREF _Toc20818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技能等级</w:t>
          </w:r>
          <w:r>
            <w:tab/>
          </w:r>
          <w:r>
            <w:fldChar w:fldCharType="begin"/>
          </w:r>
          <w:r>
            <w:instrText xml:space="preserve"> PAGEREF _Toc30520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_Toc8133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技能评定内容</w:t>
          </w:r>
          <w:r>
            <w:tab/>
          </w:r>
          <w:r>
            <w:fldChar w:fldCharType="begin"/>
          </w:r>
          <w:r>
            <w:instrText xml:space="preserve"> PAGEREF _Toc8133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_Toc25040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8.4. 技能评定结果应用</w:t>
          </w:r>
          <w:r>
            <w:tab/>
          </w:r>
          <w:r>
            <w:fldChar w:fldCharType="begin"/>
          </w:r>
          <w:r>
            <w:instrText xml:space="preserve"> PAGEREF _Toc25040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8.5. 技能评定执行跟踪</w:t>
          </w:r>
          <w:r>
            <w:tab/>
          </w:r>
          <w:r>
            <w:fldChar w:fldCharType="begin"/>
          </w:r>
          <w:r>
            <w:instrText xml:space="preserve"> PAGEREF _Toc2382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" w:name="_Toc17965"/>
      <w:r>
        <w:rPr>
          <w:rFonts w:hint="default"/>
          <w:lang w:val="en-US" w:eastAsia="zh-CN"/>
        </w:rPr>
        <w:t>目的</w:t>
      </w:r>
      <w:bookmarkEnd w:id="2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服务人员管理工作，确保运维服务团队人员配置合理、能力满足要求、关键岗位有备份保障、绩效管理科学有效、技能持续提升，持续增强运维服务能力，满足ITSS信息技术服务运行维护标准要求，特制定本计划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年度计划调整说明：基于2025年度人员管理执行情况，针对运维项目经理招聘渠道单一、储备人员实战经验不足、用户操作熟练度差异、数据完整性偶有不达标等问题，本计划在招聘渠道、储备培养、培训内容等方面进行了针对性优化调整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3" w:name="_Toc12471"/>
      <w:r>
        <w:rPr>
          <w:rFonts w:hint="default"/>
          <w:lang w:val="en-US" w:eastAsia="zh-CN"/>
        </w:rPr>
        <w:t>适用范围</w:t>
      </w:r>
      <w:bookmarkEnd w:id="3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本计划适用于公司2026年度运维服务相关人员的招聘、储备、培训、备份、绩效考核和技能评定工作，涵盖运维部、研发部、产品产品质量部、综合部等部门。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4" w:name="_Toc31446"/>
      <w:r>
        <w:rPr>
          <w:rFonts w:hint="default"/>
          <w:lang w:val="en-US" w:eastAsia="zh-CN"/>
        </w:rPr>
        <w:t>人员招聘计划</w:t>
      </w:r>
      <w:bookmarkEnd w:id="4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公司2026年度运维服务业务的正常开展，满足各部门人员配置需求，确保关键岗位及时补充，根据公司战略发展目标和年度人员编制计划，制定本招聘计划。招聘工作遵循“按需招聘、择优录用、人岗匹配”的原则，通过内部培养与外部引进相结合的方式，为公司运维服务能力建设提供坚实的人力资源保障。</w:t>
      </w:r>
    </w:p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5" w:name="_Toc19124"/>
      <w:r>
        <w:rPr>
          <w:rFonts w:hint="default"/>
          <w:lang w:val="en-US" w:eastAsia="zh-CN"/>
        </w:rPr>
        <w:t>招聘总体安排</w:t>
      </w:r>
      <w:bookmarkEnd w:id="5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针对2025年运维项目经理候选人来源渠道单一、招聘周期长的问题，2026年新增猎头招聘渠道，建立运维项目经理专项人才库，扩大候选人来源，提升岗位招聘效率。</w:t>
      </w:r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8"/>
        <w:gridCol w:w="947"/>
        <w:gridCol w:w="1304"/>
        <w:gridCol w:w="1422"/>
        <w:gridCol w:w="1741"/>
        <w:gridCol w:w="625"/>
        <w:gridCol w:w="625"/>
        <w:gridCol w:w="625"/>
        <w:gridCol w:w="62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1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95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</w:t>
            </w:r>
          </w:p>
        </w:tc>
        <w:tc>
          <w:tcPr>
            <w:tcW w:w="132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44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计划招聘总人数</w:t>
            </w:r>
          </w:p>
        </w:tc>
        <w:tc>
          <w:tcPr>
            <w:tcW w:w="177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招聘方式</w:t>
            </w:r>
          </w:p>
        </w:tc>
        <w:tc>
          <w:tcPr>
            <w:tcW w:w="60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Q1</w:t>
            </w:r>
          </w:p>
        </w:tc>
        <w:tc>
          <w:tcPr>
            <w:tcW w:w="60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Q2</w:t>
            </w:r>
          </w:p>
        </w:tc>
        <w:tc>
          <w:tcPr>
            <w:tcW w:w="60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Q3</w:t>
            </w:r>
          </w:p>
        </w:tc>
        <w:tc>
          <w:tcPr>
            <w:tcW w:w="6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Q4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招聘网站/猎头/内部储备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硬件运维工程师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招聘网站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软件运维工程师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招聘网站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招聘网站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产品产品质量部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产品产品质量部专员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招聘网站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1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77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wordWrap/>
              <w:overflowPunct/>
              <w:topLinePunct w:val="0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6" w:name="_Toc11799"/>
      <w:r>
        <w:rPr>
          <w:rFonts w:hint="default"/>
          <w:lang w:val="en-US" w:eastAsia="zh-CN"/>
        </w:rPr>
        <w:t>招聘计划执行跟踪</w:t>
      </w:r>
      <w:bookmarkEnd w:id="6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综合部每季度对招聘计划执行情况进行跟踪统计，包括各岗位招聘进度、到岗情况、招聘渠道效果等，形成《招聘进度报告》，并统计招聘计划达成率。达成率计算公式为：（实际</w:t>
      </w:r>
      <w:r>
        <w:rPr>
          <w:rFonts w:hint="eastAsia"/>
          <w:lang w:val="en-US" w:eastAsia="zh-CN"/>
        </w:rPr>
        <w:t>招聘</w:t>
      </w:r>
      <w:r>
        <w:rPr>
          <w:rFonts w:hint="default"/>
          <w:lang w:val="en-US" w:eastAsia="zh-CN"/>
        </w:rPr>
        <w:t>人数/计划招聘人数）×100%。跟踪结果作为招聘工作改进和人员配置调整的依据，相关数据纳入季度绩效考核。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KPI指标：人员招聘计划达成率 ≥80%（季度）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7" w:name="_Toc12777"/>
      <w:r>
        <w:rPr>
          <w:rFonts w:hint="default"/>
          <w:lang w:val="en-US" w:eastAsia="zh-CN"/>
        </w:rPr>
        <w:t>人员储备计划</w:t>
      </w:r>
      <w:bookmarkEnd w:id="7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公司关键岗位人员变动的连续性，降低因人员流失、岗位调整带来的业务风险，建立可持续的人才供给机制，特制定本储备计划。储备工作遵循“提前规划、定向培养、动态管理”的原则，通过内部培养与外部引进相结合的方式，为公司运维服务能力建设提供稳定的人才梯队支持，确保关键岗位空缺时能够快速补位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6550"/>
      <w:r>
        <w:rPr>
          <w:rFonts w:hint="default"/>
          <w:lang w:val="en-US" w:eastAsia="zh-CN"/>
        </w:rPr>
        <w:t>储备总体安排</w:t>
      </w:r>
      <w:bookmarkEnd w:id="8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储备分为外部招聘和内部培养。外部招聘计划如第三节“人员招聘计划”，内部培养储备如下表所示。</w:t>
      </w:r>
    </w:p>
    <w:tbl>
      <w:tblPr>
        <w:tblStyle w:val="TableNormal"/>
        <w:tblW w:w="849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9"/>
        <w:gridCol w:w="1696"/>
        <w:gridCol w:w="1905"/>
        <w:gridCol w:w="1278"/>
        <w:gridCol w:w="1696"/>
        <w:gridCol w:w="1279"/>
      </w:tblGrid>
      <w:tr>
        <w:tblPrEx>
          <w:tblW w:w="8493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储备岗位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储备方式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储备目标人数</w:t>
            </w:r>
          </w:p>
        </w:tc>
        <w:tc>
          <w:tcPr>
            <w:tcW w:w="127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储备来源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软件运维工程师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内部培养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内部选拔</w:t>
            </w:r>
          </w:p>
        </w:tc>
      </w:tr>
      <w:tr>
        <w:tblPrEx>
          <w:tblW w:w="849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技术支持工程师</w:t>
            </w:r>
          </w:p>
        </w:tc>
        <w:tc>
          <w:tcPr>
            <w:tcW w:w="12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内部培养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1人</w:t>
            </w:r>
          </w:p>
        </w:tc>
        <w:tc>
          <w:tcPr>
            <w:tcW w:w="12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内部选拔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4815"/>
      <w:r>
        <w:rPr>
          <w:rFonts w:hint="default"/>
          <w:lang w:val="en-US" w:eastAsia="zh-CN"/>
        </w:rPr>
        <w:t>储备培养加强措施</w:t>
      </w:r>
      <w:bookmarkEnd w:id="9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针对2025年储备人员实战经验不足的问题，2026年将加强以下培养措施：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顶岗实习：每季度至少安排储备人员顶岗实习2天，在A角指导下实际承担储备岗位的部分工作，顶岗情况记录在《储备人员顶岗实习记录表》中。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导师带教：建立导师带教机制，由经验丰富的在岗人员对储备人员进行一对一指导，定期评估储备人员的能力提升情况。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实战演练：组织储备人员参与应急演练和重大故障处理，积累实战经验。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18960"/>
      <w:r>
        <w:rPr>
          <w:rFonts w:hint="default"/>
          <w:lang w:val="en-US" w:eastAsia="zh-CN"/>
        </w:rPr>
        <w:t>储备计划执行跟踪</w:t>
      </w:r>
      <w:bookmarkEnd w:id="10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每季度对储备计划执行情况进行跟踪，包括储备人员选拔进度、培养计划完成情况、储备人员能力评估等，形成《储备人员评估报告》，并统计储备计划达成率。达成率计算公式为：（实际储备人数/计划储备人数）×100%。跟踪结果作为储备人员选拔、培养方案调整和岗位晋升的参考依据，相关数据纳入季度绩效考核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KPI指标：人员储备计划达成率 ≥80%（季度）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1" w:name="_Toc25146"/>
      <w:r>
        <w:rPr>
          <w:rFonts w:hint="default"/>
          <w:lang w:val="en-US" w:eastAsia="zh-CN"/>
        </w:rPr>
        <w:t>人员培训计划</w:t>
      </w:r>
      <w:bookmarkEnd w:id="11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提升员工的专业技能和综合素质，确保运维服务人员能力满足岗位要求，根据《人员培训管理制度》制定2026年度培训计划。培训主要分为管理、技术、操作三个方向，综合部对培训情况进行汇总并对相关课件进行统一归档。</w:t>
      </w:r>
    </w:p>
    <w:p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num="1" w:space="425"/>
          <w:docGrid w:type="lines" w:linePitch="312" w:charSpace="0"/>
        </w:sectPr>
      </w:pPr>
      <w:r>
        <w:rPr>
          <w:rFonts w:hint="default"/>
          <w:lang w:val="en-US" w:eastAsia="zh-CN"/>
        </w:rPr>
        <w:br w:type="page"/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6951"/>
      <w:r>
        <w:rPr>
          <w:rFonts w:hint="default"/>
          <w:lang w:val="en-US" w:eastAsia="zh-CN"/>
        </w:rPr>
        <w:t>培训总体安排</w:t>
      </w:r>
      <w:bookmarkEnd w:id="12"/>
    </w:p>
    <w:tbl>
      <w:tblPr>
        <w:tblStyle w:val="TableNormal"/>
        <w:tblW w:w="1417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9"/>
        <w:gridCol w:w="782"/>
        <w:gridCol w:w="2296"/>
        <w:gridCol w:w="1161"/>
        <w:gridCol w:w="1538"/>
        <w:gridCol w:w="1348"/>
        <w:gridCol w:w="1161"/>
        <w:gridCol w:w="1393"/>
        <w:gridCol w:w="1163"/>
        <w:gridCol w:w="1350"/>
        <w:gridCol w:w="1353"/>
      </w:tblGrid>
      <w:tr>
        <w:tblPrEx>
          <w:tblW w:w="1417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2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类型</w:t>
            </w:r>
          </w:p>
        </w:tc>
        <w:tc>
          <w:tcPr>
            <w:tcW w:w="78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序号</w:t>
            </w:r>
          </w:p>
        </w:tc>
        <w:tc>
          <w:tcPr>
            <w:tcW w:w="229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培训内容</w:t>
            </w:r>
          </w:p>
        </w:tc>
        <w:tc>
          <w:tcPr>
            <w:tcW w:w="116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培训时长</w:t>
            </w:r>
          </w:p>
        </w:tc>
        <w:tc>
          <w:tcPr>
            <w:tcW w:w="153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培训对象</w:t>
            </w:r>
          </w:p>
        </w:tc>
        <w:tc>
          <w:tcPr>
            <w:tcW w:w="134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培训老师</w:t>
            </w:r>
          </w:p>
        </w:tc>
        <w:tc>
          <w:tcPr>
            <w:tcW w:w="116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培训方式</w:t>
            </w:r>
          </w:p>
        </w:tc>
        <w:tc>
          <w:tcPr>
            <w:tcW w:w="139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计划时间</w:t>
            </w:r>
          </w:p>
        </w:tc>
        <w:tc>
          <w:tcPr>
            <w:tcW w:w="11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考核方式</w:t>
            </w:r>
          </w:p>
        </w:tc>
        <w:tc>
          <w:tcPr>
            <w:tcW w:w="134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负责部门</w:t>
            </w:r>
          </w:p>
        </w:tc>
        <w:tc>
          <w:tcPr>
            <w:tcW w:w="135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预算（元）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管理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新员工入职培训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2.5h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入职新员工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黄剑锋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入职一周内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口头提问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500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管理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ITSS运维体系培训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4h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部门经理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外部专家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外训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2026年1月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现场交流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4000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管理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3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质量管理培训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3h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部门经理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熊振翔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2026年2月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现场交流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产品产品质量部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1200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4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数据库监控工具培训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3h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运维工程师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石宝升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2026年3月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实操考核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800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5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自动化运维培训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4h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运维工程师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外部专家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外训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2026年4月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心得总结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3000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6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安全加固与漏洞管理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3h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运维相关人员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外部专家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外训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2026年5月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现场交流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2500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7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进阶故障处理培训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3h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运维工程师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姚耿桂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2026年6月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案例答辩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1200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技术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8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性能优化培训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运维工程师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石宝升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2026年7月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现场交流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800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操作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9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服务台进阶培训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服务台专员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姚耿桂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2026年8月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口头提问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500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管理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10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服务知识管理培训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运维相关人员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石宝升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2026年9月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口头提问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研发部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500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管理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11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信息安全风险培训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3h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运维相关人员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外部专家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外训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2026年10月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现场交流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4800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操作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12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备件管理制度培训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1.5h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备件管理人员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刘文桂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2026年11月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口头提问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综合部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500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管理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13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数据管理与完整性培训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运维相关人员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产品产品质量部经理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2026年3月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笔试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产品产品质量部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800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管理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14</w:t>
            </w: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年度技能评定培训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2h</w:t>
            </w: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全体员工</w:t>
            </w: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产品产品质量部经理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内训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2026年12月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笔试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产品产品质量部</w:t>
            </w: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1000</w:t>
            </w:r>
          </w:p>
        </w:tc>
      </w:tr>
      <w:tr>
        <w:tblPrEx>
          <w:tblW w:w="14174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合计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22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3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</w:p>
        </w:tc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3"/>
                <w:szCs w:val="13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3"/>
                <w:szCs w:val="13"/>
                <w:lang w:val="en-US" w:eastAsia="zh-CN"/>
              </w:rPr>
              <w:t>22100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cols w:num="1" w:space="425"/>
          <w:docGrid w:type="lines" w:linePitch="312" w:charSpace="0"/>
        </w:sect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8165"/>
      <w:r>
        <w:rPr>
          <w:rFonts w:hint="default"/>
          <w:lang w:val="en-US" w:eastAsia="zh-CN"/>
        </w:rPr>
        <w:t>培训预算汇总</w:t>
      </w:r>
      <w:bookmarkEnd w:id="1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1"/>
        <w:gridCol w:w="2306"/>
        <w:gridCol w:w="4658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预算金额（元）</w:t>
            </w:r>
          </w:p>
        </w:tc>
        <w:tc>
          <w:tcPr>
            <w:tcW w:w="465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11600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内训+外训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5100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技术培训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产品产品质量部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3000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质量管理培训+数据管理培训+技能评定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2400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新员工入职培训、备件管理培训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3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总计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22100</w:t>
            </w:r>
          </w:p>
        </w:tc>
        <w:tc>
          <w:tcPr>
            <w:tcW w:w="46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right"/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9"/>
                <w:szCs w:val="19"/>
              </w:rPr>
            </w:pP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4" w:name="_Toc28961"/>
      <w:r>
        <w:rPr>
          <w:rFonts w:hint="default"/>
          <w:lang w:val="en-US" w:eastAsia="zh-CN"/>
        </w:rPr>
        <w:t>培训计划执行跟踪</w:t>
      </w:r>
      <w:bookmarkEnd w:id="14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综合部</w:t>
      </w:r>
      <w:r>
        <w:rPr>
          <w:rFonts w:hint="default"/>
          <w:lang w:val="en-US" w:eastAsia="zh-CN"/>
        </w:rPr>
        <w:t>经理每季度对培训计划执行情况进行跟踪统计，包括培训课程完成情况、参训人员出勤率、培训效果评估等，形成《培训执行记录》，并统计培训计划达成率。达成率计算公式为：（实际培训完成课程数/计划培训课程数）×100%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综合部经理每季度对培训计划达成率进行汇总统计，形成《培训达成率统计表》，作为培训工作改进和培训预算调整的依据。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产品产品质量部经理在每次培训结束后，组织参训人员进行培训效果评估，收集反馈意见，形成《培训效果评估表》，评估结果作为后续培训课程优化和讲师能力提升的参考。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以上跟踪结果均纳入季度绩效考核，确保培训工作按计划有效落地。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KPI指标：人员培训计划达成率 ≥90%（季度）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5" w:name="_Toc5608"/>
      <w:r>
        <w:rPr>
          <w:rFonts w:hint="default"/>
          <w:lang w:val="en-US" w:eastAsia="zh-CN"/>
        </w:rPr>
        <w:t>关键岗位备份计划</w:t>
      </w:r>
      <w:bookmarkEnd w:id="15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按照《人员备份管理制度》要求，对关键岗位进行备份管理，确保关键岗位人员因各种原因无法履职时能够迅速接替，保障业务连续性。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14045"/>
      <w:r>
        <w:rPr>
          <w:rFonts w:hint="default"/>
          <w:lang w:val="en-US" w:eastAsia="zh-CN"/>
        </w:rPr>
        <w:t>备份总体安排</w:t>
      </w:r>
      <w:bookmarkEnd w:id="16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8"/>
        <w:gridCol w:w="2031"/>
        <w:gridCol w:w="1808"/>
        <w:gridCol w:w="1499"/>
        <w:gridCol w:w="1809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A岗位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B岗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备份要求</w:t>
            </w:r>
          </w:p>
        </w:tc>
        <w:tc>
          <w:tcPr>
            <w:tcW w:w="180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A/B岗轮岗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研发工程师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A/B岗轮岗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产品产品质量部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产品产品质量部经理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产品产品质量部专员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A/B岗轮岗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4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综合部经理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人事专员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A/B岗轮岗</w:t>
            </w:r>
          </w:p>
        </w:tc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备份计划完成时间更加集中在上半年（6月前全部完成），比2025年（10月完成）更加紧凑，确保备份机制尽早建立并运行。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31376"/>
      <w:r>
        <w:rPr>
          <w:rFonts w:hint="default"/>
          <w:lang w:val="en-US" w:eastAsia="zh-CN"/>
        </w:rPr>
        <w:t>备份计划执行跟踪</w:t>
      </w:r>
      <w:bookmarkEnd w:id="17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经理每季度对备份计划执行情况进行跟踪统计，包括备份人员选拔进度、培养计划完成情况、备份人员能力评估等，形成《备份人员评估报告》，并统计备份人员能力达标率。能力达标率计算公式为：（能力验证合格的备份人员数/备份人员总数）×100%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综合部经理每季度对备份计划达成率进行汇总统计，形成《备份能力达标统计表》，作为备份人员选拔、培养方案调整和岗位晋升的参考依据。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对于能力验证不合格的备份人员，由部门负责人制定专项提升计划，限期完成能力补足；连续两次验证不合格的，取消备份资格，由其他符合条件的人员递补。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以上跟踪结果均纳入季度绩效考核，确保关键岗位人员备份机制有效运行。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KPI指标：备份人员能力达标率 ≥90%（季度）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18" w:name="_Toc32373"/>
      <w:r>
        <w:rPr>
          <w:rFonts w:hint="default"/>
          <w:lang w:val="en-US" w:eastAsia="zh-CN"/>
        </w:rPr>
        <w:t>人员绩效考核计划</w:t>
      </w:r>
      <w:bookmarkEnd w:id="18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按照《人员绩效考核及技能评价管理制度》，对全体员工进行绩效考核，确保考核公平、公正、及时完成，考核结果与薪酬调整、岗位晋升、培训需求识别等挂钩。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32190"/>
      <w:r>
        <w:rPr>
          <w:rFonts w:hint="default"/>
          <w:lang w:val="en-US" w:eastAsia="zh-CN"/>
        </w:rPr>
        <w:t>考核周期</w:t>
      </w:r>
      <w:bookmarkEnd w:id="19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2"/>
        <w:gridCol w:w="1946"/>
        <w:gridCol w:w="1672"/>
        <w:gridCol w:w="1822"/>
        <w:gridCol w:w="167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考核周期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考核对象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考核时间</w:t>
            </w:r>
          </w:p>
        </w:tc>
        <w:tc>
          <w:tcPr>
            <w:tcW w:w="167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月度考核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每月一次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每月5日前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季度考核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每季度一次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每季度末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年度考核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每年一次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12月</w:t>
            </w:r>
          </w:p>
        </w:tc>
        <w:tc>
          <w:tcPr>
            <w:tcW w:w="167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0" w:name="_Toc14121"/>
      <w:r>
        <w:rPr>
          <w:rFonts w:hint="default"/>
          <w:lang w:val="en-US" w:eastAsia="zh-CN"/>
        </w:rPr>
        <w:t>绩效考核跟踪</w:t>
      </w:r>
      <w:bookmarkEnd w:id="20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经理每月对绩效考核执行情况进行跟踪统计，包括考核材料提交情况、考核完成进度、考核结果汇总等，形成《绩效考核结果汇总表》，并统计绩效考核及时完成率。及时完成率计算公式为：（按时完成绩效考核的员工数/应参加绩效考核总人数）×100%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综合部经理每月对绩效考核及时完成率进行汇总统计，形成《绩效完成率统计表》，作为各部门绩效考核执行情况的评价依据。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对于未按时完成绩效考核的部门或个人，由综合部进行通报提醒，并纳入部门负责人月度绩效考核扣分项；连续两次未按时完成的，由分管副总经理约谈部门负责人。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考核结果经员工确认后，由综合部归档保存，作为薪酬调整、岗位晋升、培训需求识别的重要依据。员工对考核结果有异议的，可在结果公布后5个工作日内向综合部提出申诉，综合部在接到申诉后7个工作日内组织复核并反馈结果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以上跟踪结果纳入季度绩效考核，确保绩效考核工作公平、公正、及时完成。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KPI指标：绩效考核及时完成率 100%（月度）</w:t>
      </w:r>
    </w:p>
    <w:p>
      <w:pPr>
        <w:pStyle w:val="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bookmarkStart w:id="21" w:name="_Toc7300"/>
      <w:r>
        <w:rPr>
          <w:rFonts w:hint="default"/>
          <w:lang w:val="en-US" w:eastAsia="zh-CN"/>
        </w:rPr>
        <w:t>人员技能评定计划</w:t>
      </w:r>
      <w:bookmarkEnd w:id="21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科学评估员工专业技能水平，识别能力短板，为岗位任职、晋升调薪、培训需求提供依据，特制定本技能评定计划。评定工作遵循“客观公正、注重实效、持续改进”的原则，采用笔试、实操、案例答辩相结合的方式进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20818"/>
      <w:r>
        <w:rPr>
          <w:rFonts w:hint="default"/>
          <w:lang w:val="en-US" w:eastAsia="zh-CN"/>
        </w:rPr>
        <w:t>评定周期</w:t>
      </w:r>
      <w:bookmarkEnd w:id="2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3"/>
        <w:gridCol w:w="1584"/>
        <w:gridCol w:w="1808"/>
        <w:gridCol w:w="1946"/>
        <w:gridCol w:w="136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评定周期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评定对象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评定时间</w:t>
            </w:r>
          </w:p>
        </w:tc>
        <w:tc>
          <w:tcPr>
            <w:tcW w:w="136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半年度技能评定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每半年一次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每年6月、12月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入职技能评定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入职时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试用期内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79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晋升技能评定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晋升前</w:t>
            </w:r>
          </w:p>
        </w:tc>
        <w:tc>
          <w:tcPr>
            <w:tcW w:w="18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申请晋升人员</w:t>
            </w:r>
          </w:p>
        </w:tc>
        <w:tc>
          <w:tcPr>
            <w:tcW w:w="19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晋升评审前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3" w:name="_Toc30520"/>
      <w:r>
        <w:rPr>
          <w:rFonts w:hint="default"/>
          <w:lang w:val="en-US" w:eastAsia="zh-CN"/>
        </w:rPr>
        <w:t>技能等级</w:t>
      </w:r>
      <w:bookmarkEnd w:id="2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3"/>
        <w:gridCol w:w="1229"/>
        <w:gridCol w:w="593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技能等级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评估分数</w:t>
            </w:r>
          </w:p>
        </w:tc>
        <w:tc>
          <w:tcPr>
            <w:tcW w:w="593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A级（专家）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90-100分</w:t>
            </w:r>
          </w:p>
        </w:tc>
        <w:tc>
          <w:tcPr>
            <w:tcW w:w="59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能够引领技术方向，技术创新；技能优秀，可担任导师或备份人员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B级（高级）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80-89分</w:t>
            </w:r>
          </w:p>
        </w:tc>
        <w:tc>
          <w:tcPr>
            <w:tcW w:w="59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能够解决疑难问题，指导他人；技能良好，可独立承担岗位工作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C级（中级）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60-79分</w:t>
            </w:r>
          </w:p>
        </w:tc>
        <w:tc>
          <w:tcPr>
            <w:tcW w:w="593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能够独立处理复杂问题；技能合格，需持续提升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33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D级（初级）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60分以下</w:t>
            </w:r>
          </w:p>
        </w:tc>
        <w:tc>
          <w:tcPr>
            <w:tcW w:w="59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能够独立完成基础运维工作；技能不足，需参加专项培训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4" w:name="_Toc8133"/>
      <w:r>
        <w:rPr>
          <w:rFonts w:hint="default"/>
          <w:lang w:val="en-US" w:eastAsia="zh-CN"/>
        </w:rPr>
        <w:t>技能评定内容</w:t>
      </w:r>
      <w:bookmarkEnd w:id="2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5"/>
        <w:gridCol w:w="991"/>
        <w:gridCol w:w="3632"/>
        <w:gridCol w:w="265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评定维度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权重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评定内容</w:t>
            </w:r>
          </w:p>
        </w:tc>
        <w:tc>
          <w:tcPr>
            <w:tcW w:w="265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评定方式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专业知识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岗位相关技术理论知识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笔试、面试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操作技能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实际操作能力、故障处理能力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实操考核、案例演练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问题解决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复杂问题分析、解决能力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案例答辩、工作成果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1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知识贡献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10%</w:t>
            </w:r>
          </w:p>
        </w:tc>
        <w:tc>
          <w:tcPr>
            <w:tcW w:w="36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知识库贡献、培训授课</w:t>
            </w:r>
          </w:p>
        </w:tc>
        <w:tc>
          <w:tcPr>
            <w:tcW w:w="26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知识库记录、培训记录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5" w:name="_Toc25040"/>
      <w:r>
        <w:rPr>
          <w:rFonts w:hint="default"/>
          <w:lang w:val="en-US" w:eastAsia="zh-CN"/>
        </w:rPr>
        <w:t>技能评定结果应用</w:t>
      </w:r>
      <w:bookmarkEnd w:id="2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8"/>
        <w:gridCol w:w="622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应用方向</w:t>
            </w:r>
          </w:p>
        </w:tc>
        <w:tc>
          <w:tcPr>
            <w:tcW w:w="62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具体方式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岗位任职资格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A/B级可担任关键岗位，C/D级需持续提升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绩效奖金调节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技能等级与绩效奖金系数挂钩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培训需求识别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D级人员需参加专项培训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2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备份人员选拔</w:t>
            </w:r>
          </w:p>
        </w:tc>
        <w:tc>
          <w:tcPr>
            <w:tcW w:w="62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A/B级人员优先作为关键岗位备份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26" w:name="_Toc2382"/>
      <w:r>
        <w:rPr>
          <w:rFonts w:hint="default"/>
          <w:lang w:val="en-US" w:eastAsia="zh-CN"/>
        </w:rPr>
        <w:t>技能评定执行跟踪</w:t>
      </w:r>
      <w:bookmarkEnd w:id="26"/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根据《人员绩效考核及技能评价管理制度》KPI指标要求，综合部经理每半年对技能评定执行情况进行跟踪统计：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跟踪内容：包括评定计划完成情况、参评人员覆盖率、评定结果分布、技能等级变化趋势等，形成《技能评定结果汇总表》。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覆盖率统计：技能评价覆盖率计算公式为：（实际参加技能评价的员工数/应参加技能评价员工总数）×100%，目标值为100%。综合部经理每半年对技能评价覆盖率进行汇总统计，形成《技能评价覆盖率统计表》，作为技能评定工作改进和培训需求识别的依据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果处理：对于评定结果为D级（60分以下）的员工，由部门负责人制定专项提升计划，安排导师辅导和针对性培训，限期完成能力提升；连续两次评定结果为D级的，纳入重点关注对象，由产品产品质量部进行跟踪帮扶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技能提升激励：为持续提升高等级人员占比（2025年从62.5%提升至75%），2026年将继续强化技能提升激励，对技能等级提升的员工给予绩效加分和培训资源倾斜。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诉机制：技能评定结果经员工确认后，由综合部归档保存。员工对评定结果有异议的，可在结果公布后10个工作日内向产品产品质量部提出复核申请，产品产品质量部在接到申请后7个工作日内组织复核并反馈结果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以上跟踪结果纳入半年度绩效考核，确保技能评定工作有效落地，与《人员绩效考核及技能评价管理制度》形成闭环管理。</w:t>
      </w:r>
    </w:p>
    <w:p>
      <w:pPr>
        <w:pStyle w:val="a1"/>
        <w:keepNext w:val="0"/>
        <w:keepLines w:val="0"/>
        <w:pageBreakBefore w:val="0"/>
        <w:widowControl w:val="0"/>
        <w:wordWrap/>
        <w:overflowPunct/>
        <w:topLinePunct w:val="0"/>
        <w:bidi w:val="0"/>
        <w:snapToGrid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KPI指标：技能评价覆盖率 100%（半年度）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1922</Words>
  <Characters>2110</Characters>
  <Application>Microsoft Office Word</Application>
  <DocSecurity>0</DocSecurity>
  <Lines>0</Lines>
  <Paragraphs>0</Paragraphs>
  <ScaleCrop>false</ScaleCrop>
  <Company/>
  <LinksUpToDate>false</LinksUpToDate>
  <CharactersWithSpaces>2212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2026-04-08T05:42:03Z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