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运维服务级别管理制度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_Toc11016 </w:instrText>
          </w:r>
          <w:r>
            <w:fldChar w:fldCharType="separate"/>
          </w:r>
          <w:r>
            <w:rPr>
              <w:rFonts w:hint="default"/>
              <w:lang w:val="en-US" w:eastAsia="zh-CN"/>
            </w:rPr>
            <w:t>1. 目的</w:t>
          </w:r>
          <w:r>
            <w:tab/>
          </w:r>
          <w:r>
            <w:fldChar w:fldCharType="begin"/>
          </w:r>
          <w:r>
            <w:instrText xml:space="preserve"> PAGEREF _Toc11016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_Toc30426 </w:instrText>
          </w:r>
          <w:r>
            <w:fldChar w:fldCharType="separate"/>
          </w:r>
          <w:r>
            <w:rPr>
              <w:rFonts w:hint="default"/>
              <w:lang w:val="en-US" w:eastAsia="zh-CN"/>
            </w:rPr>
            <w:t>2. 过程定义</w:t>
          </w:r>
          <w:r>
            <w:tab/>
          </w:r>
          <w:r>
            <w:fldChar w:fldCharType="begin"/>
          </w:r>
          <w:r>
            <w:instrText xml:space="preserve"> PAGEREF _Toc30426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_Toc26102 </w:instrText>
          </w:r>
          <w:r>
            <w:fldChar w:fldCharType="separate"/>
          </w:r>
          <w:r>
            <w:rPr>
              <w:rFonts w:hint="default"/>
              <w:lang w:val="en-US" w:eastAsia="zh-CN"/>
            </w:rPr>
            <w:t>2.1. 范围</w:t>
          </w:r>
          <w:r>
            <w:tab/>
          </w:r>
          <w:r>
            <w:fldChar w:fldCharType="begin"/>
          </w:r>
          <w:r>
            <w:instrText xml:space="preserve"> PAGEREF _Toc26102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_Toc32218 </w:instrText>
          </w:r>
          <w:r>
            <w:fldChar w:fldCharType="separate"/>
          </w:r>
          <w:r>
            <w:rPr>
              <w:rFonts w:hint="default"/>
              <w:lang w:val="en-US" w:eastAsia="zh-CN"/>
            </w:rPr>
            <w:t>2.2. 过程负责人</w:t>
          </w:r>
          <w:r>
            <w:tab/>
          </w:r>
          <w:r>
            <w:fldChar w:fldCharType="begin"/>
          </w:r>
          <w:r>
            <w:instrText xml:space="preserve"> PAGEREF _Toc32218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_Toc12211 </w:instrText>
          </w:r>
          <w:r>
            <w:fldChar w:fldCharType="separate"/>
          </w:r>
          <w:r>
            <w:rPr>
              <w:rFonts w:hint="default"/>
              <w:lang w:val="en-US" w:eastAsia="zh-CN"/>
            </w:rPr>
            <w:t>2.3. 主要输入</w:t>
          </w:r>
          <w:r>
            <w:tab/>
          </w:r>
          <w:r>
            <w:fldChar w:fldCharType="begin"/>
          </w:r>
          <w:r>
            <w:instrText xml:space="preserve"> PAGEREF _Toc12211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_Toc29190 </w:instrText>
          </w:r>
          <w:r>
            <w:fldChar w:fldCharType="separate"/>
          </w:r>
          <w:r>
            <w:rPr>
              <w:rFonts w:hint="default"/>
              <w:lang w:val="en-US" w:eastAsia="zh-CN"/>
            </w:rPr>
            <w:t>2.4. 主要输出</w:t>
          </w:r>
          <w:r>
            <w:tab/>
          </w:r>
          <w:r>
            <w:fldChar w:fldCharType="begin"/>
          </w:r>
          <w:r>
            <w:instrText xml:space="preserve"> PAGEREF _Toc29190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_Toc5670 </w:instrText>
          </w:r>
          <w:r>
            <w:fldChar w:fldCharType="separate"/>
          </w:r>
          <w:r>
            <w:rPr>
              <w:rFonts w:hint="default"/>
              <w:lang w:val="en-US" w:eastAsia="zh-CN"/>
            </w:rPr>
            <w:t>2.5. 职责权限</w:t>
          </w:r>
          <w:r>
            <w:tab/>
          </w:r>
          <w:r>
            <w:fldChar w:fldCharType="begin"/>
          </w:r>
          <w:r>
            <w:instrText xml:space="preserve"> PAGEREF _Toc5670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_Toc20587 </w:instrText>
          </w:r>
          <w:r>
            <w:fldChar w:fldCharType="separate"/>
          </w:r>
          <w:r>
            <w:rPr>
              <w:rFonts w:hint="default"/>
              <w:lang w:val="en-US" w:eastAsia="zh-CN"/>
            </w:rPr>
            <w:t>3. 术语</w:t>
          </w:r>
          <w:r>
            <w:tab/>
          </w:r>
          <w:r>
            <w:fldChar w:fldCharType="begin"/>
          </w:r>
          <w:r>
            <w:instrText xml:space="preserve"> PAGEREF _Toc20587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_Toc13792 </w:instrText>
          </w:r>
          <w:r>
            <w:fldChar w:fldCharType="separate"/>
          </w:r>
          <w:r>
            <w:rPr>
              <w:rFonts w:hint="default"/>
              <w:lang w:val="en-US" w:eastAsia="zh-CN"/>
            </w:rPr>
            <w:t>4. 流程</w:t>
          </w:r>
          <w:r>
            <w:tab/>
          </w:r>
          <w:r>
            <w:fldChar w:fldCharType="begin"/>
          </w:r>
          <w:r>
            <w:instrText xml:space="preserve"> PAGEREF _Toc13792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_Toc28711 </w:instrText>
          </w:r>
          <w:r>
            <w:fldChar w:fldCharType="separate"/>
          </w:r>
          <w:r>
            <w:rPr>
              <w:rFonts w:hint="default"/>
              <w:lang w:val="en-US" w:eastAsia="zh-CN"/>
            </w:rPr>
            <w:t>5. 过程描述</w:t>
          </w:r>
          <w:r>
            <w:tab/>
          </w:r>
          <w:r>
            <w:fldChar w:fldCharType="begin"/>
          </w:r>
          <w:r>
            <w:instrText xml:space="preserve"> PAGEREF _Toc28711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_Toc19214 </w:instrText>
          </w:r>
          <w:r>
            <w:fldChar w:fldCharType="separate"/>
          </w:r>
          <w:r>
            <w:rPr>
              <w:rFonts w:hint="default"/>
              <w:lang w:val="en-US" w:eastAsia="zh-CN"/>
            </w:rPr>
            <w:t>5.1. 识别分析、定义服务需求</w:t>
          </w:r>
          <w:r>
            <w:tab/>
          </w:r>
          <w:r>
            <w:fldChar w:fldCharType="begin"/>
          </w:r>
          <w:r>
            <w:instrText xml:space="preserve"> PAGEREF _Toc19214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 </w:instrText>
          </w:r>
          <w:r>
            <w:fldChar w:fldCharType="separate"/>
          </w:r>
          <w:r>
            <w:rPr>
              <w:rFonts w:hint="default"/>
              <w:lang w:val="en-US" w:eastAsia="zh-CN"/>
            </w:rPr>
            <w:t>5.2. 签订服务级别协议和支持合同</w:t>
          </w:r>
          <w:r>
            <w:tab/>
          </w:r>
          <w:r>
            <w:fldChar w:fldCharType="begin"/>
          </w:r>
          <w:r>
            <w:instrText xml:space="preserve"> PAGEREF _Toc20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_Toc9982 </w:instrText>
          </w:r>
          <w:r>
            <w:fldChar w:fldCharType="separate"/>
          </w:r>
          <w:r>
            <w:rPr>
              <w:rFonts w:hint="default"/>
              <w:lang w:val="en-US" w:eastAsia="zh-CN"/>
            </w:rPr>
            <w:t>5.2.1. 制定和修订SLA</w:t>
          </w:r>
          <w:r>
            <w:tab/>
          </w:r>
          <w:r>
            <w:fldChar w:fldCharType="begin"/>
          </w:r>
          <w:r>
            <w:instrText xml:space="preserve"> PAGEREF _Toc9982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_Toc23230 </w:instrText>
          </w:r>
          <w:r>
            <w:fldChar w:fldCharType="separate"/>
          </w:r>
          <w:r>
            <w:rPr>
              <w:rFonts w:hint="default"/>
              <w:lang w:val="en-US" w:eastAsia="zh-CN"/>
            </w:rPr>
            <w:t>5.2.2. 制定和修订UC</w:t>
          </w:r>
          <w:r>
            <w:tab/>
          </w:r>
          <w:r>
            <w:fldChar w:fldCharType="begin"/>
          </w:r>
          <w:r>
            <w:instrText xml:space="preserve"> PAGEREF _Toc23230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_Toc5815 </w:instrText>
          </w:r>
          <w:r>
            <w:fldChar w:fldCharType="separate"/>
          </w:r>
          <w:r>
            <w:rPr>
              <w:rFonts w:hint="default"/>
              <w:lang w:val="en-US" w:eastAsia="zh-CN"/>
            </w:rPr>
            <w:t>5.3. 采购管理</w:t>
          </w:r>
          <w:r>
            <w:tab/>
          </w:r>
          <w:r>
            <w:fldChar w:fldCharType="begin"/>
          </w:r>
          <w:r>
            <w:instrText xml:space="preserve"> PAGEREF _Toc5815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_Toc11021 </w:instrText>
          </w:r>
          <w:r>
            <w:fldChar w:fldCharType="separate"/>
          </w:r>
          <w:r>
            <w:rPr>
              <w:rFonts w:hint="default"/>
              <w:lang w:val="en-US" w:eastAsia="zh-CN"/>
            </w:rPr>
            <w:t>5.4. 制定或完善服务目录</w:t>
          </w:r>
          <w:r>
            <w:tab/>
          </w:r>
          <w:r>
            <w:fldChar w:fldCharType="begin"/>
          </w:r>
          <w:r>
            <w:instrText xml:space="preserve"> PAGEREF _Toc11021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_Toc27515 </w:instrText>
          </w:r>
          <w:r>
            <w:fldChar w:fldCharType="separate"/>
          </w:r>
          <w:r>
            <w:rPr>
              <w:rFonts w:hint="default"/>
              <w:lang w:val="en-US" w:eastAsia="zh-CN"/>
            </w:rPr>
            <w:t>5.5. 监控服务级别执行情况</w:t>
          </w:r>
          <w:r>
            <w:tab/>
          </w:r>
          <w:r>
            <w:fldChar w:fldCharType="begin"/>
          </w:r>
          <w:r>
            <w:instrText xml:space="preserve"> PAGEREF _Toc27515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_Toc28494 </w:instrText>
          </w:r>
          <w:r>
            <w:fldChar w:fldCharType="separate"/>
          </w:r>
          <w:r>
            <w:rPr>
              <w:rFonts w:hint="default"/>
              <w:lang w:val="en-US" w:eastAsia="zh-CN"/>
            </w:rPr>
            <w:t>5.6. 执行情况汇报和评审</w:t>
          </w:r>
          <w:r>
            <w:tab/>
          </w:r>
          <w:r>
            <w:fldChar w:fldCharType="begin"/>
          </w:r>
          <w:r>
            <w:instrText xml:space="preserve"> PAGEREF _Toc28494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_Toc7211 </w:instrText>
          </w:r>
          <w:r>
            <w:fldChar w:fldCharType="separate"/>
          </w:r>
          <w:r>
            <w:rPr>
              <w:rFonts w:hint="default"/>
              <w:lang w:val="en-US" w:eastAsia="zh-CN"/>
            </w:rPr>
            <w:t>5.6.1. 执行情况汇报</w:t>
          </w:r>
          <w:r>
            <w:tab/>
          </w:r>
          <w:r>
            <w:fldChar w:fldCharType="begin"/>
          </w:r>
          <w:r>
            <w:instrText xml:space="preserve"> PAGEREF _Toc7211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_Toc5507 </w:instrText>
          </w:r>
          <w:r>
            <w:fldChar w:fldCharType="separate"/>
          </w:r>
          <w:r>
            <w:rPr>
              <w:rFonts w:hint="default"/>
              <w:lang w:val="en-US" w:eastAsia="zh-CN"/>
            </w:rPr>
            <w:t>5.6.2. 管理评审</w:t>
          </w:r>
          <w:r>
            <w:tab/>
          </w:r>
          <w:r>
            <w:fldChar w:fldCharType="begin"/>
          </w:r>
          <w:r>
            <w:instrText xml:space="preserve"> PAGEREF _Toc5507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_Toc28381 </w:instrText>
          </w:r>
          <w:r>
            <w:fldChar w:fldCharType="separate"/>
          </w:r>
          <w:r>
            <w:rPr>
              <w:rFonts w:hint="default"/>
              <w:lang w:val="en-US" w:eastAsia="zh-CN"/>
            </w:rPr>
            <w:t>5.6.3. 管理评审内容</w:t>
          </w:r>
          <w:r>
            <w:tab/>
          </w:r>
          <w:r>
            <w:fldChar w:fldCharType="begin"/>
          </w:r>
          <w:r>
            <w:instrText xml:space="preserve"> PAGEREF _Toc28381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_Toc795 </w:instrText>
          </w:r>
          <w:r>
            <w:fldChar w:fldCharType="separate"/>
          </w:r>
          <w:r>
            <w:rPr>
              <w:rFonts w:hint="default"/>
              <w:lang w:val="en-US" w:eastAsia="zh-CN"/>
            </w:rPr>
            <w:t>5.7. 持续改进</w:t>
          </w:r>
          <w:r>
            <w:tab/>
          </w:r>
          <w:r>
            <w:fldChar w:fldCharType="begin"/>
          </w:r>
          <w:r>
            <w:instrText xml:space="preserve"> PAGEREF _Toc795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_Toc21549 </w:instrText>
          </w:r>
          <w:r>
            <w:fldChar w:fldCharType="separate"/>
          </w:r>
          <w:r>
            <w:rPr>
              <w:rFonts w:hint="default"/>
              <w:lang w:val="en-US" w:eastAsia="zh-CN"/>
            </w:rPr>
            <w:t>6. KPI指标</w:t>
          </w:r>
          <w:r>
            <w:tab/>
          </w:r>
          <w:r>
            <w:fldChar w:fldCharType="begin"/>
          </w:r>
          <w:r>
            <w:instrText xml:space="preserve"> PAGEREF _Toc21549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_Toc11139 </w:instrText>
          </w:r>
          <w:r>
            <w:fldChar w:fldCharType="separate"/>
          </w:r>
          <w:r>
            <w:rPr>
              <w:rFonts w:hint="default"/>
              <w:lang w:val="en-US" w:eastAsia="zh-CN"/>
            </w:rPr>
            <w:t>7. 相关文件</w:t>
          </w:r>
          <w:r>
            <w:tab/>
          </w:r>
          <w:r>
            <w:fldChar w:fldCharType="begin"/>
          </w:r>
          <w:r>
            <w:instrText xml:space="preserve"> PAGEREF _Toc11139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_Toc10767 </w:instrText>
          </w:r>
          <w:r>
            <w:fldChar w:fldCharType="separate"/>
          </w:r>
          <w:r>
            <w:rPr>
              <w:rFonts w:hint="default"/>
              <w:lang w:val="en-US" w:eastAsia="zh-CN"/>
            </w:rPr>
            <w:t>8. 相关记录</w:t>
          </w:r>
          <w:r>
            <w:tab/>
          </w:r>
          <w:r>
            <w:fldChar w:fldCharType="begin"/>
          </w:r>
          <w:r>
            <w:instrText xml:space="preserve"> PAGEREF _Toc10767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_Toc2599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主要输入表</w:t>
      </w:r>
      <w:r>
        <w:tab/>
      </w:r>
      <w:r>
        <w:fldChar w:fldCharType="begin"/>
      </w:r>
      <w:r>
        <w:instrText xml:space="preserve"> PAGEREF _Toc2599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_Toc10232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default"/>
          <w:lang w:val="en-US" w:eastAsia="zh-CN"/>
        </w:rPr>
        <w:t xml:space="preserve"> 主要输出表</w:t>
      </w:r>
      <w:r>
        <w:tab/>
      </w:r>
      <w:r>
        <w:fldChar w:fldCharType="begin"/>
      </w:r>
      <w:r>
        <w:instrText xml:space="preserve"> PAGEREF _Toc10232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_Toc9572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职责权限表</w:t>
      </w:r>
      <w:r>
        <w:tab/>
      </w:r>
      <w:r>
        <w:fldChar w:fldCharType="begin"/>
      </w:r>
      <w:r>
        <w:instrText xml:space="preserve"> PAGEREF _Toc9572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_Toc14418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_Toc14418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_Toc4735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_Toc4735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_Toc17594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_Toc17594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_Toc21949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服务级别管理流程图</w:t>
      </w:r>
      <w:r>
        <w:tab/>
      </w:r>
      <w:r>
        <w:fldChar w:fldCharType="begin"/>
      </w:r>
      <w:r>
        <w:instrText xml:space="preserve"> PAGEREF _Toc21949 \h </w:instrText>
      </w:r>
      <w:r>
        <w:fldChar w:fldCharType="separate"/>
      </w:r>
      <w:r>
        <w:t>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1016"/>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本程序旨在对华风数据(深圳)有限公司（以下简称“公司”）的运维服务级别进行协商、监控和报告，确保实现双方协商确定的服务等级，且公司提供的运维服务得到持续的维护和改进。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有效的服务级别管理可以改进客户业务运作的绩效并因此而提高客户满意度。公司能够更加清楚被期望提供什么和可以实际提供什么，从而更好地计划、预算和管理所提供的服务。</w:t>
      </w:r>
    </w:p>
    <w:p>
      <w:pPr>
        <w:pStyle w:val="a1"/>
        <w:bidi w:val="0"/>
        <w:rPr>
          <w:rFonts w:hint="default"/>
          <w:lang w:val="en-US" w:eastAsia="zh-CN"/>
        </w:rPr>
      </w:pPr>
      <w:r>
        <w:rPr>
          <w:rFonts w:hint="default"/>
          <w:lang w:val="en-US" w:eastAsia="zh-CN"/>
        </w:rPr>
        <w:t>本程序的具体目的如下：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整合提供服务所需的各种要素；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生成清晰地描述服务项目中各种要素的文档；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以客户能够理解并涉及的术语对所要提供的服务进行描述；</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整合战略和业务需求；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以可控的方式改进服务提供。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30426"/>
      <w:r>
        <w:rPr>
          <w:rFonts w:hint="default"/>
          <w:lang w:val="en-US" w:eastAsia="zh-CN"/>
        </w:rPr>
        <w:t>过程定义</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6102"/>
      <w:r>
        <w:rPr>
          <w:rFonts w:hint="default"/>
          <w:lang w:val="en-US" w:eastAsia="zh-CN"/>
        </w:rPr>
        <w:t>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本程序适用于运维服务所覆盖的所有部门，包括运维部、研发部、产品产品质量部、综合部、采购部等。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本程序适用的服务活动主要包括在服务提供过程中发生的服务提供方与其他相关主体之间就服务质量所进行的协调活动，主要包括两个协议所调整和规范的各方主体的行为及活动：</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服务级别协议（SLA）</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支持合同（UC）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2218"/>
      <w:r>
        <w:rPr>
          <w:rFonts w:hint="default"/>
          <w:lang w:val="en-US" w:eastAsia="zh-CN"/>
        </w:rPr>
        <w:t>过程负责人</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服务级别管理负责人：运维部经理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2211"/>
      <w:r>
        <w:rPr>
          <w:rFonts w:hint="default"/>
          <w:lang w:val="en-US" w:eastAsia="zh-CN"/>
        </w:rPr>
        <w:t>主要输入</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599"/>
      <w:r>
        <w:rPr>
          <w:rFonts w:hint="default"/>
          <w:lang w:val="en-US" w:eastAsia="zh-CN"/>
        </w:rPr>
        <w:t xml:space="preserve"> 主要输入表</w:t>
      </w:r>
      <w:bookmarkEnd w:id="7"/>
    </w:p>
    <w:tbl>
      <w:tblPr>
        <w:tblStyle w:val="TableNormal"/>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46"/>
        <w:gridCol w:w="4449"/>
      </w:tblGrid>
      <w:tr>
        <w:tblPrEx>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444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来源</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服务合同</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与客户签署的服务合同</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客户承诺的服务协议</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与客户约定的服务承诺</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会议纪要</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各部门例会达成的决议</w:t>
            </w:r>
          </w:p>
        </w:tc>
      </w:tr>
      <w:tr>
        <w:tblPrEx>
          <w:tblW w:w="8495" w:type="dxa"/>
          <w:tblInd w:w="0" w:type="dxa"/>
          <w:shd w:val="clear" w:color="auto" w:fill="auto"/>
          <w:tblCellMar>
            <w:top w:w="15" w:type="dxa"/>
            <w:left w:w="15" w:type="dxa"/>
            <w:bottom w:w="15" w:type="dxa"/>
            <w:right w:w="15" w:type="dxa"/>
          </w:tblCellMar>
        </w:tblPrEx>
        <w:trPr>
          <w:trHeight w:val="0"/>
        </w:trPr>
        <w:tc>
          <w:tcPr>
            <w:tcW w:w="40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管理评审结果</w:t>
            </w:r>
          </w:p>
        </w:tc>
        <w:tc>
          <w:tcPr>
            <w:tcW w:w="444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公司的管理评审程序</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9190"/>
      <w:r>
        <w:rPr>
          <w:rFonts w:hint="default"/>
          <w:lang w:val="en-US" w:eastAsia="zh-CN"/>
        </w:rPr>
        <w:t>主要输出</w:t>
      </w:r>
      <w:bookmarkEnd w:id="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9" w:name="_Toc10232"/>
      <w:r>
        <w:rPr>
          <w:rFonts w:hint="default"/>
          <w:lang w:val="en-US" w:eastAsia="zh-CN"/>
        </w:rPr>
        <w:t xml:space="preserve"> 主要输出表</w:t>
      </w:r>
      <w:bookmarkEnd w:id="9"/>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875"/>
        <w:gridCol w:w="5623"/>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87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5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去向/用途</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服务规范（运维工作手册）</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作业指导书</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相关部门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承诺给客户的服务承诺；如客户无特别要求，运维部经理需整理服务承诺作为服务目标</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公司级服务目录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具体项目服务目录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服务改进管理流程</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服务需求说明书</w:t>
            </w:r>
          </w:p>
        </w:tc>
        <w:tc>
          <w:tcPr>
            <w:tcW w:w="5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调查分析用户需求</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670"/>
      <w:r>
        <w:rPr>
          <w:rFonts w:hint="default"/>
          <w:lang w:val="en-US" w:eastAsia="zh-CN"/>
        </w:rPr>
        <w:t>职责权限</w:t>
      </w:r>
      <w:bookmarkEnd w:id="1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1" w:name="_Toc9572"/>
      <w:r>
        <w:rPr>
          <w:rFonts w:hint="default"/>
          <w:lang w:val="en-US" w:eastAsia="zh-CN"/>
        </w:rPr>
        <w:t xml:space="preserve"> 职责权限表</w:t>
      </w:r>
      <w:bookmarkEnd w:id="11"/>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393"/>
        <w:gridCol w:w="5105"/>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510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制定和更新服务目录；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定义和维持有效的服务级别管理流程，包括：</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确定服务级别结构；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提出外部供应商服务支持请求；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更新现有的服务改进方案；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与有关方面协商谈判，参与合同评审，参与签订和维护SLA和UC；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评审客户服务质量，必要时采取改进措施。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运维项目经理</w:t>
            </w: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执行SLA、UC的制定或修订工作。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客户代表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提出服务建议和需求。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参与草拟和签订UC；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负责监督运维服务项目交付物质量管理；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为满足服务级别提供相应服务支持；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定期提供服务报告。</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综合部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负责供应商管理；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负责供应商支持合同询价、采购等；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SLA、UC合同等归档、保管；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负责业务合同的管理；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有关签订SLA、UC过程的组织、协调。</w:t>
            </w:r>
          </w:p>
        </w:tc>
      </w:tr>
      <w:tr>
        <w:tblPrEx>
          <w:tblW w:w="8498" w:type="dxa"/>
          <w:jc w:val="center"/>
          <w:shd w:val="clear" w:color="auto" w:fill="auto"/>
          <w:tblCellMar>
            <w:top w:w="15" w:type="dxa"/>
            <w:left w:w="15" w:type="dxa"/>
            <w:bottom w:w="15" w:type="dxa"/>
            <w:right w:w="15" w:type="dxa"/>
          </w:tblCellMar>
        </w:tblPrEx>
        <w:trPr>
          <w:trHeight w:val="0"/>
          <w:jc w:val="center"/>
        </w:trPr>
        <w:tc>
          <w:tcPr>
            <w:tcW w:w="339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产品产品质量部</w:t>
            </w:r>
          </w:p>
        </w:tc>
        <w:tc>
          <w:tcPr>
            <w:tcW w:w="510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负责监控服务级别过程的组织级质量管控。</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0587"/>
      <w:r>
        <w:rPr>
          <w:rFonts w:hint="default"/>
          <w:lang w:val="en-US" w:eastAsia="zh-CN"/>
        </w:rPr>
        <w:t>术语</w:t>
      </w:r>
      <w:bookmarkEnd w:id="1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4418"/>
      <w:r>
        <w:rPr>
          <w:rFonts w:hint="default"/>
          <w:lang w:val="en-US" w:eastAsia="zh-CN"/>
        </w:rPr>
        <w:t xml:space="preserve"> 术语定义表</w:t>
      </w:r>
      <w:bookmarkEnd w:id="13"/>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0"/>
        <w:gridCol w:w="7018"/>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01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服务级别管理（SLM）</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对服务的提供进行协商、定义、评价、管理以及以可接受的成本改进服务质量的流程。旨在服务质量的供应与需求、客户关系和服务成本之间找到合适的平衡点。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服务级别协议（SLA）</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规范流程、确保所有组件和承诺均配置妥当，以便为本服务项目提供优化的服务性能。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支持合同（UC）</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与外部供应商就某项服务的供应所签订的合同；通常是正式的合同，而SLA通常不是法律文本。</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对服务级别管理流程进行控制的人员，确保该流程有效地运作并提供预定的效益。</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8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服务目录</w:t>
            </w:r>
          </w:p>
        </w:tc>
        <w:tc>
          <w:tcPr>
            <w:tcW w:w="701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有关可用的服务资源及这些服务的服务级别的详细说明。</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3792"/>
      <w:r>
        <w:rPr>
          <w:rFonts w:hint="default"/>
          <w:lang w:val="en-US" w:eastAsia="zh-CN"/>
        </w:rPr>
        <w:t>流程</w:t>
      </w:r>
      <w:bookmarkEnd w:id="1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21949"/>
      <w:r>
        <w:rPr>
          <w:rFonts w:hint="default"/>
          <w:lang w:val="en-US" w:eastAsia="zh-CN"/>
        </w:rPr>
        <w:t xml:space="preserve"> 服务级别管理流程图</w:t>
      </w:r>
      <w:bookmarkEnd w:id="1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61.1pt;width:348.9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8711"/>
      <w:r>
        <w:rPr>
          <w:rFonts w:hint="default"/>
          <w:lang w:val="en-US" w:eastAsia="zh-CN"/>
        </w:rPr>
        <w:t>过程描述</w:t>
      </w:r>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9214"/>
      <w:r>
        <w:rPr>
          <w:rFonts w:hint="default"/>
          <w:lang w:val="en-US" w:eastAsia="zh-CN"/>
        </w:rPr>
        <w:t>识别分析、定义服务需求</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对客户签署的服务合同、会议纪要、管理评审结果等内容进行分析、设计与监控，确定客户服务运行的需求，形成《服务需求说明书》。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主要工作包括：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了解客户对业务服务的期望；</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服务必须处于可用状态的时间和天数；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服务持续性需求；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提供运维服务所需的内部协作部门；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在定义服务时需考虑的当前测试方法或质量标准的参考基准；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内部对服务及其需要组件的详细描述；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关于服务实施和提供方式的说明；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关于必要质量控制程序的说明；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定义服务级别的标准：可用性、响应时间、解决时间等。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原有服务规范为基础，随着服务的不断改进和提升，为满足客户服务需求，运维部应制定新业务的服务规范，并继续完善现有业务的服务规范。服务规范包括服务交付所实施的流程、运行监控及日常维护管理的技术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运维部根据识别、分析和定义的服务级别需求，增订/修订服务规范的内容，提交相关部门审核批准后发布。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0"/>
      <w:r>
        <w:rPr>
          <w:rFonts w:hint="default"/>
          <w:lang w:val="en-US" w:eastAsia="zh-CN"/>
        </w:rPr>
        <w:t>签订服务级别协议和支持合同</w:t>
      </w:r>
      <w:bookmarkEnd w:id="1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9982"/>
      <w:r>
        <w:rPr>
          <w:rFonts w:hint="default"/>
          <w:lang w:val="en-US" w:eastAsia="zh-CN"/>
        </w:rPr>
        <w:t>制定和修订SLA</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执行《服务级别协议》的制定或修订工作：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在确定《服务级别协议》结构时，先就整个公司的组织级运维服务目录进行定义，并制定总体性的以服务为基础的服务级别协议模型；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《服务级别协议》具有层次结构，表现为多个层次上的框架协议；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每一层次有其自身的详细程度：最高层承诺针对提供给整个组织的一般服务；较低层次承诺则与具体客户相关；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SLA须由客户确认后，提交运维部评审，通过后再经管理层评审；此评审活动应每年至少一次，评审结果形成《服务级别协议评审记录》；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客户提出的SLA变更请求，须由运维部评审通过后，再经管理层评审；对SLA的修订应使用变更管理流程进行控制；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《服务级别协议》经运维部讨论通过后，正式告知客户。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3230"/>
      <w:r>
        <w:rPr>
          <w:rFonts w:hint="default"/>
          <w:lang w:val="en-US" w:eastAsia="zh-CN"/>
        </w:rPr>
        <w:t>制定和修订UC</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为达成《服务级别协议》目标，如需第三方供应商支持，综合部经理需与外部供应商签订UC。UC必须考虑：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以《服务级别协议》为依据，制定相应的UC；</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《服务级别协议》的任何修改补充，均应在UC中得到修订；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第三方支持合同（UC）需通过合同评审，以公司名义与供应商签订。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运维部经理参与支持合同的协商、草拟、修订和终止工作。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当客户要求签订、修改或终止签有UC的服务合同时，运维部经理需同时向公司提出申请，要求签订、修改或终止相应的UC。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5815"/>
      <w:r>
        <w:rPr>
          <w:rFonts w:hint="default"/>
          <w:lang w:val="en-US" w:eastAsia="zh-CN"/>
        </w:rPr>
        <w:t>采购管理</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运维部经理提出采购申请，综合部负责具体的采购管理。采购管理参照《供应商管理制度》执行。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1021"/>
      <w:r>
        <w:rPr>
          <w:rFonts w:hint="default"/>
          <w:lang w:val="en-US" w:eastAsia="zh-CN"/>
        </w:rPr>
        <w:t>制定或完善服务目录</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运维部经理需针对服务项目制定或完善服务目录，注意要点：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尽量避免技术术语，使用符合业务的语言；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从客户角度看待问题，以此方法识别相关信息；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确保运维部及相关人员均可获取该文档。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7515"/>
      <w:r>
        <w:rPr>
          <w:rFonts w:hint="default"/>
          <w:lang w:val="en-US" w:eastAsia="zh-CN"/>
        </w:rPr>
        <w:t>监控服务级别执行情况</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服务级别必须从客户角度加以测度和评价：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监控不限于技术方面，应包括流程方面问题。例如，客户在得到服务已恢复通知前，仍认为服务不可用；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可用性管理和能力管理通常可提供与服务级别相关的技术目标实施情况信息；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必要时还应由服务支持流程（特别是事件管理）提供信息；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仅评价内部参数不够，因这些信息与客户体验无关。系统响应时间、升级时间、支持等方面也应尽量量化；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需结合来自系统的可用性和服务管理两方面的管理信息，才能获得全面考察。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8494"/>
      <w:r>
        <w:rPr>
          <w:rFonts w:hint="default"/>
          <w:lang w:val="en-US" w:eastAsia="zh-CN"/>
        </w:rPr>
        <w:t>执行情况汇报和评审</w:t>
      </w:r>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7211"/>
      <w:r>
        <w:rPr>
          <w:rFonts w:hint="default"/>
          <w:lang w:val="en-US" w:eastAsia="zh-CN"/>
        </w:rPr>
        <w:t>执行情况汇报</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各部门每季度组织部门例会，就本季度服务情况进行汇报总结，形成《会议纪要》，提出相关问题并落实人员改进。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5507"/>
      <w:r>
        <w:rPr>
          <w:rFonts w:hint="default"/>
          <w:lang w:val="en-US" w:eastAsia="zh-CN"/>
        </w:rPr>
        <w:t>管理评审</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评审频次：每年至少进行一次，对公司阶段工作进行评审分析；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追加评审：发生紧急和重大事件时需追加服务管理评审。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8381"/>
      <w:r>
        <w:rPr>
          <w:rFonts w:hint="default"/>
          <w:lang w:val="en-US" w:eastAsia="zh-CN"/>
        </w:rPr>
        <w:t>管理评审内容</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自上次评审以来公告的服务级别承诺、服务级别协议、与服务有关的问题；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服务趋势确认、约定服务级别范围内对服务所做的变更；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对程序所做的变更及对所需额外资源的估计；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未能提供约定服务级别的原因分析。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管理评审具体执行参照公司《管理评审管理制度》。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795"/>
      <w:r>
        <w:rPr>
          <w:rFonts w:hint="default"/>
          <w:lang w:val="en-US" w:eastAsia="zh-CN"/>
        </w:rPr>
        <w:t>持续改进</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运维部经理根据管理评审结果或部门例会《会议纪要》决议，识别问题和差距，提交持续改进：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填写《服务改进计划表》及跟踪表，分配额外人员和资源；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必要时对服务级别协议中定义的服务级别进行修改；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修改有关程序；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修改支持合同。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持续改进过程参照《能力改进管理制度》执行。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1549"/>
      <w:r>
        <w:rPr>
          <w:rFonts w:hint="default"/>
          <w:lang w:val="en-US" w:eastAsia="zh-CN"/>
        </w:rPr>
        <w:t>KPI指标</w:t>
      </w:r>
      <w:bookmarkEnd w:id="29"/>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4735"/>
      <w:r>
        <w:rPr>
          <w:rFonts w:hint="default"/>
          <w:lang w:val="en-US" w:eastAsia="zh-CN"/>
        </w:rPr>
        <w:t xml:space="preserve"> KPI指标表</w:t>
      </w:r>
      <w:bookmarkEnd w:id="3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5197"/>
        <w:gridCol w:w="872"/>
        <w:gridCol w:w="100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4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1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87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0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SLA达成率</w:t>
            </w:r>
          </w:p>
        </w:tc>
        <w:tc>
          <w:tcPr>
            <w:tcW w:w="519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已达成的SLA数 / 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应达成的SLA总数 × 100%</w:t>
            </w:r>
          </w:p>
        </w:tc>
        <w:tc>
          <w:tcPr>
            <w:tcW w:w="87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≥95%</w:t>
            </w:r>
          </w:p>
        </w:tc>
        <w:tc>
          <w:tcPr>
            <w:tcW w:w="100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w:t>
            </w:r>
          </w:p>
        </w:tc>
        <w:tc>
          <w:tcPr>
            <w:tcW w:w="51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SLA评审次数统计</w:t>
            </w:r>
          </w:p>
        </w:tc>
        <w:tc>
          <w:tcPr>
            <w:tcW w:w="87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w:t>
            </w:r>
            <w:r>
              <w:rPr>
                <w:rFonts w:ascii="Segoe UI" w:eastAsia="Segoe UI" w:hAnsi="Segoe UI" w:cs="Segoe UI" w:hint="eastAsia"/>
                <w:i w:val="0"/>
                <w:iCs w:val="0"/>
                <w:caps w:val="0"/>
                <w:snapToGrid w:val="0"/>
                <w:color w:val="000000"/>
                <w:spacing w:val="0"/>
                <w:kern w:val="0"/>
                <w:sz w:val="18"/>
                <w:szCs w:val="18"/>
                <w:lang w:val="en-US" w:eastAsia="zh-CN"/>
              </w:rPr>
              <w:t>1次</w:t>
            </w:r>
          </w:p>
        </w:tc>
        <w:tc>
          <w:tcPr>
            <w:tcW w:w="100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11139"/>
      <w:r>
        <w:rPr>
          <w:rFonts w:hint="default"/>
          <w:lang w:val="en-US" w:eastAsia="zh-CN"/>
        </w:rPr>
        <w:t>相关文件</w:t>
      </w:r>
      <w:bookmarkEnd w:id="31"/>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《供应商管理制度》</w:t>
      </w:r>
      <w:r>
        <w:rPr>
          <w:rFonts w:hint="default"/>
          <w:lang w:val="en-US" w:eastAsia="zh-CN"/>
        </w:rPr>
        <w:tab/>
      </w:r>
      <w:r>
        <w:rPr>
          <w:rFonts w:hint="default"/>
          <w:lang w:val="en-US" w:eastAsia="zh-CN"/>
        </w:rPr>
        <w:t>HFSJ-ITSS-</w:t>
      </w:r>
      <w:r>
        <w:rPr>
          <w:rFonts w:hint="eastAsia"/>
          <w:lang w:val="en-US" w:eastAsia="zh-CN"/>
        </w:rPr>
        <w:t>0807</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《管理评审管理制度》</w:t>
      </w:r>
      <w:r>
        <w:rPr>
          <w:rFonts w:hint="default"/>
          <w:lang w:val="en-US" w:eastAsia="zh-CN"/>
        </w:rPr>
        <w:tab/>
      </w:r>
      <w:r>
        <w:rPr>
          <w:rFonts w:hint="default"/>
          <w:lang w:val="en-US" w:eastAsia="zh-CN"/>
        </w:rPr>
        <w:t>HFSJ-ITSS-0402</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HFSJ-ITSS-0302</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0767"/>
      <w:r>
        <w:rPr>
          <w:rFonts w:hint="default"/>
          <w:lang w:val="en-US" w:eastAsia="zh-CN"/>
        </w:rPr>
        <w:t>相关记录</w:t>
      </w:r>
      <w:bookmarkEnd w:id="3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94"/>
      <w:r>
        <w:rPr>
          <w:rFonts w:hint="default"/>
          <w:lang w:val="en-US" w:eastAsia="zh-CN"/>
        </w:rPr>
        <w:t xml:space="preserve"> 相关记录表</w:t>
      </w:r>
      <w:bookmarkEnd w:id="3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817"/>
        <w:gridCol w:w="1839"/>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《服务目录》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《项目服务级别协议或服务合同》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81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183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45B3CA9"/>
    <w:multiLevelType w:val="singleLevel"/>
    <w:tmpl w:val="A45B3CA9"/>
    <w:lvl w:ilvl="0">
      <w:start w:val="1"/>
      <w:numFmt w:val="decimal"/>
      <w:lvlText w:val="%1."/>
      <w:lvlJc w:val="left"/>
      <w:pPr>
        <w:ind w:left="425" w:hanging="425"/>
      </w:pPr>
      <w:rPr>
        <w:rFonts w:hint="default"/>
      </w:rPr>
    </w:lvl>
  </w:abstractNum>
  <w:abstractNum w:abstractNumId="2">
    <w:nsid w:val="B8E6C3FD"/>
    <w:multiLevelType w:val="singleLevel"/>
    <w:tmpl w:val="B8E6C3FD"/>
    <w:lvl w:ilvl="0">
      <w:start w:val="1"/>
      <w:numFmt w:val="decimal"/>
      <w:lvlText w:val="%1."/>
      <w:lvlJc w:val="left"/>
      <w:pPr>
        <w:ind w:left="425" w:hanging="425"/>
      </w:pPr>
      <w:rPr>
        <w:rFonts w:hint="default"/>
      </w:rPr>
    </w:lvl>
  </w:abstractNum>
  <w:abstractNum w:abstractNumId="3">
    <w:nsid w:val="0C39644A"/>
    <w:multiLevelType w:val="singleLevel"/>
    <w:tmpl w:val="0C39644A"/>
    <w:lvl w:ilvl="0">
      <w:start w:val="1"/>
      <w:numFmt w:val="decimal"/>
      <w:lvlText w:val="%1."/>
      <w:lvlJc w:val="left"/>
      <w:pPr>
        <w:ind w:left="425" w:hanging="425"/>
      </w:pPr>
      <w:rPr>
        <w:rFonts w:hint="default"/>
      </w:rPr>
    </w:lvl>
  </w:abstractNum>
  <w:abstractNum w:abstractNumId="4">
    <w:nsid w:val="70C4D01C"/>
    <w:multiLevelType w:val="singleLevel"/>
    <w:tmpl w:val="70C4D01C"/>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12</Pages>
  <Words>1453</Words>
  <Characters>1652</Characters>
  <Application>Microsoft Office Word</Application>
  <DocSecurity>0</DocSecurity>
  <Lines>0</Lines>
  <Paragraphs>0</Paragraphs>
  <ScaleCrop>false</ScaleCrop>
  <Company/>
  <LinksUpToDate>false</LinksUpToDate>
  <CharactersWithSpaces>1812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