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运维服务事件管理制度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HFSJ-ITSS-0604</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bookmarkStart w:id="1" w:name="_GoBack"/>
          <w:bookmarkEnd w:id="1"/>
          <w:r>
            <w:fldChar w:fldCharType="begin"/>
          </w:r>
          <w:r>
            <w:instrText xml:space="preserve">TOC \o "1-3" \h \u </w:instrText>
          </w:r>
          <w:r>
            <w:fldChar w:fldCharType="separate"/>
          </w:r>
          <w:r>
            <w:fldChar w:fldCharType="begin"/>
          </w:r>
          <w:r>
            <w:instrText xml:space="preserve"> HYPERLINK \l _Toc3953 </w:instrText>
          </w:r>
          <w:r>
            <w:fldChar w:fldCharType="separate"/>
          </w:r>
          <w:r>
            <w:rPr>
              <w:rFonts w:hint="default"/>
              <w:lang w:val="en-US" w:eastAsia="zh-CN"/>
            </w:rPr>
            <w:t>1. 目的</w:t>
          </w:r>
          <w:r>
            <w:tab/>
          </w:r>
          <w:r>
            <w:fldChar w:fldCharType="begin"/>
          </w:r>
          <w:r>
            <w:instrText xml:space="preserve"> PAGEREF _Toc3953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_Toc29075 </w:instrText>
          </w:r>
          <w:r>
            <w:fldChar w:fldCharType="separate"/>
          </w:r>
          <w:r>
            <w:rPr>
              <w:rFonts w:hint="default"/>
              <w:lang w:val="en-US" w:eastAsia="zh-CN"/>
            </w:rPr>
            <w:t>2. 范围</w:t>
          </w:r>
          <w:r>
            <w:tab/>
          </w:r>
          <w:r>
            <w:fldChar w:fldCharType="begin"/>
          </w:r>
          <w:r>
            <w:instrText xml:space="preserve"> PAGEREF _Toc29075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_Toc16608 </w:instrText>
          </w:r>
          <w:r>
            <w:fldChar w:fldCharType="separate"/>
          </w:r>
          <w:r>
            <w:rPr>
              <w:rFonts w:hint="default"/>
              <w:lang w:val="en-US" w:eastAsia="zh-CN"/>
            </w:rPr>
            <w:t>3. 术语与定义</w:t>
          </w:r>
          <w:r>
            <w:tab/>
          </w:r>
          <w:r>
            <w:fldChar w:fldCharType="begin"/>
          </w:r>
          <w:r>
            <w:instrText xml:space="preserve"> PAGEREF _Toc16608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_Toc785 </w:instrText>
          </w:r>
          <w:r>
            <w:fldChar w:fldCharType="separate"/>
          </w:r>
          <w:r>
            <w:rPr>
              <w:rFonts w:hint="default"/>
              <w:lang w:val="en-US" w:eastAsia="zh-CN"/>
            </w:rPr>
            <w:t>4. 角色与职责</w:t>
          </w:r>
          <w:r>
            <w:tab/>
          </w:r>
          <w:r>
            <w:fldChar w:fldCharType="begin"/>
          </w:r>
          <w:r>
            <w:instrText xml:space="preserve"> PAGEREF _Toc785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_Toc14500 </w:instrText>
          </w:r>
          <w:r>
            <w:fldChar w:fldCharType="separate"/>
          </w:r>
          <w:r>
            <w:rPr>
              <w:rFonts w:hint="default"/>
              <w:lang w:val="en-US" w:eastAsia="zh-CN"/>
            </w:rPr>
            <w:t>5. 事件管理流程与其他流程的关系</w:t>
          </w:r>
          <w:r>
            <w:tab/>
          </w:r>
          <w:r>
            <w:fldChar w:fldCharType="begin"/>
          </w:r>
          <w:r>
            <w:instrText xml:space="preserve"> PAGEREF _Toc14500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_Toc15909 </w:instrText>
          </w:r>
          <w:r>
            <w:fldChar w:fldCharType="separate"/>
          </w:r>
          <w:r>
            <w:rPr>
              <w:rFonts w:hint="default"/>
              <w:lang w:val="en-US" w:eastAsia="zh-CN"/>
            </w:rPr>
            <w:t>5.1. 与服务级别管理的关系</w:t>
          </w:r>
          <w:r>
            <w:tab/>
          </w:r>
          <w:r>
            <w:fldChar w:fldCharType="begin"/>
          </w:r>
          <w:r>
            <w:instrText xml:space="preserve"> PAGEREF _Toc15909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_Toc10977 </w:instrText>
          </w:r>
          <w:r>
            <w:fldChar w:fldCharType="separate"/>
          </w:r>
          <w:r>
            <w:rPr>
              <w:rFonts w:hint="default"/>
              <w:lang w:val="en-US" w:eastAsia="zh-CN"/>
            </w:rPr>
            <w:t>5.2. 与问题管理的关系</w:t>
          </w:r>
          <w:r>
            <w:tab/>
          </w:r>
          <w:r>
            <w:fldChar w:fldCharType="begin"/>
          </w:r>
          <w:r>
            <w:instrText xml:space="preserve"> PAGEREF _Toc10977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_Toc23842 </w:instrText>
          </w:r>
          <w:r>
            <w:fldChar w:fldCharType="separate"/>
          </w:r>
          <w:r>
            <w:rPr>
              <w:rFonts w:hint="default"/>
              <w:lang w:val="en-US" w:eastAsia="zh-CN"/>
            </w:rPr>
            <w:t>5.3. 与变更管理的关系</w:t>
          </w:r>
          <w:r>
            <w:tab/>
          </w:r>
          <w:r>
            <w:fldChar w:fldCharType="begin"/>
          </w:r>
          <w:r>
            <w:instrText xml:space="preserve"> PAGEREF _Toc23842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_Toc19568 </w:instrText>
          </w:r>
          <w:r>
            <w:fldChar w:fldCharType="separate"/>
          </w:r>
          <w:r>
            <w:rPr>
              <w:rFonts w:hint="default"/>
              <w:lang w:val="en-US" w:eastAsia="zh-CN"/>
            </w:rPr>
            <w:t>5.4. 与配置管理的关系</w:t>
          </w:r>
          <w:r>
            <w:tab/>
          </w:r>
          <w:r>
            <w:fldChar w:fldCharType="begin"/>
          </w:r>
          <w:r>
            <w:instrText xml:space="preserve"> PAGEREF _Toc19568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_Toc24069 </w:instrText>
          </w:r>
          <w:r>
            <w:fldChar w:fldCharType="separate"/>
          </w:r>
          <w:r>
            <w:rPr>
              <w:rFonts w:hint="default"/>
              <w:lang w:val="en-US" w:eastAsia="zh-CN"/>
            </w:rPr>
            <w:t>5.5. 与服务报告管理的关系</w:t>
          </w:r>
          <w:r>
            <w:tab/>
          </w:r>
          <w:r>
            <w:fldChar w:fldCharType="begin"/>
          </w:r>
          <w:r>
            <w:instrText xml:space="preserve"> PAGEREF _Toc24069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_Toc30138 </w:instrText>
          </w:r>
          <w:r>
            <w:fldChar w:fldCharType="separate"/>
          </w:r>
          <w:r>
            <w:rPr>
              <w:rFonts w:hint="default"/>
              <w:lang w:val="en-US" w:eastAsia="zh-CN"/>
            </w:rPr>
            <w:t>5.6. 与知识库管理的关系</w:t>
          </w:r>
          <w:r>
            <w:tab/>
          </w:r>
          <w:r>
            <w:fldChar w:fldCharType="begin"/>
          </w:r>
          <w:r>
            <w:instrText xml:space="preserve"> PAGEREF _Toc30138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_Toc18537 </w:instrText>
          </w:r>
          <w:r>
            <w:fldChar w:fldCharType="separate"/>
          </w:r>
          <w:r>
            <w:rPr>
              <w:rFonts w:hint="default"/>
              <w:lang w:val="en-US" w:eastAsia="zh-CN"/>
            </w:rPr>
            <w:t>5.7. 与应急管理的关系</w:t>
          </w:r>
          <w:r>
            <w:tab/>
          </w:r>
          <w:r>
            <w:fldChar w:fldCharType="begin"/>
          </w:r>
          <w:r>
            <w:instrText xml:space="preserve"> PAGEREF _Toc18537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_Toc17763 </w:instrText>
          </w:r>
          <w:r>
            <w:fldChar w:fldCharType="separate"/>
          </w:r>
          <w:r>
            <w:rPr>
              <w:rFonts w:hint="default"/>
              <w:lang w:val="en-US" w:eastAsia="zh-CN"/>
            </w:rPr>
            <w:t>5.8. 与能力管理的关系</w:t>
          </w:r>
          <w:r>
            <w:tab/>
          </w:r>
          <w:r>
            <w:fldChar w:fldCharType="begin"/>
          </w:r>
          <w:r>
            <w:instrText xml:space="preserve"> PAGEREF _Toc17763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_Toc26642 </w:instrText>
          </w:r>
          <w:r>
            <w:fldChar w:fldCharType="separate"/>
          </w:r>
          <w:r>
            <w:rPr>
              <w:rFonts w:hint="default"/>
              <w:lang w:val="en-US" w:eastAsia="zh-CN"/>
            </w:rPr>
            <w:t>6. 事件分级与分类</w:t>
          </w:r>
          <w:r>
            <w:tab/>
          </w:r>
          <w:r>
            <w:fldChar w:fldCharType="begin"/>
          </w:r>
          <w:r>
            <w:instrText xml:space="preserve"> PAGEREF _Toc26642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_Toc2335 </w:instrText>
          </w:r>
          <w:r>
            <w:fldChar w:fldCharType="separate"/>
          </w:r>
          <w:r>
            <w:rPr>
              <w:rFonts w:hint="default"/>
              <w:lang w:val="en-US" w:eastAsia="zh-CN"/>
            </w:rPr>
            <w:t>6.1. 事件级别定义</w:t>
          </w:r>
          <w:r>
            <w:tab/>
          </w:r>
          <w:r>
            <w:fldChar w:fldCharType="begin"/>
          </w:r>
          <w:r>
            <w:instrText xml:space="preserve"> PAGEREF _Toc2335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_Toc18651 </w:instrText>
          </w:r>
          <w:r>
            <w:fldChar w:fldCharType="separate"/>
          </w:r>
          <w:r>
            <w:rPr>
              <w:rFonts w:hint="default"/>
              <w:lang w:val="en-US" w:eastAsia="zh-CN"/>
            </w:rPr>
            <w:t>6.2. 事件分类</w:t>
          </w:r>
          <w:r>
            <w:tab/>
          </w:r>
          <w:r>
            <w:fldChar w:fldCharType="begin"/>
          </w:r>
          <w:r>
            <w:instrText xml:space="preserve"> PAGEREF _Toc18651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_Toc9838 </w:instrText>
          </w:r>
          <w:r>
            <w:fldChar w:fldCharType="separate"/>
          </w:r>
          <w:r>
            <w:rPr>
              <w:rFonts w:hint="default"/>
              <w:lang w:val="en-US" w:eastAsia="zh-CN"/>
            </w:rPr>
            <w:t>7. 事件响应与升级机制</w:t>
          </w:r>
          <w:r>
            <w:tab/>
          </w:r>
          <w:r>
            <w:fldChar w:fldCharType="begin"/>
          </w:r>
          <w:r>
            <w:instrText xml:space="preserve"> PAGEREF _Toc9838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_Toc26381 </w:instrText>
          </w:r>
          <w:r>
            <w:fldChar w:fldCharType="separate"/>
          </w:r>
          <w:r>
            <w:rPr>
              <w:rFonts w:hint="default"/>
              <w:lang w:val="en-US" w:eastAsia="zh-CN"/>
            </w:rPr>
            <w:t>7.1. 事件响应时间</w:t>
          </w:r>
          <w:r>
            <w:tab/>
          </w:r>
          <w:r>
            <w:fldChar w:fldCharType="begin"/>
          </w:r>
          <w:r>
            <w:instrText xml:space="preserve"> PAGEREF _Toc26381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_Toc18971 </w:instrText>
          </w:r>
          <w:r>
            <w:fldChar w:fldCharType="separate"/>
          </w:r>
          <w:r>
            <w:rPr>
              <w:rFonts w:hint="default"/>
              <w:lang w:val="en-US" w:eastAsia="zh-CN"/>
            </w:rPr>
            <w:t>7.2. 事件升级时间</w:t>
          </w:r>
          <w:r>
            <w:tab/>
          </w:r>
          <w:r>
            <w:fldChar w:fldCharType="begin"/>
          </w:r>
          <w:r>
            <w:instrText xml:space="preserve"> PAGEREF _Toc18971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_Toc24418 </w:instrText>
          </w:r>
          <w:r>
            <w:fldChar w:fldCharType="separate"/>
          </w:r>
          <w:r>
            <w:rPr>
              <w:rFonts w:hint="default"/>
              <w:lang w:val="en-US" w:eastAsia="zh-CN"/>
            </w:rPr>
            <w:t>7.3. 事件状态定义</w:t>
          </w:r>
          <w:r>
            <w:tab/>
          </w:r>
          <w:r>
            <w:fldChar w:fldCharType="begin"/>
          </w:r>
          <w:r>
            <w:instrText xml:space="preserve"> PAGEREF _Toc24418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_Toc7332 </w:instrText>
          </w:r>
          <w:r>
            <w:fldChar w:fldCharType="separate"/>
          </w:r>
          <w:r>
            <w:rPr>
              <w:rFonts w:hint="default"/>
              <w:lang w:val="en-US" w:eastAsia="zh-CN"/>
            </w:rPr>
            <w:t>8. 事件处理流程</w:t>
          </w:r>
          <w:r>
            <w:tab/>
          </w:r>
          <w:r>
            <w:fldChar w:fldCharType="begin"/>
          </w:r>
          <w:r>
            <w:instrText xml:space="preserve"> PAGEREF _Toc7332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_Toc1100 </w:instrText>
          </w:r>
          <w:r>
            <w:fldChar w:fldCharType="separate"/>
          </w:r>
          <w:r>
            <w:rPr>
              <w:rFonts w:hint="default"/>
              <w:lang w:val="en-US" w:eastAsia="zh-CN"/>
            </w:rPr>
            <w:t>8.1. 普通事件处理流程</w:t>
          </w:r>
          <w:r>
            <w:tab/>
          </w:r>
          <w:r>
            <w:fldChar w:fldCharType="begin"/>
          </w:r>
          <w:r>
            <w:instrText xml:space="preserve"> PAGEREF _Toc1100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_Toc27386 </w:instrText>
          </w:r>
          <w:r>
            <w:fldChar w:fldCharType="separate"/>
          </w:r>
          <w:r>
            <w:rPr>
              <w:rFonts w:hint="default"/>
              <w:lang w:val="en-US" w:eastAsia="zh-CN"/>
            </w:rPr>
            <w:t>8.1.1. 热线受理</w:t>
          </w:r>
          <w:r>
            <w:tab/>
          </w:r>
          <w:r>
            <w:fldChar w:fldCharType="begin"/>
          </w:r>
          <w:r>
            <w:instrText xml:space="preserve"> PAGEREF _Toc27386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_Toc10800 </w:instrText>
          </w:r>
          <w:r>
            <w:fldChar w:fldCharType="separate"/>
          </w:r>
          <w:r>
            <w:rPr>
              <w:rFonts w:hint="default"/>
              <w:lang w:val="en-US" w:eastAsia="zh-CN"/>
            </w:rPr>
            <w:t>8.1.2. 请求记录和分类</w:t>
          </w:r>
          <w:r>
            <w:tab/>
          </w:r>
          <w:r>
            <w:fldChar w:fldCharType="begin"/>
          </w:r>
          <w:r>
            <w:instrText xml:space="preserve"> PAGEREF _Toc10800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_Toc28223 </w:instrText>
          </w:r>
          <w:r>
            <w:fldChar w:fldCharType="separate"/>
          </w:r>
          <w:r>
            <w:rPr>
              <w:rFonts w:hint="default"/>
              <w:lang w:val="en-US" w:eastAsia="zh-CN"/>
            </w:rPr>
            <w:t>8.1.3. 一线支持尝试解决</w:t>
          </w:r>
          <w:r>
            <w:tab/>
          </w:r>
          <w:r>
            <w:fldChar w:fldCharType="begin"/>
          </w:r>
          <w:r>
            <w:instrText xml:space="preserve"> PAGEREF _Toc28223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_Toc19122 </w:instrText>
          </w:r>
          <w:r>
            <w:fldChar w:fldCharType="separate"/>
          </w:r>
          <w:r>
            <w:rPr>
              <w:rFonts w:hint="default"/>
              <w:lang w:val="en-US" w:eastAsia="zh-CN"/>
            </w:rPr>
            <w:t>8.1.4. 二线支持处理</w:t>
          </w:r>
          <w:r>
            <w:tab/>
          </w:r>
          <w:r>
            <w:fldChar w:fldCharType="begin"/>
          </w:r>
          <w:r>
            <w:instrText xml:space="preserve"> PAGEREF _Toc19122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_Toc29286 </w:instrText>
          </w:r>
          <w:r>
            <w:fldChar w:fldCharType="separate"/>
          </w:r>
          <w:r>
            <w:rPr>
              <w:rFonts w:hint="default"/>
              <w:lang w:val="en-US" w:eastAsia="zh-CN"/>
            </w:rPr>
            <w:t>8.1.5. 三线支持处理</w:t>
          </w:r>
          <w:r>
            <w:tab/>
          </w:r>
          <w:r>
            <w:fldChar w:fldCharType="begin"/>
          </w:r>
          <w:r>
            <w:instrText xml:space="preserve"> PAGEREF _Toc29286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_Toc24402 </w:instrText>
          </w:r>
          <w:r>
            <w:fldChar w:fldCharType="separate"/>
          </w:r>
          <w:r>
            <w:rPr>
              <w:rFonts w:hint="default"/>
              <w:lang w:val="en-US" w:eastAsia="zh-CN"/>
            </w:rPr>
            <w:t>8.1.6. 工单结束</w:t>
          </w:r>
          <w:r>
            <w:tab/>
          </w:r>
          <w:r>
            <w:fldChar w:fldCharType="begin"/>
          </w:r>
          <w:r>
            <w:instrText xml:space="preserve"> PAGEREF _Toc24402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_Toc23268 </w:instrText>
          </w:r>
          <w:r>
            <w:fldChar w:fldCharType="separate"/>
          </w:r>
          <w:r>
            <w:rPr>
              <w:rFonts w:hint="default"/>
              <w:lang w:val="en-US" w:eastAsia="zh-CN"/>
            </w:rPr>
            <w:t>8.1.7. 客户确认</w:t>
          </w:r>
          <w:r>
            <w:tab/>
          </w:r>
          <w:r>
            <w:fldChar w:fldCharType="begin"/>
          </w:r>
          <w:r>
            <w:instrText xml:space="preserve"> PAGEREF _Toc23268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_Toc5598 </w:instrText>
          </w:r>
          <w:r>
            <w:fldChar w:fldCharType="separate"/>
          </w:r>
          <w:r>
            <w:rPr>
              <w:rFonts w:hint="default"/>
              <w:lang w:val="en-US" w:eastAsia="zh-CN"/>
            </w:rPr>
            <w:t>8.1.8. 事件关闭</w:t>
          </w:r>
          <w:r>
            <w:tab/>
          </w:r>
          <w:r>
            <w:fldChar w:fldCharType="begin"/>
          </w:r>
          <w:r>
            <w:instrText xml:space="preserve"> PAGEREF _Toc5598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_Toc15824 </w:instrText>
          </w:r>
          <w:r>
            <w:fldChar w:fldCharType="separate"/>
          </w:r>
          <w:r>
            <w:rPr>
              <w:rFonts w:hint="default"/>
              <w:lang w:val="en-US" w:eastAsia="zh-CN"/>
            </w:rPr>
            <w:t>8.1.9. 客户回访</w:t>
          </w:r>
          <w:r>
            <w:tab/>
          </w:r>
          <w:r>
            <w:fldChar w:fldCharType="begin"/>
          </w:r>
          <w:r>
            <w:instrText xml:space="preserve"> PAGEREF _Toc15824 \h </w:instrText>
          </w:r>
          <w:r>
            <w:fldChar w:fldCharType="separate"/>
          </w:r>
          <w:r>
            <w:t>14</w:t>
          </w:r>
          <w:r>
            <w:fldChar w:fldCharType="end"/>
          </w:r>
          <w:r>
            <w:fldChar w:fldCharType="end"/>
          </w:r>
        </w:p>
        <w:p>
          <w:pPr>
            <w:pStyle w:val="TOC1"/>
            <w:tabs>
              <w:tab w:val="right" w:leader="dot" w:pos="8306"/>
            </w:tabs>
          </w:pPr>
          <w:r>
            <w:fldChar w:fldCharType="begin"/>
          </w:r>
          <w:r>
            <w:instrText xml:space="preserve"> HYPERLINK \l _Toc21896 </w:instrText>
          </w:r>
          <w:r>
            <w:fldChar w:fldCharType="separate"/>
          </w:r>
          <w:r>
            <w:rPr>
              <w:rFonts w:hint="default"/>
              <w:lang w:val="en-US" w:eastAsia="zh-CN"/>
            </w:rPr>
            <w:t>9. 紧急事件处理流程</w:t>
          </w:r>
          <w:r>
            <w:tab/>
          </w:r>
          <w:r>
            <w:fldChar w:fldCharType="begin"/>
          </w:r>
          <w:r>
            <w:instrText xml:space="preserve"> PAGEREF _Toc21896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_Toc20776 </w:instrText>
          </w:r>
          <w:r>
            <w:fldChar w:fldCharType="separate"/>
          </w:r>
          <w:r>
            <w:rPr>
              <w:rFonts w:hint="default"/>
              <w:lang w:val="en-US" w:eastAsia="zh-CN"/>
            </w:rPr>
            <w:t>9.1. 紧急事件识别</w:t>
          </w:r>
          <w:r>
            <w:tab/>
          </w:r>
          <w:r>
            <w:fldChar w:fldCharType="begin"/>
          </w:r>
          <w:r>
            <w:instrText xml:space="preserve"> PAGEREF _Toc20776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_Toc419 </w:instrText>
          </w:r>
          <w:r>
            <w:fldChar w:fldCharType="separate"/>
          </w:r>
          <w:r>
            <w:rPr>
              <w:rFonts w:hint="default"/>
              <w:lang w:val="en-US" w:eastAsia="zh-CN"/>
            </w:rPr>
            <w:t>9.1.1. 事件识别与上报</w:t>
          </w:r>
          <w:r>
            <w:tab/>
          </w:r>
          <w:r>
            <w:fldChar w:fldCharType="begin"/>
          </w:r>
          <w:r>
            <w:instrText xml:space="preserve"> PAGEREF _Toc419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_Toc786 </w:instrText>
          </w:r>
          <w:r>
            <w:fldChar w:fldCharType="separate"/>
          </w:r>
          <w:r>
            <w:rPr>
              <w:rFonts w:hint="default"/>
              <w:lang w:val="en-US" w:eastAsia="zh-CN"/>
            </w:rPr>
            <w:t>9.1.2. 应急响应启动</w:t>
          </w:r>
          <w:r>
            <w:tab/>
          </w:r>
          <w:r>
            <w:fldChar w:fldCharType="begin"/>
          </w:r>
          <w:r>
            <w:instrText xml:space="preserve"> PAGEREF _Toc786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_Toc3924 </w:instrText>
          </w:r>
          <w:r>
            <w:fldChar w:fldCharType="separate"/>
          </w:r>
          <w:r>
            <w:rPr>
              <w:rFonts w:hint="default"/>
              <w:lang w:val="en-US" w:eastAsia="zh-CN"/>
            </w:rPr>
            <w:t>9.1.3. 方案制定与审核</w:t>
          </w:r>
          <w:r>
            <w:tab/>
          </w:r>
          <w:r>
            <w:fldChar w:fldCharType="begin"/>
          </w:r>
          <w:r>
            <w:instrText xml:space="preserve"> PAGEREF _Toc3924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_Toc7506 </w:instrText>
          </w:r>
          <w:r>
            <w:fldChar w:fldCharType="separate"/>
          </w:r>
          <w:r>
            <w:rPr>
              <w:rFonts w:hint="default"/>
              <w:lang w:val="en-US" w:eastAsia="zh-CN"/>
            </w:rPr>
            <w:t>9.1.4. 方案实施</w:t>
          </w:r>
          <w:r>
            <w:tab/>
          </w:r>
          <w:r>
            <w:fldChar w:fldCharType="begin"/>
          </w:r>
          <w:r>
            <w:instrText xml:space="preserve"> PAGEREF _Toc7506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_Toc28088 </w:instrText>
          </w:r>
          <w:r>
            <w:fldChar w:fldCharType="separate"/>
          </w:r>
          <w:r>
            <w:rPr>
              <w:rFonts w:hint="default"/>
              <w:lang w:val="en-US" w:eastAsia="zh-CN"/>
            </w:rPr>
            <w:t>9.1.5. 效果评审</w:t>
          </w:r>
          <w:r>
            <w:tab/>
          </w:r>
          <w:r>
            <w:fldChar w:fldCharType="begin"/>
          </w:r>
          <w:r>
            <w:instrText xml:space="preserve"> PAGEREF _Toc28088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_Toc5458 </w:instrText>
          </w:r>
          <w:r>
            <w:fldChar w:fldCharType="separate"/>
          </w:r>
          <w:r>
            <w:rPr>
              <w:rFonts w:hint="default"/>
              <w:lang w:val="en-US" w:eastAsia="zh-CN"/>
            </w:rPr>
            <w:t>9.1.6. 客户回访与事件关闭</w:t>
          </w:r>
          <w:r>
            <w:tab/>
          </w:r>
          <w:r>
            <w:fldChar w:fldCharType="begin"/>
          </w:r>
          <w:r>
            <w:instrText xml:space="preserve"> PAGEREF _Toc5458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_Toc31825 </w:instrText>
          </w:r>
          <w:r>
            <w:fldChar w:fldCharType="separate"/>
          </w:r>
          <w:r>
            <w:rPr>
              <w:rFonts w:hint="default"/>
              <w:lang w:val="en-US" w:eastAsia="zh-CN"/>
            </w:rPr>
            <w:t>9.1.7. 事后处理</w:t>
          </w:r>
          <w:r>
            <w:tab/>
          </w:r>
          <w:r>
            <w:fldChar w:fldCharType="begin"/>
          </w:r>
          <w:r>
            <w:instrText xml:space="preserve"> PAGEREF _Toc31825 \h </w:instrText>
          </w:r>
          <w:r>
            <w:fldChar w:fldCharType="separate"/>
          </w:r>
          <w:r>
            <w:t>15</w:t>
          </w:r>
          <w:r>
            <w:fldChar w:fldCharType="end"/>
          </w:r>
          <w:r>
            <w:fldChar w:fldCharType="end"/>
          </w:r>
        </w:p>
        <w:p>
          <w:pPr>
            <w:pStyle w:val="TOC1"/>
            <w:tabs>
              <w:tab w:val="right" w:leader="dot" w:pos="8306"/>
            </w:tabs>
          </w:pPr>
          <w:r>
            <w:fldChar w:fldCharType="begin"/>
          </w:r>
          <w:r>
            <w:instrText xml:space="preserve"> HYPERLINK \l _Toc30050 </w:instrText>
          </w:r>
          <w:r>
            <w:fldChar w:fldCharType="separate"/>
          </w:r>
          <w:r>
            <w:rPr>
              <w:rFonts w:hint="default"/>
              <w:lang w:val="en-US" w:eastAsia="zh-CN"/>
            </w:rPr>
            <w:t>10. KPI指标</w:t>
          </w:r>
          <w:r>
            <w:tab/>
          </w:r>
          <w:r>
            <w:fldChar w:fldCharType="begin"/>
          </w:r>
          <w:r>
            <w:instrText xml:space="preserve"> PAGEREF _Toc30050 \h </w:instrText>
          </w:r>
          <w:r>
            <w:fldChar w:fldCharType="separate"/>
          </w:r>
          <w:r>
            <w:t>15</w:t>
          </w:r>
          <w:r>
            <w:fldChar w:fldCharType="end"/>
          </w:r>
          <w:r>
            <w:fldChar w:fldCharType="end"/>
          </w:r>
        </w:p>
        <w:p>
          <w:pPr>
            <w:pStyle w:val="TOC1"/>
            <w:tabs>
              <w:tab w:val="right" w:leader="dot" w:pos="8306"/>
            </w:tabs>
          </w:pPr>
          <w:r>
            <w:fldChar w:fldCharType="begin"/>
          </w:r>
          <w:r>
            <w:instrText xml:space="preserve"> HYPERLINK \l _Toc27057 </w:instrText>
          </w:r>
          <w:r>
            <w:fldChar w:fldCharType="separate"/>
          </w:r>
          <w:r>
            <w:rPr>
              <w:rFonts w:hint="default"/>
              <w:lang w:val="en-US" w:eastAsia="zh-CN"/>
            </w:rPr>
            <w:t>11. 相关记录</w:t>
          </w:r>
          <w:r>
            <w:tab/>
          </w:r>
          <w:r>
            <w:fldChar w:fldCharType="begin"/>
          </w:r>
          <w:r>
            <w:instrText xml:space="preserve"> PAGEREF _Toc27057 \h </w:instrText>
          </w:r>
          <w:r>
            <w:fldChar w:fldCharType="separate"/>
          </w:r>
          <w:r>
            <w:t>16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_Toc8247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_Toc8247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_Toc1038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角色与职责表</w:t>
      </w:r>
      <w:r>
        <w:tab/>
      </w:r>
      <w:r>
        <w:fldChar w:fldCharType="begin"/>
      </w:r>
      <w:r>
        <w:instrText xml:space="preserve"> PAGEREF _Toc1038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_Toc16123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事件级别定义表</w:t>
      </w:r>
      <w:r>
        <w:tab/>
      </w:r>
      <w:r>
        <w:fldChar w:fldCharType="begin"/>
      </w:r>
      <w:r>
        <w:instrText xml:space="preserve"> PAGEREF _Toc16123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_Toc21741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事件分类表</w:t>
      </w:r>
      <w:r>
        <w:tab/>
      </w:r>
      <w:r>
        <w:fldChar w:fldCharType="begin"/>
      </w:r>
      <w:r>
        <w:instrText xml:space="preserve"> PAGEREF _Toc21741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_Toc1971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事件响应时间表</w:t>
      </w:r>
      <w:r>
        <w:tab/>
      </w:r>
      <w:r>
        <w:fldChar w:fldCharType="begin"/>
      </w:r>
      <w:r>
        <w:instrText xml:space="preserve"> PAGEREF _Toc1971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_Toc22652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default"/>
          <w:lang w:val="en-US" w:eastAsia="zh-CN"/>
        </w:rPr>
        <w:t xml:space="preserve"> 事件升级时间表</w:t>
      </w:r>
      <w:r>
        <w:tab/>
      </w:r>
      <w:r>
        <w:fldChar w:fldCharType="begin"/>
      </w:r>
      <w:r>
        <w:instrText xml:space="preserve"> PAGEREF _Toc22652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_Toc10887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3 </w:t>
      </w:r>
      <w:r>
        <w:rPr>
          <w:rFonts w:hint="default"/>
          <w:lang w:val="en-US" w:eastAsia="zh-CN"/>
        </w:rPr>
        <w:t xml:space="preserve"> 事件状态定义表</w:t>
      </w:r>
      <w:r>
        <w:tab/>
      </w:r>
      <w:r>
        <w:fldChar w:fldCharType="begin"/>
      </w:r>
      <w:r>
        <w:instrText xml:space="preserve"> PAGEREF _Toc10887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_Toc14403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_Toc14403 \h </w:instrText>
      </w:r>
      <w:r>
        <w:fldChar w:fldCharType="separate"/>
      </w:r>
      <w:r>
        <w:t>15</w:t>
      </w:r>
      <w:r>
        <w:fldChar w:fldCharType="end"/>
      </w:r>
      <w:r>
        <w:fldChar w:fldCharType="end"/>
      </w:r>
    </w:p>
    <w:p>
      <w:pPr>
        <w:pStyle w:val="TableofFigures"/>
        <w:tabs>
          <w:tab w:val="right" w:leader="dot" w:pos="8306"/>
        </w:tabs>
      </w:pPr>
      <w:r>
        <w:fldChar w:fldCharType="begin"/>
      </w:r>
      <w:r>
        <w:instrText xml:space="preserve"> HYPERLINK \l _Toc22118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_Toc22118 \h </w:instrText>
      </w:r>
      <w:r>
        <w:fldChar w:fldCharType="separate"/>
      </w:r>
      <w:r>
        <w:t>17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_Toc7365 </w:instrText>
      </w:r>
      <w:r>
        <w:fldChar w:fldCharType="separate"/>
      </w:r>
      <w:r>
        <w:rPr>
          <w:rFonts w:hint="eastAsia"/>
          <w:lang w:val="en-US" w:eastAsia="zh-CN"/>
        </w:rPr>
        <w:t xml:space="preserve">图 </w:t>
      </w:r>
      <w:r>
        <w:rPr>
          <w:rFonts w:hint="default"/>
          <w:lang w:val="en-US" w:eastAsia="zh-CN"/>
        </w:rPr>
        <w:t>8</w:t>
      </w:r>
      <w:r>
        <w:rPr>
          <w:rFonts w:hint="eastAsia"/>
          <w:lang w:val="en-US" w:eastAsia="zh-CN"/>
        </w:rPr>
        <w:t>-</w:t>
      </w:r>
      <w:r>
        <w:t xml:space="preserve">1 </w:t>
      </w:r>
      <w:r>
        <w:rPr>
          <w:rFonts w:hint="default"/>
          <w:lang w:val="en-US" w:eastAsia="zh-CN"/>
        </w:rPr>
        <w:t xml:space="preserve"> 普通事件处理流程图</w:t>
      </w:r>
      <w:r>
        <w:tab/>
      </w:r>
      <w:r>
        <w:fldChar w:fldCharType="begin"/>
      </w:r>
      <w:r>
        <w:instrText xml:space="preserve"> PAGEREF _Toc7365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3953"/>
      <w:r>
        <w:rPr>
          <w:rFonts w:hint="default"/>
          <w:lang w:val="en-US" w:eastAsia="zh-CN"/>
        </w:rPr>
        <w:t>目的</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是一个被动性的任务，旨在减少或消除存在或可能存在与运维服务中的干扰因素给运维服务带来的影响，确保用户可以尽快恢复自己的正常工作。通过将事件记录下来并分类，再分配给适当的专业人员处理，同时监控事件的发展，并在事件得到解决之后将其关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事件管理流程的主要功能是尽快解决日常工作环境中出现的事件，保持运维服务的稳定性，其目的包括：</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在成本允许的范围内尽快恢复服务；</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快速响应服务请求（电话、网站、即时通讯工具）；</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跟踪事件处理的状态；</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确认事件的解决和用户满意度；</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进行事件控制；</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按规范记录事件；</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就事件的优先级、影响范围等进行分类；</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分析、诊断，必要时进行升级；</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监视并结束事件；</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进行定期服务回顾；</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提供一个日常服务接口。</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9075"/>
      <w:r>
        <w:rPr>
          <w:rFonts w:hint="default"/>
          <w:lang w:val="en-US" w:eastAsia="zh-CN"/>
        </w:rPr>
        <w:t>范围</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本制度适用于公司运维服务过程中产生的所有事件和服务请求的处理，包括但不限于以下情况：</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系统故障导致服务中断或性能下降；</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软件使用过程中出现的异常；</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硬件设备故障；</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用户咨询服务请求；</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用户投诉；</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监控系统产生的告警；</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日常巡检发现的问题。</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6608"/>
      <w:r>
        <w:rPr>
          <w:rFonts w:hint="default"/>
          <w:lang w:val="en-US" w:eastAsia="zh-CN"/>
        </w:rPr>
        <w:t>术语与定义</w:t>
      </w:r>
      <w:bookmarkEnd w:id="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8247"/>
      <w:r>
        <w:rPr>
          <w:rFonts w:hint="default"/>
          <w:lang w:val="en-US" w:eastAsia="zh-CN"/>
        </w:rPr>
        <w:t xml:space="preserve"> 术语定义表</w:t>
      </w:r>
      <w:bookmarkEnd w:id="5"/>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87"/>
        <w:gridCol w:w="7535"/>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87"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53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服务的意外中断或服务质量的降低，以及用户的服务请求。事件不属于标准操作，并可能导致或已经导致服务中断或质量下降。</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事件分类</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根据事件性质进行的划分，包括故障、咨询、投诉等。</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事件级别</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根据事件影响范围和紧急程度确定的优先级，分为一级事件、二级事件、三级事件。</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事件状态</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事件在生命周期中所处的处理阶段，如已登记、处理中、已解决、已关闭等。</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一线支持</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服务台人员，负责事件受理、初步判断和简单问题解决。</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二线支持</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运维工程师，负责处理一线升级的复杂事件。</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三线支持</w:t>
            </w:r>
          </w:p>
        </w:tc>
        <w:tc>
          <w:tcPr>
            <w:tcW w:w="7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研发部工程师，负责处理二线无法解决的深度技术问题。</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应急响应</w:t>
            </w:r>
          </w:p>
        </w:tc>
        <w:tc>
          <w:tcPr>
            <w:tcW w:w="753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针对重大事件的紧急处理机制，需启动应急预案。</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785"/>
      <w:r>
        <w:rPr>
          <w:rFonts w:hint="default"/>
          <w:lang w:val="en-US" w:eastAsia="zh-CN"/>
        </w:rPr>
        <w:t>角色与职责</w:t>
      </w:r>
      <w:bookmarkEnd w:id="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1038"/>
      <w:r>
        <w:rPr>
          <w:rFonts w:hint="default"/>
          <w:lang w:val="en-US" w:eastAsia="zh-CN"/>
        </w:rPr>
        <w:t xml:space="preserve"> 角色与职责表</w:t>
      </w:r>
      <w:bookmarkEnd w:id="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168"/>
        <w:gridCol w:w="2412"/>
        <w:gridCol w:w="494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168"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241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对应岗位</w:t>
            </w:r>
          </w:p>
        </w:tc>
        <w:tc>
          <w:tcPr>
            <w:tcW w:w="494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事件管理负责人</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定义并维护事件管理流程文件及所需记录模板；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确定和执行流程本身的变更，传达新政策和更新政策；</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识别流程执行过程中的例外和异常情况并进行管理；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识别事件管理过程中存在的问题并及时制定改进方案；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在系统中定义事件管理流程、服务目录及SLA标准；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协调事件管理的日常操作；</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7. 管理所有事件管理的模板和报表；</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8. 作为流程的集中联络点，负责与客户、服务供应商、管理层之间的沟通；</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9. 确保日常操作中所采集信息的完整性；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10. 管理事件管理流程的实施，包括一线、二线、三线的执行情况；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11. 在需要的时候，按照升级政策进行升级；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12. 负责知识库的扩充、完善和修改；</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13. 准备和分析报表。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事件执行人</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协助事件管理负责人进行日常事件管理工作的协调和监督。</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一线支持</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接收事件请求；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对事件进行初步判断和解决；</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对于在规定时间内不能解决的事件及时上报并移交二线处理；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对事件过程进行跟踪和结果反馈；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事件解决后进行客户回访和满意度调查。</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二线支持</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硬件运维工程师、软件运维工程师</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对一线移交来的事件制定解决方案；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对在规定时间内自己不能解决，或者需要升级成问题处理的，需及时反馈并移交三线解决；</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将处理过程和解决方案记录到工单中。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三线支持</w:t>
            </w:r>
          </w:p>
        </w:tc>
        <w:tc>
          <w:tcPr>
            <w:tcW w:w="241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技术支持工程师、研发工程师</w:t>
            </w:r>
          </w:p>
        </w:tc>
        <w:tc>
          <w:tcPr>
            <w:tcW w:w="494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对二线移交的事件快速判断能否解决并制定解决方案；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如不能解决则联系厂商或第三方协助一起解决；</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对已解决或升级成问题的事件及时汇总解决方案，录入知识库；</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参与重大事件的技术会诊。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应急小组</w:t>
            </w:r>
          </w:p>
        </w:tc>
        <w:tc>
          <w:tcPr>
            <w:tcW w:w="241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副总经理、运维部经理、研发部经理</w:t>
            </w:r>
          </w:p>
        </w:tc>
        <w:tc>
          <w:tcPr>
            <w:tcW w:w="494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负责紧急事件的指挥调度和资源协调。</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4500"/>
      <w:r>
        <w:rPr>
          <w:rFonts w:hint="default"/>
          <w:lang w:val="en-US" w:eastAsia="zh-CN"/>
        </w:rPr>
        <w:t>事件管理流程与其他流程的关系</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事件管理流程是运维服务体系的核心流程之一，它与公司运维服务管理体系中的其他流程密切相关，共同构成完整的服务管理闭环。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5909"/>
      <w:r>
        <w:rPr>
          <w:rFonts w:hint="default"/>
          <w:lang w:val="en-US" w:eastAsia="zh-CN"/>
        </w:rPr>
        <w:t>与服务级别管理的关系</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为服务级别管理提供关键的基础数据。事件的处理时效、响应时间、解决时间等数据，是衡量服务级别协议（SLA）达成情况的重要依据。服务级别管理通过分析事件数据，评估服务绩效，识别服务差距，推动服务质量的持续改进。同时，SLA中定义的服务目标也直接影响事件的优先级划分和处理时限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0977"/>
      <w:r>
        <w:rPr>
          <w:rFonts w:hint="default"/>
          <w:lang w:val="en-US" w:eastAsia="zh-CN"/>
        </w:rPr>
        <w:t>与问题管理的关系</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和问题管理是两个相互关联但目标不同的流程。事件管理侧重于尽快恢复服务，解决表象问题；而问题管理侧重于查找事件的根本原因，防止事件重复发生。当同一事件频繁发生，或事件原因不明时，事件管理流程会触发问题管理流程，将事件转入问题管理进行深度分析。问题管理形成的解决方案和已知错误信息，会录入知识库，为后续事件处理提供参考。</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3842"/>
      <w:r>
        <w:rPr>
          <w:rFonts w:hint="default"/>
          <w:lang w:val="en-US" w:eastAsia="zh-CN"/>
        </w:rPr>
        <w:t>与变更管理的关系</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处理过程中需要对系统配置、软件代码或硬件环境进行修改时，必须启动变更管理流程。事件处理人员应根据变更的影响范围和紧急程度，提交变更请求，经变更审批通过后方可实施。变更实施完成后，事件处理方可继续或关闭。变更管理确保事件处理过程中的修改受控，降低引入新风险的可能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9568"/>
      <w:r>
        <w:rPr>
          <w:rFonts w:hint="default"/>
          <w:lang w:val="en-US" w:eastAsia="zh-CN"/>
        </w:rPr>
        <w:t>与配置管理的关系</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过程中可能涉及配置项的修改，如服务器配置变更、网络设备参数调整等。事件处理后，相关人员需通知配置管理负责人更新配置管理数据库（CMDB），确保配置信息的准确性和实时性。同时，配置管理为事件处理提供准确的配置信息，帮助事件处理人员快速定位问题。</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4069"/>
      <w:r>
        <w:rPr>
          <w:rFonts w:hint="default"/>
          <w:lang w:val="en-US" w:eastAsia="zh-CN"/>
        </w:rPr>
        <w:t>与服务报告管理的关系</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事件管理流程产生的事件数据是服务报告的重要组成部分。服务报告中的事件统计、趋势分析、SLA达成情况等模块，均以事件管理的数据为基础。事件管理负责人需定期提供事件数据，支持服务报告的编制。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30138"/>
      <w:r>
        <w:rPr>
          <w:rFonts w:hint="default"/>
          <w:lang w:val="en-US" w:eastAsia="zh-CN"/>
        </w:rPr>
        <w:t>与知识库管理的关系</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过程中积累的解决方案、处理经验、故障规避措施等，是知识库的重要来源。事件处理后，典型事件的解决方案应录入知识库，供后续事件处理参考。知识库的有效利用可以提高事件处理的效率，减少一线支持的解决时间。</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8537"/>
      <w:r>
        <w:rPr>
          <w:rFonts w:hint="default"/>
          <w:lang w:val="en-US" w:eastAsia="zh-CN"/>
        </w:rPr>
        <w:t>与应急管理的关系</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重大事件（一级事件）的处理需启动应急管理流程。应急管理负责重大事件的指挥调度、资源协调和应急处置，事件管理则负责事件的具体技术处理和进展跟踪。事件处理完成后，应急管理组织复盘分析，将改进措施纳入应急管理体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7763"/>
      <w:r>
        <w:rPr>
          <w:rFonts w:hint="default"/>
          <w:lang w:val="en-US" w:eastAsia="zh-CN"/>
        </w:rPr>
        <w:t>与能力管理的关系</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的数据可以反映人员、技术、资源等方面的能力短板。例如，事件解决时间过长可能反映人员技能不足，特定类型事件频发可能反映技术缺陷，备件不足导致处理延迟可能反映资源问题。能力管理依据事件数据，识别能力需求，制定能力提升计划。</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6642"/>
      <w:r>
        <w:rPr>
          <w:rFonts w:hint="default"/>
          <w:lang w:val="en-US" w:eastAsia="zh-CN"/>
        </w:rPr>
        <w:t>事件分级与分类</w:t>
      </w:r>
      <w:bookmarkEnd w:id="1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335"/>
      <w:r>
        <w:rPr>
          <w:rFonts w:hint="default"/>
          <w:lang w:val="en-US" w:eastAsia="zh-CN"/>
        </w:rPr>
        <w:t>事件级别定义</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为合理分配资源，确保重要事件得到优先处理，事件根据影响范围和紧急程度分为三个级别。</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9" w:name="_Toc16123"/>
      <w:r>
        <w:rPr>
          <w:rFonts w:hint="default"/>
          <w:lang w:val="en-US" w:eastAsia="zh-CN"/>
        </w:rPr>
        <w:t xml:space="preserve"> 事件级别定义表</w:t>
      </w:r>
      <w:bookmarkEnd w:id="19"/>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45"/>
        <w:gridCol w:w="2446"/>
        <w:gridCol w:w="1515"/>
        <w:gridCol w:w="1702"/>
        <w:gridCol w:w="1887"/>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事件级别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定义</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影响业务范围</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影响业务程度</w:t>
            </w:r>
          </w:p>
        </w:tc>
        <w:tc>
          <w:tcPr>
            <w:tcW w:w="188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业务修复紧急程度</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客户业务中断，无法工作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80%以上客户</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业务完全中断</w:t>
            </w:r>
          </w:p>
        </w:tc>
        <w:tc>
          <w:tcPr>
            <w:tcW w:w="188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非常紧急</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客户业务性能严重下降</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50%以上客户</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业务严重降级</w:t>
            </w:r>
          </w:p>
        </w:tc>
        <w:tc>
          <w:tcPr>
            <w:tcW w:w="188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紧急</w:t>
            </w:r>
          </w:p>
        </w:tc>
      </w:tr>
      <w:tr>
        <w:tblPrEx>
          <w:tblW w:w="8495" w:type="dxa"/>
          <w:jc w:val="center"/>
          <w:shd w:val="clear" w:color="auto" w:fill="auto"/>
          <w:tblCellMar>
            <w:top w:w="15" w:type="dxa"/>
            <w:left w:w="15" w:type="dxa"/>
            <w:bottom w:w="15" w:type="dxa"/>
            <w:right w:w="15" w:type="dxa"/>
          </w:tblCellMar>
        </w:tblPrEx>
        <w:trPr>
          <w:trHeight w:val="0"/>
          <w:jc w:val="center"/>
        </w:trPr>
        <w:tc>
          <w:tcPr>
            <w:tcW w:w="94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三级事件</w:t>
            </w:r>
          </w:p>
        </w:tc>
        <w:tc>
          <w:tcPr>
            <w:tcW w:w="244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客户业务性能下降</w:t>
            </w:r>
          </w:p>
        </w:tc>
        <w:tc>
          <w:tcPr>
            <w:tcW w:w="151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20%以上客户</w:t>
            </w:r>
          </w:p>
        </w:tc>
        <w:tc>
          <w:tcPr>
            <w:tcW w:w="170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业务部分受影响</w:t>
            </w:r>
          </w:p>
        </w:tc>
        <w:tc>
          <w:tcPr>
            <w:tcW w:w="188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普通</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18651"/>
      <w:r>
        <w:rPr>
          <w:rFonts w:hint="default"/>
          <w:lang w:val="en-US" w:eastAsia="zh-CN"/>
        </w:rPr>
        <w:t>事件分类</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根据事件的性质和来源，事件分为以下类别：</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1" w:name="_Toc21741"/>
      <w:r>
        <w:rPr>
          <w:rFonts w:hint="default"/>
          <w:lang w:val="en-US" w:eastAsia="zh-CN"/>
        </w:rPr>
        <w:t xml:space="preserve"> 事件分类表</w:t>
      </w:r>
      <w:bookmarkEnd w:id="2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84"/>
        <w:gridCol w:w="4237"/>
        <w:gridCol w:w="330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8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事件分类</w:t>
            </w:r>
          </w:p>
        </w:tc>
        <w:tc>
          <w:tcPr>
            <w:tcW w:w="423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c>
          <w:tcPr>
            <w:tcW w:w="330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示例</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故障类</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系统、硬件、软件等出现异常，导致服务中断或质量下降</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服务器宕机、网络中断、软件报错</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咨询类</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用户对系统使用、功能等提出问题，寻求帮助</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操作疑问、功能咨询、配置咨询</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投诉类</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用户对服务质量、服务态度等表示不满</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响应慢、处理不及时、服务态度差</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服务请求</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用户提出的正常服务需求</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权限申请、数据恢复、软件安装</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监控告警</w:t>
            </w:r>
          </w:p>
        </w:tc>
        <w:tc>
          <w:tcPr>
            <w:tcW w:w="42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监控系统自动发现的问题</w:t>
            </w:r>
          </w:p>
        </w:tc>
        <w:tc>
          <w:tcPr>
            <w:tcW w:w="330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CPU过高告警、磁盘满告警、服务不可用告警</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巡检问题</w:t>
            </w:r>
          </w:p>
        </w:tc>
        <w:tc>
          <w:tcPr>
            <w:tcW w:w="423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日常巡检中发现的问题</w:t>
            </w:r>
          </w:p>
        </w:tc>
        <w:tc>
          <w:tcPr>
            <w:tcW w:w="330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日志错误、配置异常、性能瓶颈</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9838"/>
      <w:r>
        <w:rPr>
          <w:rFonts w:hint="default"/>
          <w:lang w:val="en-US" w:eastAsia="zh-CN"/>
        </w:rPr>
        <w:t>事件响应与升级机制</w:t>
      </w:r>
      <w:bookmarkEnd w:id="2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6381"/>
      <w:r>
        <w:rPr>
          <w:rFonts w:hint="default"/>
          <w:lang w:val="en-US" w:eastAsia="zh-CN"/>
        </w:rPr>
        <w:t>事件响应时间</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根据不同事件级别，规定相应的响应时间和处理时间要求。</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4" w:name="_Toc1971"/>
      <w:r>
        <w:rPr>
          <w:rFonts w:hint="default"/>
          <w:lang w:val="en-US" w:eastAsia="zh-CN"/>
        </w:rPr>
        <w:t xml:space="preserve"> 事件响应时间表</w:t>
      </w:r>
      <w:bookmarkEnd w:id="24"/>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94"/>
        <w:gridCol w:w="2389"/>
        <w:gridCol w:w="4612"/>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事件级别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服务响应时间</w:t>
            </w:r>
          </w:p>
        </w:tc>
        <w:tc>
          <w:tcPr>
            <w:tcW w:w="461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处理时间要求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3分钟以内</w:t>
            </w:r>
          </w:p>
        </w:tc>
        <w:tc>
          <w:tcPr>
            <w:tcW w:w="4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30分钟以内到场；4小时以内解决</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10分钟以内</w:t>
            </w:r>
          </w:p>
        </w:tc>
        <w:tc>
          <w:tcPr>
            <w:tcW w:w="46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4小时以内到场；24小时以内解决</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9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三级事件</w:t>
            </w:r>
          </w:p>
        </w:tc>
        <w:tc>
          <w:tcPr>
            <w:tcW w:w="238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1小时以内</w:t>
            </w:r>
          </w:p>
        </w:tc>
        <w:tc>
          <w:tcPr>
            <w:tcW w:w="461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8小时以内到场；40小时以内解决</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18971"/>
      <w:r>
        <w:rPr>
          <w:rFonts w:hint="default"/>
          <w:lang w:val="en-US" w:eastAsia="zh-CN"/>
        </w:rPr>
        <w:t>事件升级时间</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当事件在规定时间内未能解决时，需按以下时间要求进行升级处理。</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6" w:name="_Toc22652"/>
      <w:r>
        <w:rPr>
          <w:rFonts w:hint="default"/>
          <w:lang w:val="en-US" w:eastAsia="zh-CN"/>
        </w:rPr>
        <w:t xml:space="preserve"> 事件升级时间表</w:t>
      </w:r>
      <w:bookmarkEnd w:id="26"/>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76"/>
        <w:gridCol w:w="3559"/>
        <w:gridCol w:w="356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事件级别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一线支持升级到二线支持</w:t>
            </w:r>
          </w:p>
        </w:tc>
        <w:tc>
          <w:tcPr>
            <w:tcW w:w="356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二线支持升级到三线支持</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1小时</w:t>
            </w:r>
          </w:p>
        </w:tc>
        <w:tc>
          <w:tcPr>
            <w:tcW w:w="35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二级事件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35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7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三级事件</w:t>
            </w:r>
          </w:p>
        </w:tc>
        <w:tc>
          <w:tcPr>
            <w:tcW w:w="355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356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4418"/>
      <w:r>
        <w:rPr>
          <w:rFonts w:hint="default"/>
          <w:lang w:val="en-US" w:eastAsia="zh-CN"/>
        </w:rPr>
        <w:t>事件状态定义</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事件在生命周期中会经历不同的状态，明确的状态定义有助于跟踪事件进展。</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8" w:name="_Toc10887"/>
      <w:r>
        <w:rPr>
          <w:rFonts w:hint="default"/>
          <w:lang w:val="en-US" w:eastAsia="zh-CN"/>
        </w:rPr>
        <w:t xml:space="preserve"> 事件状态定义表</w:t>
      </w:r>
      <w:bookmarkEnd w:id="28"/>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13"/>
        <w:gridCol w:w="6782"/>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事件状态</w:t>
            </w:r>
          </w:p>
        </w:tc>
        <w:tc>
          <w:tcPr>
            <w:tcW w:w="678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已登记</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事件已被服务台受理并记录在系统中</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已分派</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事件已分派给具体处理人员，但尚未被接受</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处理中</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处理人员已接受事件，正在处理中</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已解决</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事件已处理完成，等待客户确认</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已关闭</w:t>
            </w:r>
          </w:p>
        </w:tc>
        <w:tc>
          <w:tcPr>
            <w:tcW w:w="678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客户确认解决，事件正式关闭</w:t>
            </w:r>
          </w:p>
        </w:tc>
      </w:tr>
      <w:tr>
        <w:tblPrEx>
          <w:tblW w:w="8495" w:type="dxa"/>
          <w:jc w:val="center"/>
          <w:shd w:val="clear" w:color="auto" w:fill="auto"/>
          <w:tblCellMar>
            <w:top w:w="15" w:type="dxa"/>
            <w:left w:w="15" w:type="dxa"/>
            <w:bottom w:w="15" w:type="dxa"/>
            <w:right w:w="15" w:type="dxa"/>
          </w:tblCellMar>
        </w:tblPrEx>
        <w:trPr>
          <w:trHeight w:val="0"/>
          <w:jc w:val="center"/>
        </w:trPr>
        <w:tc>
          <w:tcPr>
            <w:tcW w:w="171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退回</w:t>
            </w:r>
          </w:p>
        </w:tc>
        <w:tc>
          <w:tcPr>
            <w:tcW w:w="678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事件分配不当，退回服务台重新分派</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7332"/>
      <w:r>
        <w:rPr>
          <w:rFonts w:hint="default"/>
          <w:lang w:val="en-US" w:eastAsia="zh-CN"/>
        </w:rPr>
        <w:t>事件处理流程</w:t>
      </w:r>
      <w:bookmarkEnd w:id="2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1100"/>
      <w:r>
        <w:rPr>
          <w:rFonts w:hint="default"/>
          <w:lang w:val="en-US" w:eastAsia="zh-CN"/>
        </w:rPr>
        <w:t>普通事件处理流程</w:t>
      </w:r>
      <w:bookmarkEnd w:id="30"/>
    </w:p>
    <w:p>
      <w:pPr>
        <w:pStyle w:val="a1"/>
        <w:bidi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1" w:name="_Toc7365"/>
      <w:r>
        <w:rPr>
          <w:rFonts w:hint="default"/>
          <w:lang w:val="en-US" w:eastAsia="zh-CN"/>
        </w:rPr>
        <w:t xml:space="preserve"> 普通事件处理流程图</w:t>
      </w:r>
      <w:bookmarkEnd w:id="31"/>
    </w:p>
    <w:p>
      <w:pPr>
        <w:pStyle w:val="a1"/>
        <w:bidi w:val="0"/>
        <w:jc w:val="center"/>
        <w:rPr>
          <w:rFonts w:hint="default"/>
          <w:lang w:val="en-US" w:eastAsia="zh-CN"/>
        </w:rPr>
      </w:pPr>
      <w:r>
        <w:drawing>
          <wp:inline distT="0" distB="0" distL="114300" distR="114300">
            <wp:extent cx="5267960" cy="4860290"/>
            <wp:effectExtent l="0" t="0" r="5080" b="1270"/>
            <wp:docPr id="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pic:cNvPicPr>
                      <a:picLocks noChangeAspect="1"/>
                    </pic:cNvPicPr>
                  </pic:nvPicPr>
                  <pic:blipFill>
                    <a:blip xmlns:r="http://schemas.openxmlformats.org/officeDocument/2006/relationships" r:embed="rId4"/>
                    <a:stretch>
                      <a:fillRect/>
                    </a:stretch>
                  </pic:blipFill>
                  <pic:spPr>
                    <a:xfrm>
                      <a:off x="0" y="0"/>
                      <a:ext cx="5267960" cy="4860290"/>
                    </a:xfrm>
                    <a:prstGeom prst="rect">
                      <a:avLst/>
                    </a:prstGeom>
                    <a:noFill/>
                    <a:ln>
                      <a:noFill/>
                    </a:ln>
                  </pic:spPr>
                </pic:pic>
              </a:graphicData>
            </a:graphic>
          </wp:inline>
        </w:drawing>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27386"/>
      <w:r>
        <w:rPr>
          <w:rFonts w:hint="default"/>
          <w:lang w:val="en-US" w:eastAsia="zh-CN"/>
        </w:rPr>
        <w:t>热线受理</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客户通过电话、邮件、即时通讯工具等方式发起故障或服务请求，服务台人员收集相关信息，受理并进入事件处理流程。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服务台人员需要收集以下信息：</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来电客户的姓名、联系方式等基本信息；</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客户提出的问题描述及具体需求；</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客户的期望解决时间；</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事件发生的具体时间、环境等信息。</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10800"/>
      <w:r>
        <w:rPr>
          <w:rFonts w:hint="default"/>
          <w:lang w:val="en-US" w:eastAsia="zh-CN"/>
        </w:rPr>
        <w:t>请求记录和分类</w:t>
      </w:r>
      <w:bookmarkEnd w:id="3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服务台人员在运维服务平台系统中登记事件信息，通过询问等方式获取详细的事件描述，然后根据描述判断事件的分类、级别等信息。记录内容包括：</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事件编号（系统自动生成）；</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事件发生时间；</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事件描述；</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客户信息；</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初步判断的事件分类和级别。</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28223"/>
      <w:r>
        <w:rPr>
          <w:rFonts w:hint="default"/>
          <w:lang w:val="en-US" w:eastAsia="zh-CN"/>
        </w:rPr>
        <w:t>一线支持尝试解决</w:t>
      </w:r>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服务台人员受理事件后，首先根据客户描述的问题情况，利用知识库对客户进行相应的指导解决。一线支持可解决的事件包括：</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常见操作问题；</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简单配置问题；</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已知问题的标准解决方案；</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咨询服务类问题。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经一线人员尝试解决无果，或经判断不属于一线能力范围的，提交二线人员解决。</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19122"/>
      <w:r>
        <w:rPr>
          <w:rFonts w:hint="default"/>
          <w:lang w:val="en-US" w:eastAsia="zh-CN"/>
        </w:rPr>
        <w:t>二线支持处理</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运维工程师接到分派的事件后，首先判断是否属于自身能力范围：</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在能力范围内的，开始进行远程或现场服务解决事件；</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事件解决后，填写处理过程和解决方案；</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若无法解决或不在能力范围内，反馈给服务台重新分派。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运维工程师在规定时间内无法解决故障的，需联系三线人员协助解决。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事件解决后，事件负责人分析若属于影响重大或经常出现的问题，需要通过问题管理进行彻底解决的，转问题管理流程，参考《问题管理制度》。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9286"/>
      <w:r>
        <w:rPr>
          <w:rFonts w:hint="default"/>
          <w:lang w:val="en-US" w:eastAsia="zh-CN"/>
        </w:rPr>
        <w:t>三线支持处理</w:t>
      </w:r>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研发部工程师接到分派的事件后：</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进行调查诊断，制定解决方案；</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必要时联系原厂支持，进行技术会诊；</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三线人员在指定时限内不能解决的事件，需通告管理层，由管理层协调外部资源。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若事件处理过程中涉及一般、重大、紧急的变更，需转变更管理流程，参考《变更管理制度》。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24402"/>
      <w:r>
        <w:rPr>
          <w:rFonts w:hint="default"/>
          <w:lang w:val="en-US" w:eastAsia="zh-CN"/>
        </w:rPr>
        <w:t>工单结束</w:t>
      </w:r>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事件解决后，由处理人员根据事件处理过程填写工单处理记录，包括：</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处理过程描述；</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解决方案；</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处理人；</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处理时间；</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消耗工时。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23268"/>
      <w:r>
        <w:rPr>
          <w:rFonts w:hint="default"/>
          <w:lang w:val="en-US" w:eastAsia="zh-CN"/>
        </w:rPr>
        <w:t>客户确认</w:t>
      </w:r>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事件处理完毕后，服务台需进行电话回访与客户确认：</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确认事件是否已解决；</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确认解决效果是否符合预期；</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收集客户对处理过程的满意度。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5598"/>
      <w:r>
        <w:rPr>
          <w:rFonts w:hint="default"/>
          <w:lang w:val="en-US" w:eastAsia="zh-CN"/>
        </w:rPr>
        <w:t>事件关闭</w:t>
      </w:r>
      <w:bookmarkEnd w:id="3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当事件处理结果已经客户确认，服务台将事件状态变更为“已关闭”。如为典型事件，由处理人员提交申请导入知识库，经知识库管理员同意后录入知识库中。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当事件处理后配置项属性需要变更时，由处理人员提交配置管理负责人进行配置项修改，参考《配置管理制度》。</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0" w:name="_Toc15824"/>
      <w:r>
        <w:rPr>
          <w:rFonts w:hint="default"/>
          <w:lang w:val="en-US" w:eastAsia="zh-CN"/>
        </w:rPr>
        <w:t>客户回访</w:t>
      </w:r>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事件处理后5个工作日内，由服务台对客户进行回访，了解：</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事件是否再次发生；</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客户对服务的整体满意度；</w:t>
      </w:r>
    </w:p>
    <w:p>
      <w:pPr>
        <w:pStyle w:val="a1"/>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客户的改进建议。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21896"/>
      <w:r>
        <w:rPr>
          <w:rFonts w:hint="default"/>
          <w:lang w:val="en-US" w:eastAsia="zh-CN"/>
        </w:rPr>
        <w:t>紧急事件处理流程</w:t>
      </w:r>
      <w:bookmarkEnd w:id="41"/>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20776"/>
      <w:r>
        <w:rPr>
          <w:rFonts w:hint="default"/>
          <w:lang w:val="en-US" w:eastAsia="zh-CN"/>
        </w:rPr>
        <w:t>紧急事件识别</w:t>
      </w:r>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当事件符合以下条件之一时，识别为紧急事件（一级事件）：</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核心业务系统完全不可用；</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影响范围超过80%用户；</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造成重大业务损失或安全风险；</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客户强烈投诉要求紧急处理。</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419"/>
      <w:r>
        <w:rPr>
          <w:rFonts w:hint="default"/>
          <w:lang w:val="en-US" w:eastAsia="zh-CN"/>
        </w:rPr>
        <w:t>事件识别与上报</w:t>
      </w:r>
      <w:bookmarkEnd w:id="4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服务台接收到事件服务申请，根据事件级别定义识别为一级事件时，需立即：</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记录事件基本信息；</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初步判断事件影响范围；</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立即向应急小组报告情况；</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每隔15分钟通报一次事件进展，直至事件关闭。</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786"/>
      <w:r>
        <w:rPr>
          <w:rFonts w:hint="default"/>
          <w:lang w:val="en-US" w:eastAsia="zh-CN"/>
        </w:rPr>
        <w:t>应急响应启动</w:t>
      </w:r>
      <w:bookmarkEnd w:id="44"/>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服务台同时向二线、三线工程师下发工单，要求立即响应；</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应急小组启动应急预案，统筹协调资源；</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提供现场所需的知识库、配置库、备件库相关信息。</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3924"/>
      <w:r>
        <w:rPr>
          <w:rFonts w:hint="default"/>
          <w:lang w:val="en-US" w:eastAsia="zh-CN"/>
        </w:rPr>
        <w:t>方案制定与审核</w:t>
      </w:r>
      <w:bookmarkEnd w:id="45"/>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三线人员牵头制定应急处置方案；</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方案内容包括：处理步骤、回退计划、所需资源、预估时间；</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方案提交应急小组审核。</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7506"/>
      <w:r>
        <w:rPr>
          <w:rFonts w:hint="default"/>
          <w:lang w:val="en-US" w:eastAsia="zh-CN"/>
        </w:rPr>
        <w:t>方案实施</w:t>
      </w:r>
      <w:bookmarkEnd w:id="46"/>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审核通过后，由现场运维工程师进行实施；</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三线人员监督并指导实施过程；</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实施过程中如遇问题，及时反馈调整方案。</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8088"/>
      <w:r>
        <w:rPr>
          <w:rFonts w:hint="default"/>
          <w:lang w:val="en-US" w:eastAsia="zh-CN"/>
        </w:rPr>
        <w:t>效果评审</w:t>
      </w:r>
      <w:bookmarkEnd w:id="47"/>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实施完成后，由三线人员对实施效果进行评审；</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出具评审报告，确认事件是否已解决；</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评审报告提交至服务台和应急小组。</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5458"/>
      <w:r>
        <w:rPr>
          <w:rFonts w:hint="default"/>
          <w:lang w:val="en-US" w:eastAsia="zh-CN"/>
        </w:rPr>
        <w:t>客户回访与事件关闭</w:t>
      </w:r>
      <w:bookmarkEnd w:id="48"/>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服务台接收评审报告并转发给应急小组；</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服务台回访用户，确认事件已解决；</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客户确认后关闭事件。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31825"/>
      <w:r>
        <w:rPr>
          <w:rFonts w:hint="default"/>
          <w:lang w:val="en-US" w:eastAsia="zh-CN"/>
        </w:rPr>
        <w:t>事后处理</w:t>
      </w:r>
      <w:bookmarkEnd w:id="49"/>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运维工程师对工单处理过程进行完整记录；</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更新此次服务中所产生的知识条目、配置信息、备件信息；</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应急小组组织复盘分析，形成复盘报告；</w:t>
      </w:r>
    </w:p>
    <w:p>
      <w:pPr>
        <w:pStyle w:val="a1"/>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将改进措施纳入相关制度和流程。</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30050"/>
      <w:r>
        <w:rPr>
          <w:rFonts w:hint="default"/>
          <w:lang w:val="en-US" w:eastAsia="zh-CN"/>
        </w:rPr>
        <w:t>KPI指标</w:t>
      </w:r>
      <w:bookmarkEnd w:id="50"/>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1" w:name="_Toc14403"/>
      <w:r>
        <w:rPr>
          <w:rFonts w:hint="default"/>
          <w:lang w:val="en-US" w:eastAsia="zh-CN"/>
        </w:rPr>
        <w:t xml:space="preserve"> KPI指标表</w:t>
      </w:r>
      <w:bookmarkEnd w:id="5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63"/>
        <w:gridCol w:w="5000"/>
        <w:gridCol w:w="997"/>
        <w:gridCol w:w="106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46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5006"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98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06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6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事件解决率</w:t>
            </w:r>
          </w:p>
        </w:tc>
        <w:tc>
          <w:tcPr>
            <w:tcW w:w="500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（成功解决事件数 / 已关闭事件总数）×100%</w:t>
            </w:r>
          </w:p>
        </w:tc>
        <w:tc>
          <w:tcPr>
            <w:tcW w:w="98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≥95%</w:t>
            </w:r>
          </w:p>
        </w:tc>
        <w:tc>
          <w:tcPr>
            <w:tcW w:w="106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6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一线解决率</w:t>
            </w:r>
          </w:p>
        </w:tc>
        <w:tc>
          <w:tcPr>
            <w:tcW w:w="500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（一线解决事件数 / 事件总数）×100%</w:t>
            </w:r>
          </w:p>
        </w:tc>
        <w:tc>
          <w:tcPr>
            <w:tcW w:w="98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≥70%</w:t>
            </w:r>
          </w:p>
        </w:tc>
        <w:tc>
          <w:tcPr>
            <w:tcW w:w="106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月度</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27057"/>
      <w:r>
        <w:rPr>
          <w:rFonts w:hint="default"/>
          <w:lang w:val="en-US" w:eastAsia="zh-CN"/>
        </w:rPr>
        <w:t>相关记录</w:t>
      </w:r>
      <w:bookmarkEnd w:id="52"/>
    </w:p>
    <w:p>
      <w:pPr>
        <w:rPr>
          <w:rFonts w:hint="default"/>
          <w:lang w:val="en-US" w:eastAsia="zh-CN"/>
        </w:rPr>
      </w:pPr>
      <w:r>
        <w:rPr>
          <w:rFonts w:hint="default"/>
          <w:lang w:val="en-US" w:eastAsia="zh-CN"/>
        </w:rPr>
        <w:br w:type="page"/>
      </w:r>
    </w:p>
    <w:p>
      <w:pPr>
        <w:pStyle w:val="a1"/>
        <w:rPr>
          <w:rFonts w:hint="default"/>
          <w:lang w:val="en-US" w:eastAsia="zh-CN"/>
        </w:rPr>
      </w:pP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3" w:name="_Toc22118"/>
      <w:r>
        <w:rPr>
          <w:rFonts w:hint="default"/>
          <w:lang w:val="en-US" w:eastAsia="zh-CN"/>
        </w:rPr>
        <w:t xml:space="preserve"> 相关记录表</w:t>
      </w:r>
      <w:bookmarkEnd w:id="5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3610"/>
        <w:gridCol w:w="2442"/>
        <w:gridCol w:w="244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244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事件工单记录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事件处理记录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客户回访记录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重大事件复盘报告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事件统计分析报告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44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361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事件管理评审记录</w:t>
            </w:r>
          </w:p>
        </w:tc>
        <w:tc>
          <w:tcPr>
            <w:tcW w:w="244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产品产品质量部</w:t>
            </w:r>
          </w:p>
        </w:tc>
        <w:tc>
          <w:tcPr>
            <w:tcW w:w="244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1DCEA25"/>
    <w:multiLevelType w:val="singleLevel"/>
    <w:tmpl w:val="81DCEA25"/>
    <w:lvl w:ilvl="0">
      <w:start w:val="1"/>
      <w:numFmt w:val="decimal"/>
      <w:lvlText w:val="%1."/>
      <w:lvlJc w:val="left"/>
      <w:pPr>
        <w:ind w:left="425" w:hanging="425"/>
      </w:pPr>
      <w:rPr>
        <w:rFonts w:hint="default"/>
      </w:rPr>
    </w:lvl>
  </w:abstractNum>
  <w:abstractNum w:abstractNumId="1">
    <w:nsid w:val="8AA3919B"/>
    <w:multiLevelType w:val="singleLevel"/>
    <w:tmpl w:val="8AA3919B"/>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65E4896"/>
    <w:multiLevelType w:val="singleLevel"/>
    <w:tmpl w:val="965E4896"/>
    <w:lvl w:ilvl="0">
      <w:start w:val="1"/>
      <w:numFmt w:val="decimal"/>
      <w:lvlText w:val="%1."/>
      <w:lvlJc w:val="left"/>
      <w:pPr>
        <w:ind w:left="425" w:hanging="425"/>
      </w:pPr>
      <w:rPr>
        <w:rFonts w:hint="default"/>
      </w:rPr>
    </w:lvl>
  </w:abstractNum>
  <w:abstractNum w:abstractNumId="4">
    <w:nsid w:val="BF97CBE2"/>
    <w:multiLevelType w:val="singleLevel"/>
    <w:tmpl w:val="BF97CBE2"/>
    <w:lvl w:ilvl="0">
      <w:start w:val="1"/>
      <w:numFmt w:val="decimal"/>
      <w:lvlText w:val="%1."/>
      <w:lvlJc w:val="left"/>
      <w:pPr>
        <w:ind w:left="425" w:hanging="425"/>
      </w:pPr>
      <w:rPr>
        <w:rFonts w:hint="default"/>
      </w:rPr>
    </w:lvl>
  </w:abstractNum>
  <w:abstractNum w:abstractNumId="5">
    <w:nsid w:val="C33589BD"/>
    <w:multiLevelType w:val="singleLevel"/>
    <w:tmpl w:val="C33589BD"/>
    <w:lvl w:ilvl="0">
      <w:start w:val="1"/>
      <w:numFmt w:val="decimal"/>
      <w:lvlText w:val="%1."/>
      <w:lvlJc w:val="left"/>
      <w:pPr>
        <w:ind w:left="425" w:hanging="425"/>
      </w:pPr>
      <w:rPr>
        <w:rFonts w:hint="default"/>
      </w:rPr>
    </w:lvl>
  </w:abstractNum>
  <w:abstractNum w:abstractNumId="6">
    <w:nsid w:val="DB3B1862"/>
    <w:multiLevelType w:val="singleLevel"/>
    <w:tmpl w:val="DB3B1862"/>
    <w:lvl w:ilvl="0">
      <w:start w:val="1"/>
      <w:numFmt w:val="decimal"/>
      <w:lvlText w:val="%1."/>
      <w:lvlJc w:val="left"/>
      <w:pPr>
        <w:ind w:left="425" w:hanging="425"/>
      </w:pPr>
      <w:rPr>
        <w:rFonts w:hint="default"/>
      </w:rPr>
    </w:lvl>
  </w:abstractNum>
  <w:abstractNum w:abstractNumId="7">
    <w:nsid w:val="076C6FEC"/>
    <w:multiLevelType w:val="singleLevel"/>
    <w:tmpl w:val="076C6FEC"/>
    <w:lvl w:ilvl="0">
      <w:start w:val="1"/>
      <w:numFmt w:val="decimal"/>
      <w:lvlText w:val="%1."/>
      <w:lvlJc w:val="left"/>
      <w:pPr>
        <w:ind w:left="425" w:hanging="425"/>
      </w:pPr>
      <w:rPr>
        <w:rFonts w:hint="default"/>
      </w:rPr>
    </w:lvl>
  </w:abstractNum>
  <w:abstractNum w:abstractNumId="8">
    <w:nsid w:val="11D806C3"/>
    <w:multiLevelType w:val="singleLevel"/>
    <w:tmpl w:val="11D806C3"/>
    <w:lvl w:ilvl="0">
      <w:start w:val="1"/>
      <w:numFmt w:val="decimal"/>
      <w:lvlText w:val="%1."/>
      <w:lvlJc w:val="left"/>
      <w:pPr>
        <w:ind w:left="425" w:hanging="425"/>
      </w:pPr>
      <w:rPr>
        <w:rFonts w:hint="default"/>
      </w:rPr>
    </w:lvl>
  </w:abstractNum>
  <w:abstractNum w:abstractNumId="9">
    <w:nsid w:val="157DEFCE"/>
    <w:multiLevelType w:val="singleLevel"/>
    <w:tmpl w:val="157DEFCE"/>
    <w:lvl w:ilvl="0">
      <w:start w:val="1"/>
      <w:numFmt w:val="decimal"/>
      <w:lvlText w:val="%1."/>
      <w:lvlJc w:val="left"/>
      <w:pPr>
        <w:ind w:left="425" w:hanging="425"/>
      </w:pPr>
      <w:rPr>
        <w:rFonts w:hint="default"/>
      </w:rPr>
    </w:lvl>
  </w:abstractNum>
  <w:abstractNum w:abstractNumId="10">
    <w:nsid w:val="16B5A37A"/>
    <w:multiLevelType w:val="singleLevel"/>
    <w:tmpl w:val="16B5A37A"/>
    <w:lvl w:ilvl="0">
      <w:start w:val="1"/>
      <w:numFmt w:val="decimal"/>
      <w:lvlText w:val="%1."/>
      <w:lvlJc w:val="left"/>
      <w:pPr>
        <w:ind w:left="425" w:hanging="425"/>
      </w:pPr>
      <w:rPr>
        <w:rFonts w:hint="default"/>
      </w:rPr>
    </w:lvl>
  </w:abstractNum>
  <w:abstractNum w:abstractNumId="11">
    <w:nsid w:val="1E87FC05"/>
    <w:multiLevelType w:val="singleLevel"/>
    <w:tmpl w:val="1E87FC05"/>
    <w:lvl w:ilvl="0">
      <w:start w:val="1"/>
      <w:numFmt w:val="decimal"/>
      <w:lvlText w:val="%1."/>
      <w:lvlJc w:val="left"/>
      <w:pPr>
        <w:ind w:left="425" w:hanging="425"/>
      </w:pPr>
      <w:rPr>
        <w:rFonts w:hint="default"/>
      </w:rPr>
    </w:lvl>
  </w:abstractNum>
  <w:abstractNum w:abstractNumId="12">
    <w:nsid w:val="2DC04A18"/>
    <w:multiLevelType w:val="singleLevel"/>
    <w:tmpl w:val="2DC04A18"/>
    <w:lvl w:ilvl="0">
      <w:start w:val="1"/>
      <w:numFmt w:val="decimal"/>
      <w:lvlText w:val="%1."/>
      <w:lvlJc w:val="left"/>
      <w:pPr>
        <w:ind w:left="425" w:hanging="425"/>
      </w:pPr>
      <w:rPr>
        <w:rFonts w:hint="default"/>
      </w:rPr>
    </w:lvl>
  </w:abstractNum>
  <w:abstractNum w:abstractNumId="13">
    <w:nsid w:val="36CA5F8B"/>
    <w:multiLevelType w:val="singleLevel"/>
    <w:tmpl w:val="36CA5F8B"/>
    <w:lvl w:ilvl="0">
      <w:start w:val="1"/>
      <w:numFmt w:val="decimal"/>
      <w:lvlText w:val="%1."/>
      <w:lvlJc w:val="left"/>
      <w:pPr>
        <w:ind w:left="425" w:hanging="425"/>
      </w:pPr>
      <w:rPr>
        <w:rFonts w:hint="default"/>
      </w:rPr>
    </w:lvl>
  </w:abstractNum>
  <w:abstractNum w:abstractNumId="14">
    <w:nsid w:val="38D753F0"/>
    <w:multiLevelType w:val="singleLevel"/>
    <w:tmpl w:val="38D753F0"/>
    <w:lvl w:ilvl="0">
      <w:start w:val="1"/>
      <w:numFmt w:val="decimal"/>
      <w:lvlText w:val="%1."/>
      <w:lvlJc w:val="left"/>
      <w:pPr>
        <w:ind w:left="425" w:hanging="425"/>
      </w:pPr>
      <w:rPr>
        <w:rFonts w:hint="default"/>
      </w:rPr>
    </w:lvl>
  </w:abstractNum>
  <w:abstractNum w:abstractNumId="15">
    <w:nsid w:val="5C7DB26E"/>
    <w:multiLevelType w:val="singleLevel"/>
    <w:tmpl w:val="5C7DB26E"/>
    <w:lvl w:ilvl="0">
      <w:start w:val="1"/>
      <w:numFmt w:val="decimal"/>
      <w:lvlText w:val="%1."/>
      <w:lvlJc w:val="left"/>
      <w:pPr>
        <w:ind w:left="425" w:hanging="425"/>
      </w:pPr>
      <w:rPr>
        <w:rFonts w:hint="default"/>
      </w:rPr>
    </w:lvl>
  </w:abstractNum>
  <w:abstractNum w:abstractNumId="16">
    <w:nsid w:val="6AF7D83F"/>
    <w:multiLevelType w:val="singleLevel"/>
    <w:tmpl w:val="6AF7D83F"/>
    <w:lvl w:ilvl="0">
      <w:start w:val="1"/>
      <w:numFmt w:val="decimal"/>
      <w:lvlText w:val="%1."/>
      <w:lvlJc w:val="left"/>
      <w:pPr>
        <w:ind w:left="425" w:hanging="425"/>
      </w:pPr>
      <w:rPr>
        <w:rFonts w:hint="default"/>
      </w:rPr>
    </w:lvl>
  </w:abstractNum>
  <w:abstractNum w:abstractNumId="17">
    <w:nsid w:val="6C9ECE4C"/>
    <w:multiLevelType w:val="singleLevel"/>
    <w:tmpl w:val="6C9ECE4C"/>
    <w:lvl w:ilvl="0">
      <w:start w:val="1"/>
      <w:numFmt w:val="decimal"/>
      <w:lvlText w:val="%1."/>
      <w:lvlJc w:val="left"/>
      <w:pPr>
        <w:ind w:left="425" w:hanging="425"/>
      </w:pPr>
      <w:rPr>
        <w:rFonts w:hint="default"/>
      </w:rPr>
    </w:lvl>
  </w:abstractNum>
  <w:abstractNum w:abstractNumId="18">
    <w:nsid w:val="6E12F19B"/>
    <w:multiLevelType w:val="singleLevel"/>
    <w:tmpl w:val="6E12F19B"/>
    <w:lvl w:ilvl="0">
      <w:start w:val="1"/>
      <w:numFmt w:val="decimal"/>
      <w:lvlText w:val="%1."/>
      <w:lvlJc w:val="left"/>
      <w:pPr>
        <w:ind w:left="425" w:hanging="425"/>
      </w:pPr>
      <w:rPr>
        <w:rFonts w:hint="default"/>
      </w:rPr>
    </w:lvl>
  </w:abstractNum>
  <w:num w:numId="1">
    <w:abstractNumId w:val="2"/>
  </w:num>
  <w:num w:numId="2">
    <w:abstractNumId w:val="18"/>
  </w:num>
  <w:num w:numId="3">
    <w:abstractNumId w:val="4"/>
  </w:num>
  <w:num w:numId="4">
    <w:abstractNumId w:val="10"/>
  </w:num>
  <w:num w:numId="5">
    <w:abstractNumId w:val="13"/>
  </w:num>
  <w:num w:numId="6">
    <w:abstractNumId w:val="5"/>
  </w:num>
  <w:num w:numId="7">
    <w:abstractNumId w:val="9"/>
  </w:num>
  <w:num w:numId="8">
    <w:abstractNumId w:val="17"/>
  </w:num>
  <w:num w:numId="9">
    <w:abstractNumId w:val="8"/>
  </w:num>
  <w:num w:numId="10">
    <w:abstractNumId w:val="3"/>
  </w:num>
  <w:num w:numId="11">
    <w:abstractNumId w:val="11"/>
  </w:num>
  <w:num w:numId="12">
    <w:abstractNumId w:val="0"/>
  </w:num>
  <w:num w:numId="13">
    <w:abstractNumId w:val="1"/>
  </w:num>
  <w:num w:numId="14">
    <w:abstractNumId w:val="7"/>
  </w:num>
  <w:num w:numId="15">
    <w:abstractNumId w:val="15"/>
  </w:num>
  <w:num w:numId="16">
    <w:abstractNumId w:val="16"/>
  </w:num>
  <w:num w:numId="17">
    <w:abstractNumId w:val="12"/>
  </w:num>
  <w:num w:numId="18">
    <w:abstractNumId w:val="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17</Pages>
  <Words>1563</Words>
  <Characters>1835</Characters>
  <Application>Microsoft Office Word</Application>
  <DocSecurity>0</DocSecurity>
  <Lines>0</Lines>
  <Paragraphs>0</Paragraphs>
  <ScaleCrop>false</ScaleCrop>
  <Company/>
  <LinksUpToDate>false</LinksUpToDate>
  <CharactersWithSpaces>2060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2026-04-09T19:17:22Z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