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运维服务备件库管理制度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HFSJ-ITSS-0803</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_Toc24269 </w:instrText>
          </w:r>
          <w:r>
            <w:fldChar w:fldCharType="separate"/>
          </w:r>
          <w:r>
            <w:rPr>
              <w:rFonts w:hint="default"/>
            </w:rPr>
            <w:t xml:space="preserve">1. </w:t>
          </w:r>
          <w:r>
            <w:t>定义和范围</w:t>
          </w:r>
          <w:r>
            <w:tab/>
          </w:r>
          <w:r>
            <w:fldChar w:fldCharType="begin"/>
          </w:r>
          <w:r>
            <w:instrText xml:space="preserve"> PAGEREF _Toc24269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_Toc13276 </w:instrText>
          </w:r>
          <w:r>
            <w:fldChar w:fldCharType="separate"/>
          </w:r>
          <w:r>
            <w:rPr>
              <w:rFonts w:hint="default"/>
            </w:rPr>
            <w:t xml:space="preserve">2. </w:t>
          </w:r>
          <w:r>
            <w:t>管理组织架构与岗位设置</w:t>
          </w:r>
          <w:r>
            <w:tab/>
          </w:r>
          <w:r>
            <w:fldChar w:fldCharType="begin"/>
          </w:r>
          <w:r>
            <w:instrText xml:space="preserve"> PAGEREF _Toc13276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_Toc2047 </w:instrText>
          </w:r>
          <w:r>
            <w:fldChar w:fldCharType="separate"/>
          </w:r>
          <w:r>
            <w:rPr>
              <w:rFonts w:hint="default"/>
            </w:rPr>
            <w:t xml:space="preserve">2.1. </w:t>
          </w:r>
          <w:r>
            <w:rPr>
              <w:rFonts w:hint="eastAsia"/>
              <w:lang w:val="en-US" w:eastAsia="zh-CN"/>
            </w:rPr>
            <w:t>采购</w:t>
          </w:r>
          <w:r>
            <w:t>部</w:t>
          </w:r>
          <w:r>
            <w:rPr>
              <w:rFonts w:hint="eastAsia"/>
              <w:lang w:eastAsia="zh-CN"/>
            </w:rPr>
            <w:t>、</w:t>
          </w:r>
          <w:r>
            <w:rPr>
              <w:rFonts w:hint="eastAsia"/>
              <w:lang w:val="en-US" w:eastAsia="zh-CN"/>
            </w:rPr>
            <w:t>运维部</w:t>
          </w:r>
          <w:r>
            <w:tab/>
          </w:r>
          <w:r>
            <w:fldChar w:fldCharType="begin"/>
          </w:r>
          <w:r>
            <w:instrText xml:space="preserve"> PAGEREF _Toc2047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_Toc26261 </w:instrText>
          </w:r>
          <w:r>
            <w:fldChar w:fldCharType="separate"/>
          </w:r>
          <w:r>
            <w:rPr>
              <w:rFonts w:hint="default"/>
            </w:rPr>
            <w:t xml:space="preserve">2.2. </w:t>
          </w:r>
          <w:r>
            <w:t>采购专员</w:t>
          </w:r>
          <w:r>
            <w:tab/>
          </w:r>
          <w:r>
            <w:fldChar w:fldCharType="begin"/>
          </w:r>
          <w:r>
            <w:instrText xml:space="preserve"> PAGEREF _Toc26261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_Toc31494 </w:instrText>
          </w:r>
          <w:r>
            <w:fldChar w:fldCharType="separate"/>
          </w:r>
          <w:r>
            <w:rPr>
              <w:rFonts w:hint="default"/>
            </w:rPr>
            <w:t xml:space="preserve">2.3. </w:t>
          </w:r>
          <w:r>
            <w:t>备件库专员</w:t>
          </w:r>
          <w:r>
            <w:tab/>
          </w:r>
          <w:r>
            <w:fldChar w:fldCharType="begin"/>
          </w:r>
          <w:r>
            <w:instrText xml:space="preserve"> PAGEREF _Toc31494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_Toc10630 </w:instrText>
          </w:r>
          <w:r>
            <w:fldChar w:fldCharType="separate"/>
          </w:r>
          <w:r>
            <w:rPr>
              <w:rFonts w:hint="default"/>
            </w:rPr>
            <w:t xml:space="preserve">2.4. </w:t>
          </w:r>
          <w:r>
            <w:t>运维工程师</w:t>
          </w:r>
          <w:r>
            <w:tab/>
          </w:r>
          <w:r>
            <w:fldChar w:fldCharType="begin"/>
          </w:r>
          <w:r>
            <w:instrText xml:space="preserve"> PAGEREF _Toc10630 \h </w:instrText>
          </w:r>
          <w:r>
            <w:fldChar w:fldCharType="separate"/>
          </w:r>
          <w:r>
            <w:t>6</w:t>
          </w:r>
          <w:r>
            <w:fldChar w:fldCharType="end"/>
          </w:r>
          <w:r>
            <w:fldChar w:fldCharType="end"/>
          </w:r>
        </w:p>
        <w:p>
          <w:pPr>
            <w:pStyle w:val="TOC1"/>
            <w:tabs>
              <w:tab w:val="right" w:leader="dot" w:pos="8306"/>
            </w:tabs>
          </w:pPr>
          <w:r>
            <w:fldChar w:fldCharType="begin"/>
          </w:r>
          <w:r>
            <w:instrText xml:space="preserve"> HYPERLINK \l _Toc9534 </w:instrText>
          </w:r>
          <w:r>
            <w:fldChar w:fldCharType="separate"/>
          </w:r>
          <w:r>
            <w:rPr>
              <w:rFonts w:hint="default"/>
            </w:rPr>
            <w:t xml:space="preserve">3. </w:t>
          </w:r>
          <w:r>
            <w:t>备件库的管理规范</w:t>
          </w:r>
          <w:r>
            <w:tab/>
          </w:r>
          <w:r>
            <w:fldChar w:fldCharType="begin"/>
          </w:r>
          <w:r>
            <w:instrText xml:space="preserve"> PAGEREF _Toc9534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_Toc31839 </w:instrText>
          </w:r>
          <w:r>
            <w:fldChar w:fldCharType="separate"/>
          </w:r>
          <w:r>
            <w:rPr>
              <w:rFonts w:hint="default"/>
            </w:rPr>
            <w:t xml:space="preserve">3.1. </w:t>
          </w:r>
          <w:r>
            <w:t>备件的类型、类别</w:t>
          </w:r>
          <w:r>
            <w:tab/>
          </w:r>
          <w:r>
            <w:fldChar w:fldCharType="begin"/>
          </w:r>
          <w:r>
            <w:instrText xml:space="preserve"> PAGEREF _Toc31839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_Toc14414 </w:instrText>
          </w:r>
          <w:r>
            <w:fldChar w:fldCharType="separate"/>
          </w:r>
          <w:r>
            <w:rPr>
              <w:rFonts w:hint="default"/>
            </w:rPr>
            <w:t xml:space="preserve">3.2. </w:t>
          </w:r>
          <w:r>
            <w:t>备件的编码</w:t>
          </w:r>
          <w:r>
            <w:tab/>
          </w:r>
          <w:r>
            <w:fldChar w:fldCharType="begin"/>
          </w:r>
          <w:r>
            <w:instrText xml:space="preserve"> PAGEREF _Toc14414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_Toc8188 </w:instrText>
          </w:r>
          <w:r>
            <w:fldChar w:fldCharType="separate"/>
          </w:r>
          <w:r>
            <w:rPr>
              <w:rFonts w:hint="default"/>
            </w:rPr>
            <w:t xml:space="preserve">3.3. </w:t>
          </w:r>
          <w:r>
            <w:t>备件的存放环境</w:t>
          </w:r>
          <w:r>
            <w:tab/>
          </w:r>
          <w:r>
            <w:fldChar w:fldCharType="begin"/>
          </w:r>
          <w:r>
            <w:instrText xml:space="preserve"> PAGEREF _Toc8188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_Toc14380 </w:instrText>
          </w:r>
          <w:r>
            <w:fldChar w:fldCharType="separate"/>
          </w:r>
          <w:r>
            <w:rPr>
              <w:rFonts w:hint="default"/>
            </w:rPr>
            <w:t xml:space="preserve">3.4. </w:t>
          </w:r>
          <w:r>
            <w:t>备件响应方式和级别</w:t>
          </w:r>
          <w:r>
            <w:tab/>
          </w:r>
          <w:r>
            <w:fldChar w:fldCharType="begin"/>
          </w:r>
          <w:r>
            <w:instrText xml:space="preserve"> PAGEREF _Toc14380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_Toc23776 </w:instrText>
          </w:r>
          <w:r>
            <w:fldChar w:fldCharType="separate"/>
          </w:r>
          <w:r>
            <w:rPr>
              <w:rFonts w:hint="default"/>
            </w:rPr>
            <w:t xml:space="preserve">4. </w:t>
          </w:r>
          <w:r>
            <w:t>备件采购</w:t>
          </w:r>
          <w:r>
            <w:tab/>
          </w:r>
          <w:r>
            <w:fldChar w:fldCharType="begin"/>
          </w:r>
          <w:r>
            <w:instrText xml:space="preserve"> PAGEREF _Toc23776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_Toc22062 </w:instrText>
          </w:r>
          <w:r>
            <w:fldChar w:fldCharType="separate"/>
          </w:r>
          <w:r>
            <w:rPr>
              <w:rFonts w:hint="default"/>
            </w:rPr>
            <w:t xml:space="preserve">4.1. </w:t>
          </w:r>
          <w:r>
            <w:t>备件分类</w:t>
          </w:r>
          <w:r>
            <w:tab/>
          </w:r>
          <w:r>
            <w:fldChar w:fldCharType="begin"/>
          </w:r>
          <w:r>
            <w:instrText xml:space="preserve"> PAGEREF _Toc22062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_Toc26229 </w:instrText>
          </w:r>
          <w:r>
            <w:fldChar w:fldCharType="separate"/>
          </w:r>
          <w:r>
            <w:rPr>
              <w:rFonts w:hint="default"/>
            </w:rPr>
            <w:t xml:space="preserve">4.2. </w:t>
          </w:r>
          <w:r>
            <w:t>备件采购流程</w:t>
          </w:r>
          <w:r>
            <w:tab/>
          </w:r>
          <w:r>
            <w:fldChar w:fldCharType="begin"/>
          </w:r>
          <w:r>
            <w:instrText xml:space="preserve"> PAGEREF _Toc26229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_Toc27066 </w:instrText>
          </w:r>
          <w:r>
            <w:fldChar w:fldCharType="separate"/>
          </w:r>
          <w:r>
            <w:rPr>
              <w:rFonts w:hint="default"/>
            </w:rPr>
            <w:t xml:space="preserve">4.3. </w:t>
          </w:r>
          <w:r>
            <w:rPr>
              <w:rFonts w:hint="eastAsia"/>
              <w:lang w:val="en-US" w:eastAsia="zh-CN"/>
            </w:rPr>
            <w:t>紧急采购流程</w:t>
          </w:r>
          <w:r>
            <w:tab/>
          </w:r>
          <w:r>
            <w:fldChar w:fldCharType="begin"/>
          </w:r>
          <w:r>
            <w:instrText xml:space="preserve"> PAGEREF _Toc27066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_Toc2447 </w:instrText>
          </w:r>
          <w:r>
            <w:fldChar w:fldCharType="separate"/>
          </w:r>
          <w:r>
            <w:rPr>
              <w:rFonts w:hint="default"/>
            </w:rPr>
            <w:t xml:space="preserve">5. </w:t>
          </w:r>
          <w:r>
            <w:t>备件供应商管理制度</w:t>
          </w:r>
          <w:r>
            <w:tab/>
          </w:r>
          <w:r>
            <w:fldChar w:fldCharType="begin"/>
          </w:r>
          <w:r>
            <w:instrText xml:space="preserve"> PAGEREF _Toc2447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_Toc6992 </w:instrText>
          </w:r>
          <w:r>
            <w:fldChar w:fldCharType="separate"/>
          </w:r>
          <w:r>
            <w:rPr>
              <w:rFonts w:hint="default"/>
            </w:rPr>
            <w:t xml:space="preserve">5.1. </w:t>
          </w:r>
          <w:r>
            <w:t>供方评价、选择准则</w:t>
          </w:r>
          <w:r>
            <w:tab/>
          </w:r>
          <w:r>
            <w:fldChar w:fldCharType="begin"/>
          </w:r>
          <w:r>
            <w:instrText xml:space="preserve"> PAGEREF _Toc6992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_Toc1986 </w:instrText>
          </w:r>
          <w:r>
            <w:fldChar w:fldCharType="separate"/>
          </w:r>
          <w:r>
            <w:rPr>
              <w:rFonts w:hint="default"/>
            </w:rPr>
            <w:t xml:space="preserve">5.2. </w:t>
          </w:r>
          <w:r>
            <w:t>供方评价、选择的方法</w:t>
          </w:r>
          <w:r>
            <w:tab/>
          </w:r>
          <w:r>
            <w:fldChar w:fldCharType="begin"/>
          </w:r>
          <w:r>
            <w:instrText xml:space="preserve"> PAGEREF _Toc1986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_Toc15615 </w:instrText>
          </w:r>
          <w:r>
            <w:fldChar w:fldCharType="separate"/>
          </w:r>
          <w:r>
            <w:rPr>
              <w:rFonts w:hint="default"/>
            </w:rPr>
            <w:t xml:space="preserve">5.3. </w:t>
          </w:r>
          <w:r>
            <w:t>建立合格供方名单</w:t>
          </w:r>
          <w:r>
            <w:tab/>
          </w:r>
          <w:r>
            <w:fldChar w:fldCharType="begin"/>
          </w:r>
          <w:r>
            <w:instrText xml:space="preserve"> PAGEREF _Toc15615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_Toc20094 </w:instrText>
          </w:r>
          <w:r>
            <w:fldChar w:fldCharType="separate"/>
          </w:r>
          <w:r>
            <w:rPr>
              <w:rFonts w:hint="default"/>
            </w:rPr>
            <w:t xml:space="preserve">6. </w:t>
          </w:r>
          <w:r>
            <w:t>备件的出入库管理</w:t>
          </w:r>
          <w:r>
            <w:tab/>
          </w:r>
          <w:r>
            <w:fldChar w:fldCharType="begin"/>
          </w:r>
          <w:r>
            <w:instrText xml:space="preserve"> PAGEREF _Toc20094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_Toc25488 </w:instrText>
          </w:r>
          <w:r>
            <w:fldChar w:fldCharType="separate"/>
          </w:r>
          <w:r>
            <w:rPr>
              <w:rFonts w:hint="default"/>
            </w:rPr>
            <w:t xml:space="preserve">6.1. </w:t>
          </w:r>
          <w:r>
            <w:t>备件入库</w:t>
          </w:r>
          <w:r>
            <w:tab/>
          </w:r>
          <w:r>
            <w:fldChar w:fldCharType="begin"/>
          </w:r>
          <w:r>
            <w:instrText xml:space="preserve"> PAGEREF _Toc25488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_Toc28699 </w:instrText>
          </w:r>
          <w:r>
            <w:fldChar w:fldCharType="separate"/>
          </w:r>
          <w:r>
            <w:rPr>
              <w:rFonts w:hint="default"/>
            </w:rPr>
            <w:t xml:space="preserve">6.2. </w:t>
          </w:r>
          <w:r>
            <w:t>备件出库</w:t>
          </w:r>
          <w:r>
            <w:tab/>
          </w:r>
          <w:r>
            <w:fldChar w:fldCharType="begin"/>
          </w:r>
          <w:r>
            <w:instrText xml:space="preserve"> PAGEREF _Toc28699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_Toc11748 </w:instrText>
          </w:r>
          <w:r>
            <w:fldChar w:fldCharType="separate"/>
          </w:r>
          <w:r>
            <w:rPr>
              <w:rFonts w:hint="default"/>
            </w:rPr>
            <w:t xml:space="preserve">7. </w:t>
          </w:r>
          <w:r>
            <w:t>备件的借用流程</w:t>
          </w:r>
          <w:r>
            <w:tab/>
          </w:r>
          <w:r>
            <w:fldChar w:fldCharType="begin"/>
          </w:r>
          <w:r>
            <w:instrText xml:space="preserve"> PAGEREF _Toc11748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_Toc13882 </w:instrText>
          </w:r>
          <w:r>
            <w:fldChar w:fldCharType="separate"/>
          </w:r>
          <w:r>
            <w:rPr>
              <w:rFonts w:hint="default"/>
            </w:rPr>
            <w:t xml:space="preserve">8. </w:t>
          </w:r>
          <w:r>
            <w:t>备件报废流程</w:t>
          </w:r>
          <w:r>
            <w:tab/>
          </w:r>
          <w:r>
            <w:fldChar w:fldCharType="begin"/>
          </w:r>
          <w:r>
            <w:instrText xml:space="preserve"> PAGEREF _Toc13882 \h </w:instrText>
          </w:r>
          <w:r>
            <w:fldChar w:fldCharType="separate"/>
          </w:r>
          <w:r>
            <w:t>11</w:t>
          </w:r>
          <w:r>
            <w:fldChar w:fldCharType="end"/>
          </w:r>
          <w:r>
            <w:fldChar w:fldCharType="end"/>
          </w:r>
        </w:p>
        <w:p>
          <w:pPr>
            <w:pStyle w:val="TOC1"/>
            <w:tabs>
              <w:tab w:val="right" w:leader="dot" w:pos="8306"/>
            </w:tabs>
          </w:pPr>
          <w:r>
            <w:fldChar w:fldCharType="begin"/>
          </w:r>
          <w:r>
            <w:instrText xml:space="preserve"> HYPERLINK \l _Toc21589 </w:instrText>
          </w:r>
          <w:r>
            <w:fldChar w:fldCharType="separate"/>
          </w:r>
          <w:r>
            <w:rPr>
              <w:rFonts w:hint="default"/>
            </w:rPr>
            <w:t xml:space="preserve">9. </w:t>
          </w:r>
          <w:r>
            <w:t>备件可用性管理流程</w:t>
          </w:r>
          <w:r>
            <w:tab/>
          </w:r>
          <w:r>
            <w:fldChar w:fldCharType="begin"/>
          </w:r>
          <w:r>
            <w:instrText xml:space="preserve"> PAGEREF _Toc21589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_Toc8222 </w:instrText>
          </w:r>
          <w:r>
            <w:fldChar w:fldCharType="separate"/>
          </w:r>
          <w:r>
            <w:rPr>
              <w:rFonts w:hint="default"/>
            </w:rPr>
            <w:t xml:space="preserve">9.1. </w:t>
          </w:r>
          <w:r>
            <w:t>检测频率</w:t>
          </w:r>
          <w:r>
            <w:tab/>
          </w:r>
          <w:r>
            <w:fldChar w:fldCharType="begin"/>
          </w:r>
          <w:r>
            <w:instrText xml:space="preserve"> PAGEREF _Toc8222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_Toc10273 </w:instrText>
          </w:r>
          <w:r>
            <w:fldChar w:fldCharType="separate"/>
          </w:r>
          <w:r>
            <w:rPr>
              <w:rFonts w:hint="default"/>
            </w:rPr>
            <w:t xml:space="preserve">9.2. </w:t>
          </w:r>
          <w:r>
            <w:t>检测方式和人员</w:t>
          </w:r>
          <w:r>
            <w:tab/>
          </w:r>
          <w:r>
            <w:fldChar w:fldCharType="begin"/>
          </w:r>
          <w:r>
            <w:instrText xml:space="preserve"> PAGEREF _Toc10273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_Toc29938 </w:instrText>
          </w:r>
          <w:r>
            <w:fldChar w:fldCharType="separate"/>
          </w:r>
          <w:r>
            <w:rPr>
              <w:rFonts w:hint="default"/>
            </w:rPr>
            <w:t xml:space="preserve">10. </w:t>
          </w:r>
          <w:r>
            <w:t>关键绩效指标（KPI）</w:t>
          </w:r>
          <w:r>
            <w:tab/>
          </w:r>
          <w:r>
            <w:fldChar w:fldCharType="begin"/>
          </w:r>
          <w:r>
            <w:instrText xml:space="preserve"> PAGEREF _Toc29938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_Toc11042 </w:instrText>
          </w:r>
          <w:r>
            <w:fldChar w:fldCharType="separate"/>
          </w:r>
          <w:r>
            <w:rPr>
              <w:rFonts w:hint="default"/>
            </w:rPr>
            <w:t xml:space="preserve">11. </w:t>
          </w:r>
          <w:r>
            <w:t>相关文件</w:t>
          </w:r>
          <w:r>
            <w:tab/>
          </w:r>
          <w:r>
            <w:fldChar w:fldCharType="begin"/>
          </w:r>
          <w:r>
            <w:instrText xml:space="preserve"> PAGEREF _Toc11042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_Toc4373 </w:instrText>
          </w:r>
          <w:r>
            <w:fldChar w:fldCharType="separate"/>
          </w:r>
          <w:r>
            <w:rPr>
              <w:rFonts w:hint="default"/>
            </w:rPr>
            <w:t xml:space="preserve">12. </w:t>
          </w:r>
          <w:r>
            <w:t>输出的文件及记录</w:t>
          </w:r>
          <w:r>
            <w:tab/>
          </w:r>
          <w:r>
            <w:fldChar w:fldCharType="begin"/>
          </w:r>
          <w:r>
            <w:instrText xml:space="preserve"> PAGEREF _Toc4373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_Toc3566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eastAsia"/>
          <w:lang w:val="en-US" w:eastAsia="zh-CN"/>
        </w:rPr>
        <w:t xml:space="preserve"> </w:t>
      </w:r>
      <w:r>
        <w:t>备件管理职责表</w:t>
      </w:r>
      <w:r>
        <w:tab/>
      </w:r>
      <w:r>
        <w:fldChar w:fldCharType="begin"/>
      </w:r>
      <w:r>
        <w:instrText xml:space="preserve"> PAGEREF _Toc3566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_Toc31818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备件存放环境要求表</w:t>
      </w:r>
      <w:r>
        <w:tab/>
      </w:r>
      <w:r>
        <w:fldChar w:fldCharType="begin"/>
      </w:r>
      <w:r>
        <w:instrText xml:space="preserve"> PAGEREF _Toc31818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_Toc10302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w:t>
      </w:r>
      <w:r>
        <w:t>备件响应级别表</w:t>
      </w:r>
      <w:r>
        <w:tab/>
      </w:r>
      <w:r>
        <w:fldChar w:fldCharType="begin"/>
      </w:r>
      <w:r>
        <w:instrText xml:space="preserve"> PAGEREF _Toc10302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_Toc15537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备件采购分类表</w:t>
      </w:r>
      <w:r>
        <w:tab/>
      </w:r>
      <w:r>
        <w:fldChar w:fldCharType="begin"/>
      </w:r>
      <w:r>
        <w:instrText xml:space="preserve"> PAGEREF _Toc15537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_Toc28954 </w:instrText>
      </w:r>
      <w:r>
        <w:fldChar w:fldCharType="separate"/>
      </w:r>
      <w:r>
        <w:rPr>
          <w:rFonts w:hint="eastAsia"/>
          <w:lang w:val="en-US" w:eastAsia="zh-CN"/>
        </w:rPr>
        <w:t>表 4-</w:t>
      </w:r>
      <w:r>
        <w:t xml:space="preserve">2 </w:t>
      </w:r>
      <w:r>
        <w:rPr>
          <w:rFonts w:hint="eastAsia"/>
          <w:lang w:val="en-US" w:eastAsia="zh-CN"/>
        </w:rPr>
        <w:t xml:space="preserve"> 备件采购流程表</w:t>
      </w:r>
      <w:r>
        <w:tab/>
      </w:r>
      <w:r>
        <w:fldChar w:fldCharType="begin"/>
      </w:r>
      <w:r>
        <w:instrText xml:space="preserve"> PAGEREF _Toc28954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_Toc14494 </w:instrText>
      </w:r>
      <w:r>
        <w:fldChar w:fldCharType="separate"/>
      </w:r>
      <w:r>
        <w:rPr>
          <w:rFonts w:hint="eastAsia"/>
          <w:lang w:val="en-US" w:eastAsia="zh-CN"/>
        </w:rPr>
        <w:t>表 4-</w:t>
      </w:r>
      <w:r>
        <w:t xml:space="preserve">3 </w:t>
      </w:r>
      <w:r>
        <w:rPr>
          <w:rFonts w:hint="eastAsia"/>
          <w:lang w:val="en-US" w:eastAsia="zh-CN"/>
        </w:rPr>
        <w:t xml:space="preserve"> </w:t>
      </w:r>
      <w:r>
        <w:rPr>
          <w:rFonts w:hint="eastAsia"/>
        </w:rPr>
        <w:t>紧急采购流程表</w:t>
      </w:r>
      <w:r>
        <w:tab/>
      </w:r>
      <w:r>
        <w:fldChar w:fldCharType="begin"/>
      </w:r>
      <w:r>
        <w:instrText xml:space="preserve"> PAGEREF _Toc14494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_Toc16146 </w:instrText>
      </w:r>
      <w:r>
        <w:fldChar w:fldCharType="separate"/>
      </w:r>
      <w:r>
        <w:rPr>
          <w:rFonts w:hint="eastAsia"/>
          <w:lang w:val="en-US" w:eastAsia="zh-CN"/>
        </w:rPr>
        <w:t>表 5-</w:t>
      </w:r>
      <w:r>
        <w:t xml:space="preserve">1 </w:t>
      </w:r>
      <w:r>
        <w:rPr>
          <w:rFonts w:hint="eastAsia"/>
          <w:lang w:val="en-US" w:eastAsia="zh-CN"/>
        </w:rPr>
        <w:t xml:space="preserve"> 供方评价方法表</w:t>
      </w:r>
      <w:r>
        <w:tab/>
      </w:r>
      <w:r>
        <w:fldChar w:fldCharType="begin"/>
      </w:r>
      <w:r>
        <w:instrText xml:space="preserve"> PAGEREF _Toc16146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_Toc19255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备件入库流程表</w:t>
      </w:r>
      <w:r>
        <w:tab/>
      </w:r>
      <w:r>
        <w:fldChar w:fldCharType="begin"/>
      </w:r>
      <w:r>
        <w:instrText xml:space="preserve"> PAGEREF _Toc19255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_Toc6057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2 </w:t>
      </w:r>
      <w:r>
        <w:rPr>
          <w:rFonts w:hint="eastAsia"/>
          <w:lang w:val="en-US" w:eastAsia="zh-CN"/>
        </w:rPr>
        <w:t xml:space="preserve"> </w:t>
      </w:r>
      <w:r>
        <w:t>备件出库流程表</w:t>
      </w:r>
      <w:r>
        <w:tab/>
      </w:r>
      <w:r>
        <w:fldChar w:fldCharType="begin"/>
      </w:r>
      <w:r>
        <w:instrText xml:space="preserve"> PAGEREF _Toc6057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_Toc78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备件借用流程表</w:t>
      </w:r>
      <w:r>
        <w:tab/>
      </w:r>
      <w:r>
        <w:fldChar w:fldCharType="begin"/>
      </w:r>
      <w:r>
        <w:instrText xml:space="preserve"> PAGEREF _Toc78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_Toc4177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备件报废流程表</w:t>
      </w:r>
      <w:r>
        <w:tab/>
      </w:r>
      <w:r>
        <w:fldChar w:fldCharType="begin"/>
      </w:r>
      <w:r>
        <w:instrText xml:space="preserve"> PAGEREF _Toc4177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_Toc7406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备件检测频率表</w:t>
      </w:r>
      <w:r>
        <w:tab/>
      </w:r>
      <w:r>
        <w:fldChar w:fldCharType="begin"/>
      </w:r>
      <w:r>
        <w:instrText xml:space="preserve"> PAGEREF _Toc7406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_Toc15254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备件检测要求表</w:t>
      </w:r>
      <w:r>
        <w:tab/>
      </w:r>
      <w:r>
        <w:fldChar w:fldCharType="begin"/>
      </w:r>
      <w:r>
        <w:instrText xml:space="preserve"> PAGEREF _Toc15254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_Toc5683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eastAsia"/>
          <w:lang w:val="en-US" w:eastAsia="zh-CN"/>
        </w:rPr>
        <w:t xml:space="preserve"> </w:t>
      </w:r>
      <w:r>
        <w:t>KPI指标表</w:t>
      </w:r>
      <w:r>
        <w:tab/>
      </w:r>
      <w:r>
        <w:fldChar w:fldCharType="begin"/>
      </w:r>
      <w:r>
        <w:instrText xml:space="preserve"> PAGEREF _Toc5683 \h </w:instrText>
      </w:r>
      <w:r>
        <w:fldChar w:fldCharType="separate"/>
      </w:r>
      <w:r>
        <w:t>13</w:t>
      </w:r>
      <w:r>
        <w:fldChar w:fldCharType="end"/>
      </w:r>
      <w:r>
        <w:fldChar w:fldCharType="end"/>
      </w:r>
    </w:p>
    <w:p>
      <w:pPr>
        <w:pStyle w:val="TableofFigures"/>
        <w:tabs>
          <w:tab w:val="right" w:leader="dot" w:pos="8306"/>
        </w:tabs>
      </w:pPr>
      <w:r>
        <w:fldChar w:fldCharType="begin"/>
      </w:r>
      <w:r>
        <w:instrText xml:space="preserve"> HYPERLINK \l _Toc30361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_Toc30361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bidi w:val="0"/>
      </w:pPr>
      <w:bookmarkStart w:id="1" w:name="heading_2"/>
      <w:bookmarkStart w:id="2" w:name="_Toc24269"/>
      <w:r>
        <w:t>定义和范围</w:t>
      </w:r>
      <w:bookmarkEnd w:id="1"/>
      <w:bookmarkEnd w:id="2"/>
    </w:p>
    <w:p>
      <w:pPr>
        <w:pStyle w:val="a4"/>
        <w:numPr>
          <w:ilvl w:val="0"/>
          <w:numId w:val="0"/>
        </w:numPr>
        <w:bidi w:val="0"/>
        <w:ind w:leftChars="0"/>
      </w:pPr>
      <w:r>
        <w:t>本管理制度适用于公司备件库管理体系的建设和备件的维护、使用及备件库管理。</w:t>
      </w:r>
    </w:p>
    <w:p>
      <w:pPr>
        <w:pStyle w:val="a4"/>
        <w:numPr>
          <w:ilvl w:val="0"/>
          <w:numId w:val="2"/>
        </w:numPr>
        <w:bidi w:val="0"/>
        <w:ind w:left="425" w:hanging="425" w:leftChars="0" w:firstLineChars="0"/>
      </w:pPr>
      <w:r>
        <w:t>备件管理原则： “统一管理、集中调配”的维护原则。</w:t>
      </w:r>
    </w:p>
    <w:p>
      <w:pPr>
        <w:pStyle w:val="a4"/>
        <w:numPr>
          <w:ilvl w:val="0"/>
          <w:numId w:val="2"/>
        </w:numPr>
        <w:bidi w:val="0"/>
        <w:ind w:left="425" w:hanging="425" w:leftChars="0" w:firstLineChars="0"/>
      </w:pPr>
      <w:r>
        <w:t>统一管理：</w:t>
      </w:r>
      <w:r>
        <w:rPr>
          <w:rFonts w:hint="eastAsia"/>
          <w:lang w:val="en-US" w:eastAsia="zh-CN"/>
        </w:rPr>
        <w:t>运维部</w:t>
      </w:r>
      <w:r>
        <w:t>根据对备件的管理范围进行统一采购、入库、出库、可用性测试、统计及支付各供应商备件款项。</w:t>
      </w:r>
    </w:p>
    <w:p>
      <w:pPr>
        <w:pStyle w:val="a4"/>
        <w:numPr>
          <w:ilvl w:val="0"/>
          <w:numId w:val="2"/>
        </w:numPr>
        <w:bidi w:val="0"/>
        <w:ind w:left="425" w:hanging="425" w:leftChars="0" w:firstLineChars="0"/>
      </w:pPr>
      <w:r>
        <w:t>集中调配：根据设备维护的实际需要，提出备件采购需求和计划并由</w:t>
      </w:r>
      <w:r>
        <w:rPr>
          <w:rFonts w:hint="eastAsia"/>
          <w:lang w:val="en-US" w:eastAsia="zh-CN"/>
        </w:rPr>
        <w:t>运维部</w:t>
      </w:r>
      <w:r>
        <w:t>负责对备件的调用和采购。</w:t>
      </w:r>
    </w:p>
    <w:p>
      <w:pPr>
        <w:pStyle w:val="1"/>
        <w:bidi w:val="0"/>
      </w:pPr>
      <w:bookmarkStart w:id="3" w:name="heading_3"/>
      <w:bookmarkStart w:id="4" w:name="_Toc13276"/>
      <w:r>
        <w:t>管理组织架构与岗位设置</w:t>
      </w:r>
      <w:bookmarkEnd w:id="3"/>
      <w:bookmarkEnd w:id="4"/>
    </w:p>
    <w:p>
      <w:pPr>
        <w:pStyle w:val="a2"/>
      </w:pPr>
      <w:r>
        <w:rPr>
          <w:rFonts w:ascii="Segoe UI" w:eastAsia="Segoe UI" w:hAnsi="Segoe UI" w:cs="Segoe UI"/>
          <w:i w:val="0"/>
          <w:iCs w:val="0"/>
          <w:caps w:val="0"/>
          <w:color w:val="0F1115"/>
          <w:spacing w:val="0"/>
          <w:sz w:val="24"/>
          <w:szCs w:val="24"/>
          <w:shd w:val="clear" w:color="auto" w:fill="FFFFFF"/>
        </w:rPr>
        <w:t>运维部下属的备件库负责存放公司运维服务目录中所有项目所需的设备备件及相关部件。运维部负责提出备件的采购需求与采购计划</w:t>
      </w:r>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 w:name="_Toc3566"/>
      <w:r>
        <w:rPr>
          <w:rFonts w:hint="eastAsia"/>
          <w:lang w:val="en-US" w:eastAsia="zh-CN"/>
        </w:rPr>
        <w:t xml:space="preserve"> </w:t>
      </w:r>
      <w:r>
        <w:t>备件管理职责表</w:t>
      </w:r>
      <w:bookmarkEnd w:id="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08"/>
        <w:gridCol w:w="1140"/>
        <w:gridCol w:w="5632"/>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0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角色</w:t>
            </w:r>
          </w:p>
        </w:tc>
        <w:tc>
          <w:tcPr>
            <w:tcW w:w="114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岗位</w:t>
            </w:r>
          </w:p>
        </w:tc>
        <w:tc>
          <w:tcPr>
            <w:tcW w:w="5632"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职责</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备件管理负责人</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hint="eastAsia"/>
                <w:sz w:val="24"/>
                <w:lang w:val="en-US" w:eastAsia="zh-CN"/>
              </w:rPr>
              <w:t>运维</w:t>
            </w:r>
            <w:r>
              <w:rPr>
                <w:rFonts w:ascii="Arial" w:eastAsia="宋体"/>
                <w:sz w:val="24"/>
              </w:rPr>
              <w:t>经理</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负责对备件相应支持按照SLA服务级别协议及分级管理；</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负责制订年度备件的采购计划，经领导批准后由采购专员执行；</w:t>
            </w:r>
          </w:p>
          <w:p>
            <w:pPr>
              <w:pStyle w:val="a2"/>
              <w:numPr>
                <w:ilvl w:val="0"/>
                <w:numId w:val="3"/>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负责备件管理规定的落实和督察，对备件的使用情况及库存进行监督、检查、考核。</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采购执行人</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采购专员</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严格执行采购控制流程，负责签订采购合同；</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对供应商进行评价、选择供应商，并建立和完善供应商档案；</w:t>
            </w:r>
          </w:p>
          <w:p>
            <w:pPr>
              <w:pStyle w:val="a2"/>
              <w:numPr>
                <w:ilvl w:val="0"/>
                <w:numId w:val="4"/>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负责依据年度备件采购计划执行采购。</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备件库</w:t>
            </w:r>
          </w:p>
        </w:tc>
        <w:tc>
          <w:tcPr>
            <w:tcW w:w="114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备件库专员</w:t>
            </w:r>
          </w:p>
        </w:tc>
        <w:tc>
          <w:tcPr>
            <w:tcW w:w="5632"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负责备件的验收工作，对产品质量严格把关；</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负责备件账务管理，进行出入库的日常账务操作和管理；</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负责备件的定位及妥善保管，并根据备件服务响应级别安排出库；</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负责定期对备件库存进行盘点和抽查，确保备件库存账务准确性和在库备件的可用性；</w:t>
            </w:r>
          </w:p>
          <w:p>
            <w:pPr>
              <w:pStyle w:val="a2"/>
              <w:numPr>
                <w:ilvl w:val="0"/>
                <w:numId w:val="5"/>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对备件资产安全、账务准确性负责。</w:t>
            </w:r>
          </w:p>
        </w:tc>
      </w:tr>
      <w:tr>
        <w:tblPrEx>
          <w:tblW w:w="8280" w:type="dxa"/>
          <w:jc w:val="center"/>
          <w:tblCellMar>
            <w:top w:w="0" w:type="dxa"/>
            <w:left w:w="10" w:type="dxa"/>
            <w:bottom w:w="0" w:type="dxa"/>
            <w:right w:w="10" w:type="dxa"/>
          </w:tblCellMar>
        </w:tblPrEx>
        <w:trPr>
          <w:trHeight w:val="0"/>
          <w:jc w:val="center"/>
        </w:trPr>
        <w:tc>
          <w:tcPr>
            <w:tcW w:w="150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备件使用人</w:t>
            </w:r>
          </w:p>
        </w:tc>
        <w:tc>
          <w:tcPr>
            <w:tcW w:w="114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hint="default"/>
                <w:sz w:val="24"/>
                <w:lang w:val="en-US" w:eastAsia="zh-CN"/>
              </w:rPr>
            </w:pPr>
            <w:r>
              <w:rPr>
                <w:rFonts w:hint="eastAsia"/>
                <w:sz w:val="24"/>
                <w:lang w:val="en-US" w:eastAsia="zh-CN"/>
              </w:rPr>
              <w:t>运维工程师</w:t>
            </w:r>
          </w:p>
        </w:tc>
        <w:tc>
          <w:tcPr>
            <w:tcW w:w="5632"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numPr>
                <w:ilvl w:val="0"/>
                <w:numId w:val="6"/>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负责提出备件采购申请；</w:t>
            </w:r>
          </w:p>
          <w:p>
            <w:pPr>
              <w:pStyle w:val="a2"/>
              <w:numPr>
                <w:ilvl w:val="0"/>
                <w:numId w:val="6"/>
              </w:numPr>
              <w:bidi w:val="0"/>
              <w:snapToGrid w:val="0"/>
              <w:spacing w:line="240" w:lineRule="auto"/>
              <w:ind w:left="0" w:right="0" w:firstLine="0" w:leftChars="0" w:rightChars="0" w:firstLineChars="0"/>
              <w:jc w:val="left"/>
              <w:rPr>
                <w:rFonts w:ascii="Arial" w:eastAsia="宋体"/>
                <w:sz w:val="24"/>
              </w:rPr>
            </w:pPr>
            <w:r>
              <w:rPr>
                <w:rFonts w:ascii="Arial" w:eastAsia="宋体"/>
                <w:sz w:val="24"/>
              </w:rPr>
              <w:t>负责协助备件库专员对备件可用性进行检测。</w:t>
            </w:r>
          </w:p>
        </w:tc>
      </w:tr>
    </w:tbl>
    <w:p>
      <w:pPr>
        <w:pStyle w:val="2"/>
        <w:bidi w:val="0"/>
      </w:pPr>
      <w:bookmarkStart w:id="6" w:name="heading_4"/>
      <w:bookmarkStart w:id="7" w:name="_Toc2047"/>
      <w:r>
        <w:rPr>
          <w:rFonts w:hint="eastAsia"/>
          <w:lang w:val="en-US" w:eastAsia="zh-CN"/>
        </w:rPr>
        <w:t>采购</w:t>
      </w:r>
      <w:r>
        <w:t>部</w:t>
      </w:r>
      <w:bookmarkEnd w:id="6"/>
      <w:r>
        <w:rPr>
          <w:rFonts w:hint="eastAsia"/>
          <w:lang w:eastAsia="zh-CN"/>
        </w:rPr>
        <w:t>、</w:t>
      </w:r>
      <w:r>
        <w:rPr>
          <w:rFonts w:hint="eastAsia"/>
          <w:lang w:val="en-US" w:eastAsia="zh-CN"/>
        </w:rPr>
        <w:t>运维部</w:t>
      </w:r>
      <w:bookmarkEnd w:id="7"/>
    </w:p>
    <w:p>
      <w:pPr>
        <w:pStyle w:val="a4"/>
        <w:numPr>
          <w:ilvl w:val="0"/>
          <w:numId w:val="7"/>
        </w:numPr>
        <w:bidi w:val="0"/>
        <w:ind w:left="425" w:hanging="425" w:leftChars="0" w:firstLineChars="0"/>
      </w:pPr>
      <w:r>
        <w:t>负责对备件相应支持按照SLA服务级别协议及分级管理；</w:t>
      </w:r>
    </w:p>
    <w:p>
      <w:pPr>
        <w:pStyle w:val="a4"/>
        <w:numPr>
          <w:ilvl w:val="0"/>
          <w:numId w:val="7"/>
        </w:numPr>
        <w:bidi w:val="0"/>
        <w:ind w:left="425" w:hanging="425" w:leftChars="0" w:firstLineChars="0"/>
      </w:pPr>
      <w:r>
        <w:t>负责制订年度备件的采购计划，经领导批准后由采购专员执行；</w:t>
      </w:r>
    </w:p>
    <w:p>
      <w:pPr>
        <w:pStyle w:val="a4"/>
        <w:numPr>
          <w:ilvl w:val="0"/>
          <w:numId w:val="7"/>
        </w:numPr>
        <w:bidi w:val="0"/>
        <w:ind w:left="425" w:hanging="425" w:leftChars="0" w:firstLineChars="0"/>
      </w:pPr>
      <w:r>
        <w:t>负责备件管理规定的落实和督察，对备件的使用情况及库存进行监督、检查、考核。</w:t>
      </w:r>
    </w:p>
    <w:p>
      <w:pPr>
        <w:pStyle w:val="2"/>
        <w:bidi w:val="0"/>
      </w:pPr>
      <w:bookmarkStart w:id="8" w:name="heading_5"/>
      <w:bookmarkStart w:id="9" w:name="_Toc26261"/>
      <w:r>
        <w:t>采购专员</w:t>
      </w:r>
      <w:bookmarkEnd w:id="8"/>
      <w:bookmarkEnd w:id="9"/>
    </w:p>
    <w:p>
      <w:pPr>
        <w:pStyle w:val="a4"/>
        <w:numPr>
          <w:ilvl w:val="0"/>
          <w:numId w:val="8"/>
        </w:numPr>
        <w:bidi w:val="0"/>
        <w:ind w:left="425" w:hanging="425" w:leftChars="0" w:firstLineChars="0"/>
      </w:pPr>
      <w:r>
        <w:t>严格执行采购控制流程，负责签订采购合同；</w:t>
      </w:r>
    </w:p>
    <w:p>
      <w:pPr>
        <w:pStyle w:val="a4"/>
        <w:numPr>
          <w:ilvl w:val="0"/>
          <w:numId w:val="8"/>
        </w:numPr>
        <w:bidi w:val="0"/>
        <w:ind w:left="425" w:hanging="425" w:leftChars="0" w:firstLineChars="0"/>
      </w:pPr>
      <w:r>
        <w:t>对供应商进行评价、选择供应商，并建立和完善供应商档案；</w:t>
      </w:r>
    </w:p>
    <w:p>
      <w:pPr>
        <w:pStyle w:val="a4"/>
        <w:numPr>
          <w:ilvl w:val="0"/>
          <w:numId w:val="8"/>
        </w:numPr>
        <w:bidi w:val="0"/>
        <w:ind w:left="425" w:hanging="425" w:leftChars="0" w:firstLineChars="0"/>
      </w:pPr>
      <w:r>
        <w:t>负责依据年度备件采购计划执行采购。</w:t>
      </w:r>
    </w:p>
    <w:p>
      <w:pPr>
        <w:pStyle w:val="2"/>
        <w:bidi w:val="0"/>
      </w:pPr>
      <w:bookmarkStart w:id="10" w:name="heading_6"/>
      <w:bookmarkStart w:id="11" w:name="_Toc31494"/>
      <w:r>
        <w:t>备件库专员</w:t>
      </w:r>
      <w:bookmarkEnd w:id="10"/>
      <w:bookmarkEnd w:id="11"/>
    </w:p>
    <w:p>
      <w:pPr>
        <w:pStyle w:val="a4"/>
        <w:numPr>
          <w:ilvl w:val="0"/>
          <w:numId w:val="9"/>
        </w:numPr>
        <w:bidi w:val="0"/>
        <w:ind w:left="425" w:hanging="425" w:leftChars="0" w:firstLineChars="0"/>
      </w:pPr>
      <w:r>
        <w:t>负责备件的验收工作，对产品质量严格把关；</w:t>
      </w:r>
    </w:p>
    <w:p>
      <w:pPr>
        <w:pStyle w:val="a4"/>
        <w:numPr>
          <w:ilvl w:val="0"/>
          <w:numId w:val="9"/>
        </w:numPr>
        <w:bidi w:val="0"/>
        <w:ind w:left="425" w:hanging="425" w:leftChars="0" w:firstLineChars="0"/>
      </w:pPr>
      <w:r>
        <w:t>负责备件账务管理，进行出入库的日常账务操作和管理；</w:t>
      </w:r>
    </w:p>
    <w:p>
      <w:pPr>
        <w:pStyle w:val="a4"/>
        <w:numPr>
          <w:ilvl w:val="0"/>
          <w:numId w:val="9"/>
        </w:numPr>
        <w:bidi w:val="0"/>
        <w:ind w:left="425" w:hanging="425" w:leftChars="0" w:firstLineChars="0"/>
      </w:pPr>
      <w:r>
        <w:t>负责备件的定位及妥善保管，并根据备件服务响应级别安排出库，并确保实物流和信息流一致；</w:t>
      </w:r>
    </w:p>
    <w:p>
      <w:pPr>
        <w:pStyle w:val="a4"/>
        <w:numPr>
          <w:ilvl w:val="0"/>
          <w:numId w:val="9"/>
        </w:numPr>
        <w:bidi w:val="0"/>
        <w:ind w:left="425" w:hanging="425" w:leftChars="0" w:firstLineChars="0"/>
      </w:pPr>
      <w:r>
        <w:t>负责定期对备件库存进行盘点和抽查，确保备件库存账务准确性和在库备件的可用性；</w:t>
      </w:r>
    </w:p>
    <w:p>
      <w:pPr>
        <w:pStyle w:val="a4"/>
        <w:numPr>
          <w:ilvl w:val="0"/>
          <w:numId w:val="9"/>
        </w:numPr>
        <w:bidi w:val="0"/>
        <w:ind w:left="425" w:hanging="425" w:leftChars="0" w:firstLineChars="0"/>
      </w:pPr>
      <w:r>
        <w:t>对备件资产安全、账务准确性负责。</w:t>
      </w:r>
    </w:p>
    <w:p>
      <w:pPr>
        <w:pStyle w:val="2"/>
        <w:bidi w:val="0"/>
      </w:pPr>
      <w:bookmarkStart w:id="12" w:name="heading_7"/>
      <w:bookmarkStart w:id="13" w:name="_Toc10630"/>
      <w:r>
        <w:t>运维工程师</w:t>
      </w:r>
      <w:bookmarkEnd w:id="12"/>
      <w:bookmarkEnd w:id="13"/>
    </w:p>
    <w:p>
      <w:pPr>
        <w:pStyle w:val="a4"/>
        <w:numPr>
          <w:ilvl w:val="0"/>
          <w:numId w:val="10"/>
        </w:numPr>
        <w:bidi w:val="0"/>
      </w:pPr>
      <w:r>
        <w:t>硬件运维工程师和软件运维工程师负责提出备件采购申请；</w:t>
      </w:r>
    </w:p>
    <w:p>
      <w:pPr>
        <w:pStyle w:val="a4"/>
        <w:numPr>
          <w:ilvl w:val="0"/>
          <w:numId w:val="10"/>
        </w:numPr>
        <w:bidi w:val="0"/>
      </w:pPr>
      <w:r>
        <w:t>负责协助备件库专员对备件可用性进行检测。</w:t>
      </w:r>
    </w:p>
    <w:p>
      <w:pPr>
        <w:pStyle w:val="1"/>
        <w:bidi w:val="0"/>
      </w:pPr>
      <w:bookmarkStart w:id="14" w:name="heading_8"/>
      <w:bookmarkStart w:id="15" w:name="_Toc9534"/>
      <w:r>
        <w:t>备件库的管理规范</w:t>
      </w:r>
      <w:bookmarkEnd w:id="14"/>
      <w:bookmarkEnd w:id="15"/>
    </w:p>
    <w:p>
      <w:pPr>
        <w:pStyle w:val="2"/>
        <w:bidi w:val="0"/>
      </w:pPr>
      <w:bookmarkStart w:id="16" w:name="heading_9"/>
      <w:bookmarkStart w:id="17" w:name="_Toc31839"/>
      <w:r>
        <w:t>备件的类型、类别</w:t>
      </w:r>
      <w:bookmarkEnd w:id="16"/>
      <w:bookmarkEnd w:id="17"/>
    </w:p>
    <w:p>
      <w:pPr>
        <w:pStyle w:val="a2"/>
        <w:bidi w:val="0"/>
      </w:pPr>
      <w:r>
        <w:t>备件库包括所有运维项目所需专业设备的备件及相关部件等。</w:t>
      </w:r>
    </w:p>
    <w:p>
      <w:pPr>
        <w:pStyle w:val="2"/>
        <w:bidi w:val="0"/>
      </w:pPr>
      <w:bookmarkStart w:id="18" w:name="heading_10"/>
      <w:bookmarkStart w:id="19" w:name="_Toc14414"/>
      <w:r>
        <w:t>备件的编码</w:t>
      </w:r>
      <w:bookmarkEnd w:id="18"/>
      <w:bookmarkEnd w:id="19"/>
    </w:p>
    <w:p>
      <w:pPr>
        <w:pStyle w:val="a2"/>
        <w:bidi w:val="0"/>
      </w:pPr>
      <w:r>
        <w:rPr>
          <w:rFonts w:hint="eastAsia"/>
          <w:lang w:val="en-US" w:eastAsia="zh-CN"/>
        </w:rPr>
        <w:t>备件库</w:t>
      </w:r>
      <w:r>
        <w:t>应规范有序、分门别类地将备件存放到指定位置，为便于备件的清理、查找和使用，要求按备件类别进行详细归类，可根据备件的类型、类别、型号等，标识应齐全。并应建立备件出入库备查簿，对备件的规格、数量、来源、出库、入库、结存数量等进行逐一登记。严格按制度执行备件的出入库的清点、移交、双方签收填报，并每月按时对备件进行统计。</w:t>
      </w:r>
    </w:p>
    <w:p>
      <w:pPr>
        <w:pStyle w:val="2"/>
        <w:bidi w:val="0"/>
      </w:pPr>
      <w:bookmarkStart w:id="20" w:name="heading_11"/>
      <w:bookmarkStart w:id="21" w:name="_Toc8188"/>
      <w:r>
        <w:t>备件的存放环境</w:t>
      </w:r>
      <w:bookmarkEnd w:id="20"/>
      <w:bookmarkEnd w:id="2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2" w:name="_Toc31818"/>
      <w:r>
        <w:rPr>
          <w:rFonts w:hint="eastAsia"/>
          <w:lang w:val="en-US" w:eastAsia="zh-CN"/>
        </w:rPr>
        <w:t xml:space="preserve"> </w:t>
      </w:r>
      <w:r>
        <w:t>备件存放环境要求表</w:t>
      </w:r>
      <w:bookmarkEnd w:id="2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31"/>
        <w:gridCol w:w="754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序号</w:t>
            </w:r>
          </w:p>
        </w:tc>
        <w:tc>
          <w:tcPr>
            <w:tcW w:w="754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管理要求</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库房内严禁烟火、易燃易爆等物品存放，严禁乱拉乱搭电线，放置消防设施</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754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入库的备件均应装入防静电袋并密封好后再行储放，读卡器、内存条、硬盘等应装入包装盒（箱）中再行储放</w:t>
            </w:r>
          </w:p>
        </w:tc>
      </w:tr>
      <w:tr>
        <w:tblPrEx>
          <w:tblW w:w="8280" w:type="dxa"/>
          <w:jc w:val="center"/>
          <w:tblCellMar>
            <w:top w:w="0" w:type="dxa"/>
            <w:left w:w="10" w:type="dxa"/>
            <w:bottom w:w="0" w:type="dxa"/>
            <w:right w:w="10" w:type="dxa"/>
          </w:tblCellMar>
        </w:tblPrEx>
        <w:trPr>
          <w:trHeight w:val="0"/>
          <w:jc w:val="center"/>
        </w:trPr>
        <w:tc>
          <w:tcPr>
            <w:tcW w:w="73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754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备件依据不同类型分架放置，并贴上标签。标签要清晰、完整且贴在醒目的位置</w:t>
            </w:r>
          </w:p>
        </w:tc>
      </w:tr>
    </w:tbl>
    <w:p>
      <w:pPr>
        <w:pStyle w:val="2"/>
        <w:bidi w:val="0"/>
      </w:pPr>
      <w:bookmarkStart w:id="23" w:name="heading_12"/>
      <w:bookmarkStart w:id="24" w:name="_Toc14380"/>
      <w:r>
        <w:t>备件响应方式和级别</w:t>
      </w:r>
      <w:bookmarkEnd w:id="23"/>
      <w:bookmarkEnd w:id="2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0302"/>
      <w:r>
        <w:rPr>
          <w:rFonts w:hint="eastAsia"/>
          <w:lang w:val="en-US" w:eastAsia="zh-CN"/>
        </w:rPr>
        <w:t xml:space="preserve"> </w:t>
      </w:r>
      <w:r>
        <w:t>备件响应级别表</w:t>
      </w:r>
      <w:bookmarkEnd w:id="2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580"/>
        <w:gridCol w:w="4012"/>
        <w:gridCol w:w="268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0" w:type="auto"/>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响应级别</w:t>
            </w:r>
          </w:p>
        </w:tc>
        <w:tc>
          <w:tcPr>
            <w:tcW w:w="4012"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c>
          <w:tcPr>
            <w:tcW w:w="268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响应要求</w:t>
            </w:r>
          </w:p>
        </w:tc>
      </w:tr>
      <w:tr>
        <w:tblPrEx>
          <w:tblW w:w="8280"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一级（紧急）</w:t>
            </w:r>
          </w:p>
        </w:tc>
        <w:tc>
          <w:tcPr>
            <w:tcW w:w="40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影响关键业务运行的设备故障，需立即更换</w:t>
            </w:r>
          </w:p>
        </w:tc>
        <w:tc>
          <w:tcPr>
            <w:tcW w:w="268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接到申请后2小时内完成出库</w:t>
            </w:r>
          </w:p>
        </w:tc>
      </w:tr>
      <w:tr>
        <w:tblPrEx>
          <w:tblW w:w="8280" w:type="dxa"/>
          <w:jc w:val="center"/>
          <w:tblCellMar>
            <w:top w:w="0" w:type="dxa"/>
            <w:left w:w="10" w:type="dxa"/>
            <w:bottom w:w="0" w:type="dxa"/>
            <w:right w:w="10" w:type="dxa"/>
          </w:tblCellMar>
        </w:tblPrEx>
        <w:trPr>
          <w:trHeight w:val="0"/>
          <w:jc w:val="center"/>
        </w:trPr>
        <w:tc>
          <w:tcPr>
            <w:tcW w:w="0" w:type="auto"/>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二级（重要）</w:t>
            </w:r>
          </w:p>
        </w:tc>
        <w:tc>
          <w:tcPr>
            <w:tcW w:w="4012"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影响部分业务运行，需尽快处理</w:t>
            </w:r>
          </w:p>
        </w:tc>
        <w:tc>
          <w:tcPr>
            <w:tcW w:w="268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接到申请后4小时内完成出库</w:t>
            </w:r>
          </w:p>
        </w:tc>
      </w:tr>
      <w:tr>
        <w:tblPrEx>
          <w:tblW w:w="8280" w:type="dxa"/>
          <w:jc w:val="center"/>
          <w:tblCellMar>
            <w:top w:w="0" w:type="dxa"/>
            <w:left w:w="10" w:type="dxa"/>
            <w:bottom w:w="0" w:type="dxa"/>
            <w:right w:w="10" w:type="dxa"/>
          </w:tblCellMar>
        </w:tblPrEx>
        <w:trPr>
          <w:trHeight w:val="0"/>
          <w:jc w:val="center"/>
        </w:trPr>
        <w:tc>
          <w:tcPr>
            <w:tcW w:w="158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三级（一般）</w:t>
            </w:r>
          </w:p>
        </w:tc>
        <w:tc>
          <w:tcPr>
            <w:tcW w:w="4012"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非紧急故障，可计划性处理</w:t>
            </w:r>
          </w:p>
        </w:tc>
        <w:tc>
          <w:tcPr>
            <w:tcW w:w="268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接到申请后24小时内完成出库</w:t>
            </w:r>
          </w:p>
        </w:tc>
      </w:tr>
    </w:tbl>
    <w:p>
      <w:pPr>
        <w:pStyle w:val="1"/>
        <w:bidi w:val="0"/>
      </w:pPr>
      <w:bookmarkStart w:id="26" w:name="heading_13"/>
      <w:bookmarkStart w:id="27" w:name="_Toc23776"/>
      <w:r>
        <w:t>备件采购</w:t>
      </w:r>
      <w:bookmarkEnd w:id="26"/>
      <w:bookmarkEnd w:id="27"/>
    </w:p>
    <w:p>
      <w:pPr>
        <w:pStyle w:val="2"/>
        <w:bidi w:val="0"/>
      </w:pPr>
      <w:bookmarkStart w:id="28" w:name="heading_14"/>
      <w:bookmarkStart w:id="29" w:name="_Toc22062"/>
      <w:r>
        <w:t>备件分类</w:t>
      </w:r>
      <w:bookmarkEnd w:id="28"/>
      <w:bookmarkEnd w:id="2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0" w:name="_Toc15537"/>
      <w:r>
        <w:rPr>
          <w:rFonts w:hint="eastAsia"/>
          <w:lang w:val="en-US" w:eastAsia="zh-CN"/>
        </w:rPr>
        <w:t xml:space="preserve"> </w:t>
      </w:r>
      <w:r>
        <w:t>备件采购分类表</w:t>
      </w:r>
      <w:bookmarkEnd w:id="3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371"/>
        <w:gridCol w:w="3593"/>
        <w:gridCol w:w="331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7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备件类型</w:t>
            </w:r>
          </w:p>
        </w:tc>
        <w:tc>
          <w:tcPr>
            <w:tcW w:w="359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定义</w:t>
            </w:r>
          </w:p>
        </w:tc>
        <w:tc>
          <w:tcPr>
            <w:tcW w:w="331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采购方式</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常用备件</w:t>
            </w:r>
          </w:p>
        </w:tc>
        <w:tc>
          <w:tcPr>
            <w:tcW w:w="359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日常运维中频繁使用的备件</w:t>
            </w:r>
          </w:p>
        </w:tc>
        <w:tc>
          <w:tcPr>
            <w:tcW w:w="33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建立安全库存，定期补货</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专用备件</w:t>
            </w:r>
          </w:p>
        </w:tc>
        <w:tc>
          <w:tcPr>
            <w:tcW w:w="359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特定项目或设备专用备件</w:t>
            </w:r>
          </w:p>
        </w:tc>
        <w:tc>
          <w:tcPr>
            <w:tcW w:w="331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按项目需求采购</w:t>
            </w:r>
          </w:p>
        </w:tc>
      </w:tr>
      <w:tr>
        <w:tblPrEx>
          <w:tblW w:w="8280" w:type="dxa"/>
          <w:jc w:val="center"/>
          <w:tblCellMar>
            <w:top w:w="0" w:type="dxa"/>
            <w:left w:w="10" w:type="dxa"/>
            <w:bottom w:w="0" w:type="dxa"/>
            <w:right w:w="10" w:type="dxa"/>
          </w:tblCellMar>
        </w:tblPrEx>
        <w:trPr>
          <w:trHeight w:val="0"/>
          <w:jc w:val="center"/>
        </w:trPr>
        <w:tc>
          <w:tcPr>
            <w:tcW w:w="137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应急备件</w:t>
            </w:r>
          </w:p>
        </w:tc>
        <w:tc>
          <w:tcPr>
            <w:tcW w:w="359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应对突发故障的储备备件</w:t>
            </w:r>
          </w:p>
        </w:tc>
        <w:tc>
          <w:tcPr>
            <w:tcW w:w="331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根据风险评估确定库存</w:t>
            </w:r>
          </w:p>
        </w:tc>
      </w:tr>
    </w:tbl>
    <w:p>
      <w:pPr>
        <w:pStyle w:val="2"/>
        <w:bidi w:val="0"/>
      </w:pPr>
      <w:bookmarkStart w:id="31" w:name="heading_15"/>
      <w:bookmarkStart w:id="32" w:name="_Toc26229"/>
      <w:r>
        <w:t>备件采购流程</w:t>
      </w:r>
      <w:bookmarkEnd w:id="31"/>
      <w:bookmarkEnd w:id="32"/>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33" w:name="_Toc28954"/>
      <w:r>
        <w:rPr>
          <w:rFonts w:hint="eastAsia"/>
          <w:lang w:val="en-US" w:eastAsia="zh-CN"/>
        </w:rPr>
        <w:t xml:space="preserve"> 备件采购流程表</w:t>
      </w:r>
      <w:bookmarkEnd w:id="33"/>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16"/>
        <w:gridCol w:w="3720"/>
        <w:gridCol w:w="1669"/>
        <w:gridCol w:w="217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1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720"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66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17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w:t>
            </w:r>
            <w:r>
              <w:rPr>
                <w:rFonts w:hint="eastAsia"/>
                <w:lang w:val="en-US" w:eastAsia="zh-CN"/>
              </w:rPr>
              <w:t>工程师</w:t>
            </w:r>
            <w:r>
              <w:t>根据运维需求提出备件采购申请</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《备件采购申请单》</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运维部经理审核采购申请</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审核意见</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3</w:t>
            </w:r>
          </w:p>
        </w:tc>
        <w:tc>
          <w:tcPr>
            <w:tcW w:w="3720"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采购专员执行采购</w:t>
            </w:r>
          </w:p>
        </w:tc>
        <w:tc>
          <w:tcPr>
            <w:tcW w:w="166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c>
          <w:tcPr>
            <w:tcW w:w="217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采购合同</w:t>
            </w:r>
          </w:p>
        </w:tc>
      </w:tr>
      <w:tr>
        <w:tblPrEx>
          <w:tblW w:w="8280" w:type="dxa"/>
          <w:jc w:val="center"/>
          <w:tblCellMar>
            <w:top w:w="0" w:type="dxa"/>
            <w:left w:w="10" w:type="dxa"/>
            <w:bottom w:w="0" w:type="dxa"/>
            <w:right w:w="10" w:type="dxa"/>
          </w:tblCellMar>
        </w:tblPrEx>
        <w:trPr>
          <w:trHeight w:val="0"/>
          <w:jc w:val="center"/>
        </w:trPr>
        <w:tc>
          <w:tcPr>
            <w:tcW w:w="71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4</w:t>
            </w:r>
          </w:p>
        </w:tc>
        <w:tc>
          <w:tcPr>
            <w:tcW w:w="3720"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到货后，备件库专员验收</w:t>
            </w:r>
          </w:p>
        </w:tc>
        <w:tc>
          <w:tcPr>
            <w:tcW w:w="166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17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《备件验收记录》</w:t>
            </w:r>
          </w:p>
        </w:tc>
      </w:tr>
    </w:tbl>
    <w:p>
      <w:pPr>
        <w:pStyle w:val="2"/>
        <w:bidi w:val="0"/>
      </w:pPr>
      <w:bookmarkStart w:id="34" w:name="_Toc27066"/>
      <w:bookmarkStart w:id="35" w:name="heading_16"/>
      <w:r>
        <w:rPr>
          <w:rFonts w:hint="eastAsia"/>
          <w:lang w:val="en-US" w:eastAsia="zh-CN"/>
        </w:rPr>
        <w:t>紧急采购流程</w:t>
      </w:r>
      <w:bookmarkEnd w:id="34"/>
    </w:p>
    <w:p>
      <w:pPr>
        <w:pStyle w:val="a2"/>
        <w:rPr>
          <w:rFonts w:hint="eastAsia"/>
        </w:rPr>
      </w:pPr>
      <w:r>
        <w:rPr>
          <w:rFonts w:hint="eastAsia"/>
        </w:rPr>
        <w:t>当发生以下情况时，可启动紧急采购流程：</w:t>
      </w:r>
    </w:p>
    <w:p>
      <w:pPr>
        <w:pStyle w:val="a2"/>
        <w:numPr>
          <w:ilvl w:val="0"/>
          <w:numId w:val="11"/>
        </w:numPr>
        <w:ind w:left="425" w:hanging="425" w:leftChars="0" w:firstLineChars="0"/>
        <w:rPr>
          <w:rFonts w:hint="eastAsia"/>
        </w:rPr>
      </w:pPr>
      <w:r>
        <w:rPr>
          <w:rFonts w:hint="eastAsia"/>
        </w:rPr>
        <w:t>突发故障导致备件库存不足，且该故障影响关键业务运行；</w:t>
      </w:r>
    </w:p>
    <w:p>
      <w:pPr>
        <w:pStyle w:val="a2"/>
        <w:numPr>
          <w:ilvl w:val="0"/>
          <w:numId w:val="11"/>
        </w:numPr>
        <w:ind w:left="425" w:hanging="425" w:leftChars="0" w:firstLineChars="0"/>
        <w:rPr>
          <w:rFonts w:hint="eastAsia"/>
        </w:rPr>
      </w:pPr>
      <w:r>
        <w:rPr>
          <w:rFonts w:hint="eastAsia"/>
        </w:rPr>
        <w:t>常规采购周期无法满足故障恢复时限要求；</w:t>
      </w:r>
    </w:p>
    <w:p>
      <w:pPr>
        <w:pStyle w:val="a2"/>
        <w:numPr>
          <w:ilvl w:val="0"/>
          <w:numId w:val="11"/>
        </w:numPr>
        <w:ind w:left="425" w:hanging="425" w:leftChars="0" w:firstLineChars="0"/>
        <w:rPr>
          <w:rFonts w:hint="eastAsia"/>
        </w:rPr>
      </w:pPr>
      <w:r>
        <w:rPr>
          <w:rFonts w:hint="eastAsia"/>
        </w:rPr>
        <w:t>其他经</w:t>
      </w:r>
      <w:r>
        <w:rPr>
          <w:rFonts w:hint="eastAsia"/>
          <w:lang w:val="en-US" w:eastAsia="zh-CN"/>
        </w:rPr>
        <w:t>运维部经理</w:t>
      </w:r>
      <w:r>
        <w:rPr>
          <w:rFonts w:hint="eastAsia"/>
        </w:rPr>
        <w:t>认定的紧急情况。</w:t>
      </w:r>
    </w:p>
    <w:p>
      <w:pPr>
        <w:pStyle w:val="a2"/>
        <w:numPr>
          <w:ilvl w:val="0"/>
          <w:numId w:val="11"/>
        </w:numPr>
        <w:ind w:left="425" w:hanging="425" w:leftChars="0" w:firstLineChars="0"/>
        <w:rPr>
          <w:rFonts w:hint="eastAsia"/>
        </w:rPr>
      </w:pPr>
      <w:r>
        <w:rPr>
          <w:rFonts w:hint="eastAsia"/>
        </w:rPr>
        <w:t>紧急采购遵循“先执行、后补批”的原则，以快速恢复业务为首要目标。</w:t>
      </w:r>
    </w:p>
    <w:p>
      <w:pPr>
        <w:pStyle w:val="a2"/>
        <w:keepNext/>
        <w:jc w:val="center"/>
        <w:rPr>
          <w:rFonts w:hint="eastAsia"/>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6" w:name="_Toc14494"/>
      <w:r>
        <w:rPr>
          <w:rFonts w:hint="eastAsia"/>
          <w:lang w:val="en-US" w:eastAsia="zh-CN"/>
        </w:rPr>
        <w:t xml:space="preserve"> </w:t>
      </w:r>
      <w:r>
        <w:rPr>
          <w:rFonts w:hint="eastAsia"/>
        </w:rPr>
        <w:t>紧急采购流程表</w:t>
      </w:r>
      <w:bookmarkEnd w:id="36"/>
    </w:p>
    <w:tbl>
      <w:tblPr>
        <w:tblStyle w:val="TableNormal"/>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614"/>
        <w:gridCol w:w="4729"/>
        <w:gridCol w:w="1681"/>
        <w:gridCol w:w="1256"/>
      </w:tblGrid>
      <w:tr>
        <w:tblPrEx>
          <w:tblW w:w="8280"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61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步骤</w:t>
            </w:r>
          </w:p>
        </w:tc>
        <w:tc>
          <w:tcPr>
            <w:tcW w:w="472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活动</w:t>
            </w:r>
          </w:p>
        </w:tc>
        <w:tc>
          <w:tcPr>
            <w:tcW w:w="168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责任人</w:t>
            </w:r>
          </w:p>
        </w:tc>
        <w:tc>
          <w:tcPr>
            <w:tcW w:w="125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输出</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1</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运维工程师识别紧急备件需求（库存不足且影响业务恢复），向运维部经理口头汇报</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运维工程师</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紧急需求说明</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2</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经理口头确认后，采购专员立即启动紧急采购（可从合格供方名录中优先选择供应商）</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运维部</w:t>
            </w:r>
            <w:r>
              <w:rPr>
                <w:rFonts w:ascii="Segoe UI" w:eastAsia="Segoe UI" w:hAnsi="Segoe UI" w:cs="Segoe UI" w:hint="default"/>
                <w:i w:val="0"/>
                <w:iCs w:val="0"/>
                <w:caps w:val="0"/>
                <w:snapToGrid w:val="0"/>
                <w:color w:val="000000"/>
                <w:spacing w:val="0"/>
                <w:kern w:val="0"/>
                <w:sz w:val="18"/>
                <w:szCs w:val="18"/>
                <w:lang w:val="en-US" w:eastAsia="zh-CN"/>
              </w:rPr>
              <w:t>经理、采购专员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3</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采购专员与供应商确认备件型号、数量、价格及到货时间，优先安排发货</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采购确认记录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4</w:t>
            </w:r>
          </w:p>
        </w:tc>
        <w:tc>
          <w:tcPr>
            <w:tcW w:w="472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备件到货后，备件库专员优先验收，核对型号、规格、数量，进行功能性测试</w:t>
            </w:r>
          </w:p>
        </w:tc>
        <w:tc>
          <w:tcPr>
            <w:tcW w:w="168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备件库专员</w:t>
            </w:r>
          </w:p>
        </w:tc>
        <w:tc>
          <w:tcPr>
            <w:tcW w:w="125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《备件验收记录》</w:t>
            </w:r>
          </w:p>
        </w:tc>
      </w:tr>
      <w:tr>
        <w:tblPrEx>
          <w:tblW w:w="8280" w:type="dxa"/>
          <w:jc w:val="center"/>
          <w:shd w:val="clear" w:color="auto" w:fill="auto"/>
          <w:tblCellMar>
            <w:top w:w="15" w:type="dxa"/>
            <w:left w:w="15" w:type="dxa"/>
            <w:bottom w:w="15" w:type="dxa"/>
            <w:right w:w="15" w:type="dxa"/>
          </w:tblCellMar>
        </w:tblPrEx>
        <w:trPr>
          <w:trHeight w:val="0"/>
          <w:jc w:val="center"/>
        </w:trPr>
        <w:tc>
          <w:tcPr>
            <w:tcW w:w="61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lang w:val="en-US" w:eastAsia="zh-CN"/>
              </w:rPr>
              <w:t>5</w:t>
            </w:r>
          </w:p>
        </w:tc>
        <w:tc>
          <w:tcPr>
            <w:tcW w:w="472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紧急采购完成后3个工作日内，补办书面审批手续，完善《紧急采购申请单》</w:t>
            </w:r>
          </w:p>
        </w:tc>
        <w:tc>
          <w:tcPr>
            <w:tcW w:w="168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采购专员</w:t>
            </w:r>
          </w:p>
        </w:tc>
        <w:tc>
          <w:tcPr>
            <w:tcW w:w="125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《紧急采购申请单》</w:t>
            </w:r>
          </w:p>
        </w:tc>
      </w:tr>
    </w:tbl>
    <w:p>
      <w:pPr>
        <w:pStyle w:val="a2"/>
        <w:jc w:val="center"/>
        <w:rPr>
          <w:rFonts w:hint="eastAsia"/>
        </w:rPr>
      </w:pPr>
    </w:p>
    <w:p>
      <w:pPr>
        <w:pStyle w:val="a2"/>
        <w:bidi w:val="0"/>
        <w:rPr>
          <w:rFonts w:hint="eastAsia"/>
        </w:rPr>
      </w:pPr>
      <w:r>
        <w:rPr>
          <w:rFonts w:hint="eastAsia"/>
        </w:rPr>
        <w:t>紧急采购申请单内容应包括：采购原因、备件名称型号、数量、供应商、采购金额、审批人签字等。</w:t>
      </w:r>
    </w:p>
    <w:p>
      <w:pPr>
        <w:pStyle w:val="a2"/>
        <w:bidi w:val="0"/>
        <w:rPr>
          <w:rFonts w:hint="eastAsia"/>
        </w:rPr>
      </w:pPr>
      <w:r>
        <w:rPr>
          <w:rFonts w:hint="eastAsia"/>
        </w:rPr>
        <w:t>紧急采购简化原则：</w:t>
      </w:r>
    </w:p>
    <w:p>
      <w:pPr>
        <w:pStyle w:val="a2"/>
        <w:numPr>
          <w:ilvl w:val="0"/>
          <w:numId w:val="12"/>
        </w:numPr>
        <w:bidi w:val="0"/>
        <w:ind w:left="425" w:hanging="425" w:leftChars="0" w:firstLineChars="0"/>
        <w:rPr>
          <w:rFonts w:hint="eastAsia"/>
        </w:rPr>
      </w:pPr>
      <w:r>
        <w:rPr>
          <w:rFonts w:hint="eastAsia"/>
        </w:rPr>
        <w:t>紧急采购可先执行采购，后补审批手续；</w:t>
      </w:r>
    </w:p>
    <w:p>
      <w:pPr>
        <w:pStyle w:val="a2"/>
        <w:numPr>
          <w:ilvl w:val="0"/>
          <w:numId w:val="12"/>
        </w:numPr>
        <w:bidi w:val="0"/>
        <w:ind w:left="425" w:hanging="425" w:leftChars="0" w:firstLineChars="0"/>
        <w:rPr>
          <w:rFonts w:hint="eastAsia"/>
        </w:rPr>
      </w:pPr>
      <w:r>
        <w:rPr>
          <w:rFonts w:hint="eastAsia"/>
        </w:rPr>
        <w:t>紧急采购的审批手续应在采购完成后3个工作日内完成补签；</w:t>
      </w:r>
    </w:p>
    <w:p>
      <w:pPr>
        <w:pStyle w:val="a2"/>
        <w:numPr>
          <w:ilvl w:val="0"/>
          <w:numId w:val="12"/>
        </w:numPr>
        <w:bidi w:val="0"/>
        <w:ind w:left="425" w:hanging="425" w:leftChars="0" w:firstLineChars="0"/>
        <w:rPr>
          <w:rFonts w:hint="eastAsia"/>
        </w:rPr>
      </w:pPr>
      <w:r>
        <w:rPr>
          <w:rFonts w:hint="eastAsia"/>
        </w:rPr>
        <w:t>紧急采购的供应商应优先从《合格供方名录》中选择，如需从名录外采购，事后需补充供应商评估记录；</w:t>
      </w:r>
    </w:p>
    <w:p>
      <w:pPr>
        <w:pStyle w:val="a2"/>
        <w:numPr>
          <w:ilvl w:val="0"/>
          <w:numId w:val="12"/>
        </w:numPr>
        <w:bidi w:val="0"/>
        <w:ind w:left="425" w:hanging="425" w:leftChars="0" w:firstLineChars="0"/>
      </w:pPr>
      <w:r>
        <w:rPr>
          <w:rFonts w:hint="eastAsia"/>
        </w:rPr>
        <w:t>紧急采购的备件价格可适当放宽，但事后需说明价格差异原因。</w:t>
      </w:r>
    </w:p>
    <w:p>
      <w:pPr>
        <w:pStyle w:val="1"/>
        <w:bidi w:val="0"/>
      </w:pPr>
      <w:bookmarkStart w:id="37" w:name="_Toc2447"/>
      <w:r>
        <w:t>备件供应商管理制度</w:t>
      </w:r>
      <w:bookmarkEnd w:id="35"/>
      <w:bookmarkEnd w:id="37"/>
    </w:p>
    <w:p>
      <w:pPr>
        <w:pStyle w:val="2"/>
        <w:bidi w:val="0"/>
      </w:pPr>
      <w:bookmarkStart w:id="38" w:name="heading_17"/>
      <w:bookmarkStart w:id="39" w:name="_Toc6992"/>
      <w:r>
        <w:t>供方评价、选择准则</w:t>
      </w:r>
      <w:bookmarkEnd w:id="38"/>
      <w:bookmarkEnd w:id="39"/>
    </w:p>
    <w:p>
      <w:pPr>
        <w:pStyle w:val="a2"/>
        <w:bidi w:val="0"/>
      </w:pPr>
      <w:r>
        <w:t>根据备件技术标准和生产需要，通过对供应商的生产能力、设备能力、质量保证体系、历年供货产品质量水平、交货进度、周期、产品价格等进行评价。</w:t>
      </w:r>
    </w:p>
    <w:p>
      <w:pPr>
        <w:pStyle w:val="2"/>
        <w:bidi w:val="0"/>
      </w:pPr>
      <w:bookmarkStart w:id="40" w:name="heading_18"/>
      <w:bookmarkStart w:id="41" w:name="_Toc1986"/>
      <w:r>
        <w:t>供方评价、选择的方法</w:t>
      </w:r>
      <w:bookmarkEnd w:id="40"/>
      <w:bookmarkEnd w:id="41"/>
    </w:p>
    <w:p>
      <w:r>
        <w:br w:type="page"/>
      </w:r>
    </w:p>
    <w:p>
      <w:pPr>
        <w:pStyle w:val="a2"/>
      </w:pPr>
    </w:p>
    <w:p>
      <w:pPr>
        <w:pStyle w:val="a4"/>
        <w:bidi w:val="0"/>
        <w:jc w:val="center"/>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rPr>
          <w:rFonts w:hint="eastAsia"/>
          <w:lang w:val="en-US" w:eastAsia="zh-CN"/>
        </w:rPr>
        <w:instrText>STYLEREF "柴_标题1"\n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eastAsia"/>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2" w:name="_Toc16146"/>
      <w:r>
        <w:rPr>
          <w:rFonts w:hint="eastAsia"/>
          <w:lang w:val="en-US" w:eastAsia="zh-CN"/>
        </w:rPr>
        <w:t xml:space="preserve"> 供方评价方法表</w:t>
      </w:r>
      <w:bookmarkEnd w:id="4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34"/>
        <w:gridCol w:w="5595"/>
        <w:gridCol w:w="125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3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评价方式</w:t>
            </w:r>
          </w:p>
        </w:tc>
        <w:tc>
          <w:tcPr>
            <w:tcW w:w="559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说明</w:t>
            </w:r>
          </w:p>
        </w:tc>
        <w:tc>
          <w:tcPr>
            <w:tcW w:w="125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适用情况</w:t>
            </w:r>
          </w:p>
        </w:tc>
      </w:tr>
      <w:tr>
        <w:tblPrEx>
          <w:tblW w:w="8280" w:type="dxa"/>
          <w:jc w:val="center"/>
          <w:tblCellMar>
            <w:top w:w="0" w:type="dxa"/>
            <w:left w:w="10" w:type="dxa"/>
            <w:bottom w:w="0" w:type="dxa"/>
            <w:right w:w="10" w:type="dxa"/>
          </w:tblCellMar>
        </w:tblPrEx>
        <w:trPr>
          <w:trHeight w:val="0"/>
          <w:jc w:val="center"/>
        </w:trPr>
        <w:tc>
          <w:tcPr>
            <w:tcW w:w="1434" w:type="dxa"/>
            <w:tcBorders>
              <w:top w:val="single" w:sz="4" w:space="0" w:color="auto"/>
              <w:left w:val="single" w:sz="12" w:space="0" w:color="auto"/>
              <w:bottom w:val="nil"/>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实地考察</w:t>
            </w:r>
          </w:p>
        </w:tc>
        <w:tc>
          <w:tcPr>
            <w:tcW w:w="559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采购专员组织实施，考察供方的生产能力、技术水平、生产设备、企业形象、质量保证体系以及售后服务</w:t>
            </w:r>
          </w:p>
        </w:tc>
        <w:tc>
          <w:tcPr>
            <w:tcW w:w="125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重要物资供应商</w:t>
            </w:r>
          </w:p>
        </w:tc>
      </w:tr>
      <w:tr>
        <w:tblPrEx>
          <w:tblW w:w="8280" w:type="dxa"/>
          <w:jc w:val="center"/>
          <w:tblCellMar>
            <w:top w:w="0" w:type="dxa"/>
            <w:left w:w="10" w:type="dxa"/>
            <w:bottom w:w="0" w:type="dxa"/>
            <w:right w:w="10" w:type="dxa"/>
          </w:tblCellMar>
        </w:tblPrEx>
        <w:trPr>
          <w:trHeight w:val="0"/>
          <w:jc w:val="center"/>
        </w:trPr>
        <w:tc>
          <w:tcPr>
            <w:tcW w:w="143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snapToGrid w:val="0"/>
              <w:spacing w:before="120" w:after="120" w:line="240" w:lineRule="auto"/>
              <w:ind w:left="0" w:right="0" w:firstLine="0" w:leftChars="0" w:rightChars="0" w:firstLineChars="0"/>
              <w:jc w:val="center"/>
              <w:rPr>
                <w:rFonts w:ascii="Arial" w:eastAsia="宋体"/>
                <w:sz w:val="24"/>
              </w:rPr>
            </w:pPr>
            <w:r>
              <w:rPr>
                <w:rFonts w:ascii="Arial" w:eastAsia="宋体" w:hAnsi="Arial" w:cs="Arial"/>
                <w:b/>
                <w:sz w:val="24"/>
              </w:rPr>
              <w:t>书面调查</w:t>
            </w:r>
          </w:p>
        </w:tc>
        <w:tc>
          <w:tcPr>
            <w:tcW w:w="559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ascii="Arial" w:eastAsia="宋体"/>
                <w:sz w:val="24"/>
              </w:rPr>
            </w:pPr>
            <w:r>
              <w:rPr>
                <w:rFonts w:ascii="Arial" w:eastAsia="宋体"/>
                <w:sz w:val="24"/>
              </w:rPr>
              <w:t>以表格形式由</w:t>
            </w:r>
            <w:r>
              <w:rPr>
                <w:rFonts w:hint="eastAsia"/>
                <w:sz w:val="24"/>
                <w:lang w:val="en-US" w:eastAsia="zh-CN"/>
              </w:rPr>
              <w:t>运维部</w:t>
            </w:r>
            <w:r>
              <w:rPr>
                <w:rFonts w:ascii="Arial" w:eastAsia="宋体"/>
                <w:sz w:val="24"/>
              </w:rPr>
              <w:t>统一下发各供方，要求供方填写《供方情况调查表》</w:t>
            </w:r>
          </w:p>
        </w:tc>
        <w:tc>
          <w:tcPr>
            <w:tcW w:w="125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rPr>
                <w:rFonts w:ascii="Arial" w:eastAsia="宋体"/>
                <w:sz w:val="24"/>
              </w:rPr>
            </w:pPr>
            <w:r>
              <w:rPr>
                <w:rFonts w:ascii="Arial" w:eastAsia="宋体"/>
                <w:sz w:val="24"/>
              </w:rPr>
              <w:t>一般物资供应商</w:t>
            </w:r>
          </w:p>
        </w:tc>
      </w:tr>
    </w:tbl>
    <w:p>
      <w:pPr>
        <w:pStyle w:val="2"/>
        <w:bidi w:val="0"/>
      </w:pPr>
      <w:bookmarkStart w:id="43" w:name="heading_19"/>
      <w:bookmarkStart w:id="44" w:name="_Toc15615"/>
      <w:r>
        <w:t>建立合格供方名单</w:t>
      </w:r>
      <w:bookmarkEnd w:id="43"/>
      <w:bookmarkEnd w:id="44"/>
    </w:p>
    <w:p>
      <w:pPr>
        <w:pStyle w:val="a2"/>
        <w:bidi w:val="0"/>
      </w:pPr>
      <w:r>
        <w:t>经评价合格的供方列入《合格供方名录》中，总经理批准后发布。必须从合格供方中采购。</w:t>
      </w:r>
    </w:p>
    <w:p>
      <w:pPr>
        <w:pStyle w:val="a2"/>
        <w:bidi w:val="0"/>
      </w:pPr>
      <w:r>
        <w:t>对有多年业务往来的重要物资的供方，应提供充分的书面证明材料，以证实其质量保证能力，并按每年进行一次供方业绩评定，并填写《供方业绩评定表》。</w:t>
      </w:r>
    </w:p>
    <w:p>
      <w:pPr>
        <w:pStyle w:val="a2"/>
        <w:bidi w:val="0"/>
      </w:pPr>
      <w:r>
        <w:t>对第一次供应重要物资的供方，还需经样机测试及小批量试用，测试合格才能供货。</w:t>
      </w:r>
    </w:p>
    <w:p>
      <w:pPr>
        <w:pStyle w:val="1"/>
        <w:bidi w:val="0"/>
      </w:pPr>
      <w:bookmarkStart w:id="45" w:name="heading_20"/>
      <w:bookmarkStart w:id="46" w:name="_Toc20094"/>
      <w:r>
        <w:t>备件的出入库管理</w:t>
      </w:r>
      <w:bookmarkEnd w:id="45"/>
      <w:bookmarkEnd w:id="46"/>
    </w:p>
    <w:p>
      <w:pPr>
        <w:pStyle w:val="2"/>
        <w:bidi w:val="0"/>
      </w:pPr>
      <w:bookmarkStart w:id="47" w:name="heading_21"/>
      <w:bookmarkStart w:id="48" w:name="_Toc25488"/>
      <w:r>
        <w:t>备件入库</w:t>
      </w:r>
      <w:bookmarkEnd w:id="47"/>
      <w:bookmarkEnd w:id="4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9" w:name="_Toc19255"/>
      <w:r>
        <w:rPr>
          <w:rFonts w:hint="eastAsia"/>
          <w:lang w:val="en-US" w:eastAsia="zh-CN"/>
        </w:rPr>
        <w:t xml:space="preserve"> </w:t>
      </w:r>
      <w:r>
        <w:t>备件入库流程表</w:t>
      </w:r>
      <w:bookmarkEnd w:id="4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91"/>
        <w:gridCol w:w="4475"/>
        <w:gridCol w:w="1703"/>
        <w:gridCol w:w="1411"/>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9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47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70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采购专员购入新备件后，备件库专员负责核对备件型号、规格、数量、外观质量等</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核对记录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核对完后的备件，由备件库专员入库，并签录入库单，登记备件名称、规格、来源、入库时间等信息</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备件验收合格办理入库手续后要及时上架、入帐</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库存更新</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备件信息系统的数据录入、查询使用统一的备件编码</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系统录入</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447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备件仓储期间的维护保养工作，防止备件损坏、变形、老化、锈蚀</w:t>
            </w:r>
          </w:p>
        </w:tc>
        <w:tc>
          <w:tcPr>
            <w:tcW w:w="170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维护记录</w:t>
            </w:r>
          </w:p>
        </w:tc>
      </w:tr>
      <w:tr>
        <w:tblPrEx>
          <w:tblW w:w="8280" w:type="dxa"/>
          <w:jc w:val="center"/>
          <w:tblCellMar>
            <w:top w:w="0" w:type="dxa"/>
            <w:left w:w="10" w:type="dxa"/>
            <w:bottom w:w="0" w:type="dxa"/>
            <w:right w:w="10" w:type="dxa"/>
          </w:tblCellMar>
        </w:tblPrEx>
        <w:trPr>
          <w:trHeight w:val="0"/>
          <w:jc w:val="center"/>
        </w:trPr>
        <w:tc>
          <w:tcPr>
            <w:tcW w:w="69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6</w:t>
            </w:r>
          </w:p>
        </w:tc>
        <w:tc>
          <w:tcPr>
            <w:tcW w:w="447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更换回的故障件进入领用返回流程，由备件库专员入库并对故障件进入送修或报废流程</w:t>
            </w:r>
          </w:p>
        </w:tc>
        <w:tc>
          <w:tcPr>
            <w:tcW w:w="170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故障件记录</w:t>
            </w:r>
          </w:p>
        </w:tc>
      </w:tr>
    </w:tbl>
    <w:p>
      <w:pPr>
        <w:pStyle w:val="2"/>
        <w:bidi w:val="0"/>
      </w:pPr>
      <w:bookmarkStart w:id="50" w:name="heading_22"/>
      <w:bookmarkStart w:id="51" w:name="_Toc28699"/>
      <w:r>
        <w:t>备件出库</w:t>
      </w:r>
      <w:bookmarkEnd w:id="50"/>
      <w:bookmarkEnd w:id="51"/>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2" w:name="_Toc6057"/>
      <w:r>
        <w:rPr>
          <w:rFonts w:hint="eastAsia"/>
          <w:lang w:val="en-US" w:eastAsia="zh-CN"/>
        </w:rPr>
        <w:t xml:space="preserve"> </w:t>
      </w:r>
      <w:r>
        <w:t>备件出库流程表</w:t>
      </w:r>
      <w:bookmarkEnd w:id="52"/>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04"/>
        <w:gridCol w:w="4932"/>
        <w:gridCol w:w="1424"/>
        <w:gridCol w:w="122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0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931"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42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2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default"/>
                <w:lang w:val="en-US" w:eastAsia="zh-CN"/>
              </w:rPr>
            </w:pPr>
            <w:r>
              <w:t>运维工程师领用备件时，</w:t>
            </w:r>
            <w:r>
              <w:rPr>
                <w:rFonts w:hint="eastAsia"/>
                <w:lang w:val="en-US" w:eastAsia="zh-CN"/>
              </w:rPr>
              <w:t>向备件库提交申请</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备件领用申请单</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经</w:t>
            </w:r>
            <w:r>
              <w:rPr>
                <w:rFonts w:hint="eastAsia"/>
                <w:lang w:val="en-US" w:eastAsia="zh-CN"/>
              </w:rPr>
              <w:t>运维部</w:t>
            </w:r>
            <w:r>
              <w:t>部经理核对签字后转交库房领取备件</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val="en-US" w:eastAsia="zh-CN"/>
              </w:rPr>
              <w:t>运维部</w:t>
            </w:r>
            <w:r>
              <w:t>经理</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审批签字</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3</w:t>
            </w:r>
          </w:p>
        </w:tc>
        <w:tc>
          <w:tcPr>
            <w:tcW w:w="4931"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备件库专员按照备件申请单要求，核对备件名称、型号、规格、数量，无误后，办理实物出库手续，并填写出库单</w:t>
            </w:r>
          </w:p>
        </w:tc>
        <w:tc>
          <w:tcPr>
            <w:tcW w:w="142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2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出库单</w:t>
            </w:r>
          </w:p>
        </w:tc>
      </w:tr>
      <w:tr>
        <w:tblPrEx>
          <w:tblW w:w="8280" w:type="dxa"/>
          <w:jc w:val="center"/>
          <w:tblCellMar>
            <w:top w:w="0" w:type="dxa"/>
            <w:left w:w="10" w:type="dxa"/>
            <w:bottom w:w="0" w:type="dxa"/>
            <w:right w:w="10" w:type="dxa"/>
          </w:tblCellMar>
        </w:tblPrEx>
        <w:trPr>
          <w:trHeight w:val="0"/>
          <w:jc w:val="center"/>
        </w:trPr>
        <w:tc>
          <w:tcPr>
            <w:tcW w:w="70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931"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备件根据SLA具体要求，由运维工程师或快递将备件送到项目所在地</w:t>
            </w:r>
          </w:p>
        </w:tc>
        <w:tc>
          <w:tcPr>
            <w:tcW w:w="142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2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交付确认</w:t>
            </w:r>
          </w:p>
        </w:tc>
      </w:tr>
    </w:tbl>
    <w:p>
      <w:pPr>
        <w:pStyle w:val="1"/>
        <w:bidi w:val="0"/>
      </w:pPr>
      <w:bookmarkStart w:id="53" w:name="heading_23"/>
      <w:bookmarkStart w:id="54" w:name="_Toc11748"/>
      <w:r>
        <w:t>备件的借用流程</w:t>
      </w:r>
      <w:bookmarkEnd w:id="53"/>
      <w:bookmarkEnd w:id="5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5" w:name="_Toc78"/>
      <w:r>
        <w:rPr>
          <w:rFonts w:hint="eastAsia"/>
          <w:lang w:val="en-US" w:eastAsia="zh-CN"/>
        </w:rPr>
        <w:t xml:space="preserve"> </w:t>
      </w:r>
      <w:r>
        <w:t>备件借用流程表</w:t>
      </w:r>
      <w:bookmarkEnd w:id="5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743"/>
        <w:gridCol w:w="3499"/>
        <w:gridCol w:w="2019"/>
        <w:gridCol w:w="2019"/>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4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349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201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20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运维工程师提出备件借用申请</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《备件借用单》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2</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w:t>
            </w:r>
            <w:r>
              <w:t>经理审批</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rPr>
                <w:rFonts w:hint="eastAsia"/>
                <w:lang w:val="en-US" w:eastAsia="zh-CN"/>
              </w:rPr>
              <w:t>运维部</w:t>
            </w:r>
            <w:r>
              <w:t>经理</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审批意见</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3</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备件库专员办理出库手续</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出库记录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4</w:t>
            </w:r>
          </w:p>
        </w:tc>
        <w:tc>
          <w:tcPr>
            <w:tcW w:w="34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在规定时间内归还备件</w:t>
            </w:r>
          </w:p>
        </w:tc>
        <w:tc>
          <w:tcPr>
            <w:tcW w:w="201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20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归还记录</w:t>
            </w:r>
          </w:p>
        </w:tc>
      </w:tr>
      <w:tr>
        <w:tblPrEx>
          <w:tblW w:w="8280" w:type="dxa"/>
          <w:jc w:val="center"/>
          <w:tblCellMar>
            <w:top w:w="0" w:type="dxa"/>
            <w:left w:w="10" w:type="dxa"/>
            <w:bottom w:w="0" w:type="dxa"/>
            <w:right w:w="10" w:type="dxa"/>
          </w:tblCellMar>
        </w:tblPrEx>
        <w:trPr>
          <w:trHeight w:val="0"/>
          <w:jc w:val="center"/>
        </w:trPr>
        <w:tc>
          <w:tcPr>
            <w:tcW w:w="74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eastAsia="zh-CN"/>
              </w:rPr>
            </w:pPr>
            <w:r>
              <w:rPr>
                <w:rFonts w:hint="eastAsia"/>
                <w:lang w:val="en-US" w:eastAsia="zh-CN"/>
              </w:rPr>
              <w:t>5</w:t>
            </w:r>
          </w:p>
        </w:tc>
        <w:tc>
          <w:tcPr>
            <w:tcW w:w="349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备件库专员核对确认后入库</w:t>
            </w:r>
          </w:p>
        </w:tc>
        <w:tc>
          <w:tcPr>
            <w:tcW w:w="201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20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入库记录</w:t>
            </w:r>
          </w:p>
        </w:tc>
      </w:tr>
    </w:tbl>
    <w:p>
      <w:pPr>
        <w:pStyle w:val="a2"/>
        <w:bidi w:val="0"/>
      </w:pPr>
      <w:r>
        <w:t>借用期限要求：借用期限一般不超过7个工作日，特殊情况下需经</w:t>
      </w:r>
      <w:r>
        <w:rPr>
          <w:rFonts w:hint="eastAsia"/>
          <w:lang w:val="en-US" w:eastAsia="zh-CN"/>
        </w:rPr>
        <w:t>运维部经理</w:t>
      </w:r>
      <w:bookmarkStart w:id="56" w:name="_GoBack"/>
      <w:bookmarkEnd w:id="56"/>
      <w:r>
        <w:t>经理批准延长。</w:t>
      </w:r>
    </w:p>
    <w:p>
      <w:pPr>
        <w:pStyle w:val="1"/>
        <w:bidi w:val="0"/>
      </w:pPr>
      <w:bookmarkStart w:id="57" w:name="heading_24"/>
      <w:bookmarkStart w:id="58" w:name="_Toc13882"/>
      <w:r>
        <w:t>备件报废流程</w:t>
      </w:r>
      <w:bookmarkEnd w:id="57"/>
      <w:bookmarkEnd w:id="58"/>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9" w:name="_Toc4177"/>
      <w:r>
        <w:rPr>
          <w:rFonts w:hint="eastAsia"/>
          <w:lang w:val="en-US" w:eastAsia="zh-CN"/>
        </w:rPr>
        <w:t xml:space="preserve"> </w:t>
      </w:r>
      <w:r>
        <w:t>备件报废流程表</w:t>
      </w:r>
      <w:bookmarkEnd w:id="59"/>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698"/>
        <w:gridCol w:w="4506"/>
        <w:gridCol w:w="1418"/>
        <w:gridCol w:w="1658"/>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9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步骤</w:t>
            </w:r>
          </w:p>
        </w:tc>
        <w:tc>
          <w:tcPr>
            <w:tcW w:w="4506"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活动</w:t>
            </w:r>
          </w:p>
        </w:tc>
        <w:tc>
          <w:tcPr>
            <w:tcW w:w="141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c>
          <w:tcPr>
            <w:tcW w:w="165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输出</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1</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当故障备件无法修复或不具有使用价值时，由运维工程师提出报废申请</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《备件报废申请单》</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2</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运维部经理</w:t>
            </w:r>
            <w:r>
              <w:t>审核报废申请</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运维部经理</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审核意见</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4</w:t>
            </w:r>
          </w:p>
        </w:tc>
        <w:tc>
          <w:tcPr>
            <w:tcW w:w="4506"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备件库专员将废件转入报废库</w:t>
            </w:r>
          </w:p>
        </w:tc>
        <w:tc>
          <w:tcPr>
            <w:tcW w:w="141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65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报废记录</w:t>
            </w:r>
          </w:p>
        </w:tc>
      </w:tr>
      <w:tr>
        <w:tblPrEx>
          <w:tblW w:w="8280" w:type="dxa"/>
          <w:jc w:val="center"/>
          <w:tblCellMar>
            <w:top w:w="0" w:type="dxa"/>
            <w:left w:w="10" w:type="dxa"/>
            <w:bottom w:w="0" w:type="dxa"/>
            <w:right w:w="10" w:type="dxa"/>
          </w:tblCellMar>
        </w:tblPrEx>
        <w:trPr>
          <w:trHeight w:val="0"/>
          <w:jc w:val="center"/>
        </w:trPr>
        <w:tc>
          <w:tcPr>
            <w:tcW w:w="69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5</w:t>
            </w:r>
          </w:p>
        </w:tc>
        <w:tc>
          <w:tcPr>
            <w:tcW w:w="4506"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需报废备件如属固定资产的，备件库专员应协助</w:t>
            </w:r>
            <w:r>
              <w:rPr>
                <w:rFonts w:hint="eastAsia"/>
                <w:lang w:val="en-US" w:eastAsia="zh-CN"/>
              </w:rPr>
              <w:t>运维部</w:t>
            </w:r>
            <w:r>
              <w:t>按照固定资产报废流程对备件进行报废处理</w:t>
            </w:r>
          </w:p>
        </w:tc>
        <w:tc>
          <w:tcPr>
            <w:tcW w:w="141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c>
          <w:tcPr>
            <w:tcW w:w="165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default"/>
                <w:lang w:val="en-US" w:eastAsia="zh-CN"/>
              </w:rPr>
            </w:pPr>
            <w:r>
              <w:rPr>
                <w:rFonts w:hint="eastAsia"/>
                <w:lang w:val="en-US" w:eastAsia="zh-CN"/>
              </w:rPr>
              <w:t>报废记录</w:t>
            </w:r>
          </w:p>
        </w:tc>
      </w:tr>
    </w:tbl>
    <w:p>
      <w:pPr>
        <w:pStyle w:val="1"/>
        <w:bidi w:val="0"/>
      </w:pPr>
      <w:bookmarkStart w:id="60" w:name="heading_25"/>
      <w:bookmarkStart w:id="61" w:name="_Toc21589"/>
      <w:r>
        <w:t>备件可用性管理流程</w:t>
      </w:r>
      <w:bookmarkEnd w:id="60"/>
      <w:bookmarkEnd w:id="61"/>
    </w:p>
    <w:p>
      <w:pPr>
        <w:pStyle w:val="a2"/>
        <w:bidi w:val="0"/>
      </w:pPr>
      <w:r>
        <w:t>为保证备件在使用中性能指标符合原有的技术要求，制定以下流程。</w:t>
      </w:r>
    </w:p>
    <w:p>
      <w:pPr>
        <w:pStyle w:val="2"/>
        <w:bidi w:val="0"/>
      </w:pPr>
      <w:bookmarkStart w:id="62" w:name="heading_26"/>
      <w:bookmarkStart w:id="63" w:name="_Toc8222"/>
      <w:r>
        <w:t>检测频率</w:t>
      </w:r>
      <w:bookmarkEnd w:id="62"/>
      <w:bookmarkEnd w:id="63"/>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7406"/>
      <w:r>
        <w:rPr>
          <w:rFonts w:hint="eastAsia"/>
          <w:lang w:val="en-US" w:eastAsia="zh-CN"/>
        </w:rPr>
        <w:t xml:space="preserve"> </w:t>
      </w:r>
      <w:r>
        <w:t>备件检测频率表</w:t>
      </w:r>
      <w:bookmarkEnd w:id="64"/>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410"/>
        <w:gridCol w:w="2435"/>
        <w:gridCol w:w="2435"/>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410"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备件类型</w:t>
            </w:r>
          </w:p>
        </w:tc>
        <w:tc>
          <w:tcPr>
            <w:tcW w:w="2435"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检测频率</w:t>
            </w:r>
          </w:p>
        </w:tc>
        <w:tc>
          <w:tcPr>
            <w:tcW w:w="243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检测方式</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新采购备件</w:t>
            </w:r>
          </w:p>
        </w:tc>
        <w:tc>
          <w:tcPr>
            <w:tcW w:w="24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入库前</w:t>
            </w:r>
          </w:p>
        </w:tc>
        <w:tc>
          <w:tcPr>
            <w:tcW w:w="24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全面检查</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库存备件</w:t>
            </w:r>
          </w:p>
        </w:tc>
        <w:tc>
          <w:tcPr>
            <w:tcW w:w="2435"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每月一次</w:t>
            </w:r>
          </w:p>
        </w:tc>
        <w:tc>
          <w:tcPr>
            <w:tcW w:w="243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抽检</w:t>
            </w:r>
          </w:p>
        </w:tc>
      </w:tr>
      <w:tr>
        <w:tblPrEx>
          <w:tblW w:w="8280" w:type="dxa"/>
          <w:jc w:val="center"/>
          <w:tblCellMar>
            <w:top w:w="0" w:type="dxa"/>
            <w:left w:w="10" w:type="dxa"/>
            <w:bottom w:w="0" w:type="dxa"/>
            <w:right w:w="10" w:type="dxa"/>
          </w:tblCellMar>
        </w:tblPrEx>
        <w:trPr>
          <w:trHeight w:val="0"/>
          <w:jc w:val="center"/>
        </w:trPr>
        <w:tc>
          <w:tcPr>
            <w:tcW w:w="3410"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借用归还备件</w:t>
            </w:r>
          </w:p>
        </w:tc>
        <w:tc>
          <w:tcPr>
            <w:tcW w:w="2435"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归还时</w:t>
            </w:r>
          </w:p>
        </w:tc>
        <w:tc>
          <w:tcPr>
            <w:tcW w:w="243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全面检查</w:t>
            </w:r>
          </w:p>
        </w:tc>
      </w:tr>
    </w:tbl>
    <w:p>
      <w:pPr>
        <w:pStyle w:val="a2"/>
        <w:bidi w:val="0"/>
      </w:pPr>
      <w:r>
        <w:t>抽检的基础概率为库存数量的30%，只入不舍。例如硬盘的30%为2.1台，则进行抽检3台。</w:t>
      </w:r>
    </w:p>
    <w:p>
      <w:pPr>
        <w:pStyle w:val="2"/>
        <w:bidi w:val="0"/>
      </w:pPr>
      <w:bookmarkStart w:id="65" w:name="heading_27"/>
      <w:bookmarkStart w:id="66" w:name="_Toc10273"/>
      <w:r>
        <w:t>检测方式和人员</w:t>
      </w:r>
      <w:bookmarkEnd w:id="65"/>
      <w:bookmarkEnd w:id="66"/>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7" w:name="_Toc15254"/>
      <w:r>
        <w:rPr>
          <w:rFonts w:hint="eastAsia"/>
          <w:lang w:val="en-US" w:eastAsia="zh-CN"/>
        </w:rPr>
        <w:t xml:space="preserve"> </w:t>
      </w:r>
      <w:r>
        <w:t>备件检测要求表</w:t>
      </w:r>
      <w:bookmarkEnd w:id="67"/>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411"/>
        <w:gridCol w:w="3949"/>
        <w:gridCol w:w="2920"/>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检测项</w:t>
            </w:r>
          </w:p>
        </w:tc>
        <w:tc>
          <w:tcPr>
            <w:tcW w:w="394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检测方式</w:t>
            </w:r>
          </w:p>
        </w:tc>
        <w:tc>
          <w:tcPr>
            <w:tcW w:w="292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外观检测</w:t>
            </w:r>
          </w:p>
        </w:tc>
        <w:tc>
          <w:tcPr>
            <w:tcW w:w="394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检查无破损、芯片腐蚀等情况</w:t>
            </w:r>
          </w:p>
        </w:tc>
        <w:tc>
          <w:tcPr>
            <w:tcW w:w="29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性能测试</w:t>
            </w:r>
          </w:p>
        </w:tc>
        <w:tc>
          <w:tcPr>
            <w:tcW w:w="394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上机测试，确保备件性能优良</w:t>
            </w:r>
          </w:p>
        </w:tc>
        <w:tc>
          <w:tcPr>
            <w:tcW w:w="292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硬件/软件运维工程师</w:t>
            </w:r>
          </w:p>
        </w:tc>
      </w:tr>
      <w:tr>
        <w:tblPrEx>
          <w:tblW w:w="8280" w:type="dxa"/>
          <w:jc w:val="center"/>
          <w:tblCellMar>
            <w:top w:w="0" w:type="dxa"/>
            <w:left w:w="10" w:type="dxa"/>
            <w:bottom w:w="0" w:type="dxa"/>
            <w:right w:w="10" w:type="dxa"/>
          </w:tblCellMar>
        </w:tblPrEx>
        <w:trPr>
          <w:trHeight w:val="0"/>
          <w:jc w:val="center"/>
        </w:trPr>
        <w:tc>
          <w:tcPr>
            <w:tcW w:w="14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结果记录</w:t>
            </w:r>
          </w:p>
        </w:tc>
        <w:tc>
          <w:tcPr>
            <w:tcW w:w="394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填写检测表，记录检测结果</w:t>
            </w:r>
          </w:p>
        </w:tc>
        <w:tc>
          <w:tcPr>
            <w:tcW w:w="292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备件库专员</w:t>
            </w:r>
          </w:p>
        </w:tc>
      </w:tr>
    </w:tbl>
    <w:p>
      <w:pPr>
        <w:pStyle w:val="a2"/>
        <w:bidi w:val="0"/>
      </w:pPr>
      <w:r>
        <w:t>对于检测中发现问题的备件，根据实际情况填写检测表，报运维部经理审批后进入维修或报废环节。维修后恢复正常性能的要保留其备件的维修记录备查。</w:t>
      </w:r>
    </w:p>
    <w:p>
      <w:pPr>
        <w:pStyle w:val="1"/>
        <w:bidi w:val="0"/>
      </w:pPr>
      <w:bookmarkStart w:id="68" w:name="heading_28"/>
      <w:bookmarkStart w:id="69" w:name="_Toc29938"/>
      <w:r>
        <w:t>关键绩效指标（KPI）</w:t>
      </w:r>
      <w:bookmarkEnd w:id="68"/>
      <w:bookmarkEnd w:id="69"/>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0" w:name="_Toc5683"/>
      <w:r>
        <w:rPr>
          <w:rFonts w:hint="eastAsia"/>
          <w:lang w:val="en-US" w:eastAsia="zh-CN"/>
        </w:rPr>
        <w:t xml:space="preserve"> </w:t>
      </w:r>
      <w:r>
        <w:t>KPI指标表</w:t>
      </w:r>
      <w:bookmarkEnd w:id="70"/>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1633"/>
        <w:gridCol w:w="958"/>
        <w:gridCol w:w="3054"/>
        <w:gridCol w:w="1199"/>
        <w:gridCol w:w="1436"/>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63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绩效指标</w:t>
            </w:r>
          </w:p>
        </w:tc>
        <w:tc>
          <w:tcPr>
            <w:tcW w:w="95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目标值</w:t>
            </w:r>
          </w:p>
        </w:tc>
        <w:tc>
          <w:tcPr>
            <w:tcW w:w="305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衡量方式</w:t>
            </w:r>
          </w:p>
        </w:tc>
        <w:tc>
          <w:tcPr>
            <w:tcW w:w="1199"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考核频度</w:t>
            </w:r>
          </w:p>
        </w:tc>
        <w:tc>
          <w:tcPr>
            <w:tcW w:w="143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r>
      <w:tr>
        <w:tblPrEx>
          <w:tblW w:w="8280" w:type="dxa"/>
          <w:jc w:val="center"/>
          <w:tblCellMar>
            <w:top w:w="0" w:type="dxa"/>
            <w:left w:w="10" w:type="dxa"/>
            <w:bottom w:w="0" w:type="dxa"/>
            <w:right w:w="10" w:type="dxa"/>
          </w:tblCellMar>
        </w:tblPrEx>
        <w:trPr>
          <w:trHeight w:val="0"/>
          <w:jc w:val="center"/>
        </w:trPr>
        <w:tc>
          <w:tcPr>
            <w:tcW w:w="1633"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备件可用率</w:t>
            </w:r>
          </w:p>
        </w:tc>
        <w:tc>
          <w:tcPr>
            <w:tcW w:w="95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≥95%</w:t>
            </w:r>
          </w:p>
        </w:tc>
        <w:tc>
          <w:tcPr>
            <w:tcW w:w="305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（合格可用数量/总数量）×100%</w:t>
            </w:r>
          </w:p>
        </w:tc>
        <w:tc>
          <w:tcPr>
            <w:tcW w:w="1199"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季度</w:t>
            </w:r>
          </w:p>
        </w:tc>
        <w:tc>
          <w:tcPr>
            <w:tcW w:w="143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运维部</w:t>
            </w:r>
          </w:p>
        </w:tc>
      </w:tr>
      <w:tr>
        <w:tblPrEx>
          <w:tblW w:w="8280" w:type="dxa"/>
          <w:jc w:val="center"/>
          <w:tblCellMar>
            <w:top w:w="0" w:type="dxa"/>
            <w:left w:w="10" w:type="dxa"/>
            <w:bottom w:w="0" w:type="dxa"/>
            <w:right w:w="10" w:type="dxa"/>
          </w:tblCellMar>
        </w:tblPrEx>
        <w:trPr>
          <w:trHeight w:val="0"/>
          <w:jc w:val="center"/>
        </w:trPr>
        <w:tc>
          <w:tcPr>
            <w:tcW w:w="163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备件库存准确率</w:t>
            </w:r>
          </w:p>
        </w:tc>
        <w:tc>
          <w:tcPr>
            <w:tcW w:w="95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100%</w:t>
            </w:r>
          </w:p>
        </w:tc>
        <w:tc>
          <w:tcPr>
            <w:tcW w:w="305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（账实相符数量/盘点数量）×100%</w:t>
            </w:r>
          </w:p>
        </w:tc>
        <w:tc>
          <w:tcPr>
            <w:tcW w:w="1199"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月度</w:t>
            </w:r>
          </w:p>
        </w:tc>
        <w:tc>
          <w:tcPr>
            <w:tcW w:w="143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rPr>
                <w:rFonts w:hint="eastAsia"/>
                <w:lang w:val="en-US" w:eastAsia="zh-CN"/>
              </w:rPr>
              <w:t>运维部</w:t>
            </w:r>
          </w:p>
        </w:tc>
      </w:tr>
    </w:tbl>
    <w:p>
      <w:pPr>
        <w:pStyle w:val="1"/>
        <w:bidi w:val="0"/>
      </w:pPr>
      <w:bookmarkStart w:id="71" w:name="heading_29"/>
      <w:bookmarkStart w:id="72" w:name="_Toc11042"/>
      <w:r>
        <w:t>相关文件</w:t>
      </w:r>
      <w:bookmarkEnd w:id="71"/>
      <w:bookmarkEnd w:id="72"/>
    </w:p>
    <w:p>
      <w:pPr>
        <w:pStyle w:val="a4"/>
        <w:numPr>
          <w:ilvl w:val="0"/>
          <w:numId w:val="13"/>
        </w:numPr>
        <w:bidi w:val="0"/>
        <w:ind w:left="425" w:hanging="425" w:leftChars="0" w:firstLineChars="0"/>
      </w:pPr>
      <w:r>
        <w:t>《事件管理程序》</w:t>
      </w:r>
    </w:p>
    <w:p>
      <w:pPr>
        <w:pStyle w:val="a4"/>
        <w:numPr>
          <w:ilvl w:val="0"/>
          <w:numId w:val="13"/>
        </w:numPr>
        <w:bidi w:val="0"/>
        <w:ind w:left="425" w:hanging="425" w:leftChars="0" w:firstLineChars="0"/>
      </w:pPr>
      <w:r>
        <w:t>《变更管理程序》</w:t>
      </w:r>
    </w:p>
    <w:p>
      <w:pPr>
        <w:pStyle w:val="a4"/>
        <w:numPr>
          <w:ilvl w:val="0"/>
          <w:numId w:val="13"/>
        </w:numPr>
        <w:bidi w:val="0"/>
        <w:ind w:left="425" w:hanging="425" w:leftChars="0" w:firstLineChars="0"/>
      </w:pPr>
      <w:r>
        <w:t>《配置管理程序》</w:t>
      </w:r>
    </w:p>
    <w:p>
      <w:pPr>
        <w:pStyle w:val="a4"/>
        <w:numPr>
          <w:ilvl w:val="0"/>
          <w:numId w:val="13"/>
        </w:numPr>
        <w:bidi w:val="0"/>
        <w:ind w:left="425" w:hanging="425" w:leftChars="0" w:firstLineChars="0"/>
      </w:pPr>
      <w:r>
        <w:t>《采购管理制度》</w:t>
      </w:r>
    </w:p>
    <w:p>
      <w:pPr>
        <w:pStyle w:val="1"/>
        <w:bidi w:val="0"/>
      </w:pPr>
      <w:bookmarkStart w:id="73" w:name="heading_30"/>
      <w:bookmarkStart w:id="74" w:name="_Toc4373"/>
      <w:r>
        <w:t>输出的文件及记录</w:t>
      </w:r>
      <w:bookmarkEnd w:id="73"/>
      <w:bookmarkEnd w:id="74"/>
    </w:p>
    <w:p>
      <w:pPr>
        <w:pStyle w:val="a4"/>
        <w:bidi w:val="0"/>
        <w:jc w:val="cente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5" w:name="_Toc30361"/>
      <w:r>
        <w:rPr>
          <w:rFonts w:hint="eastAsia"/>
          <w:lang w:val="en-US" w:eastAsia="zh-CN"/>
        </w:rPr>
        <w:t xml:space="preserve"> </w:t>
      </w:r>
      <w:r>
        <w:t>输出文件记录表</w:t>
      </w:r>
      <w:bookmarkEnd w:id="75"/>
    </w:p>
    <w:tbl>
      <w:tblPr>
        <w:tblStyle w:val="TableNormal"/>
        <w:tblW w:w="8280" w:type="dxa"/>
        <w:jc w:val="center"/>
        <w:tblBorders>
          <w:top w:val="nil"/>
          <w:left w:val="nil"/>
          <w:bottom w:val="nil"/>
          <w:right w:val="nil"/>
          <w:insideH w:val="nil"/>
          <w:insideV w:val="nil"/>
        </w:tblBorders>
        <w:tblCellMar>
          <w:top w:w="0" w:type="dxa"/>
          <w:left w:w="10" w:type="dxa"/>
          <w:bottom w:w="0" w:type="dxa"/>
          <w:right w:w="10" w:type="dxa"/>
        </w:tblCellMar>
      </w:tblPr>
      <w:tblGrid>
        <w:gridCol w:w="3766"/>
        <w:gridCol w:w="2257"/>
        <w:gridCol w:w="2257"/>
      </w:tblGrid>
      <w:tr>
        <w:tblPrEx>
          <w:tblW w:w="8280"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376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文件和记录</w:t>
            </w:r>
          </w:p>
        </w:tc>
        <w:tc>
          <w:tcPr>
            <w:tcW w:w="2257"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责任部门</w:t>
            </w:r>
          </w:p>
        </w:tc>
        <w:tc>
          <w:tcPr>
            <w:tcW w:w="225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b/>
              </w:rPr>
            </w:pPr>
            <w:r>
              <w:rPr>
                <w:b/>
              </w:rPr>
              <w:t>责任人</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《备件采购申请单》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《备件验收记录》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备件库</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《备件领用申请单》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《备件借用单》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《备件报废申请单》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运维工程师</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《备件检测记录表》</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备件库专员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《合格供方名录》</w:t>
            </w:r>
          </w:p>
        </w:tc>
        <w:tc>
          <w:tcPr>
            <w:tcW w:w="2257"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rPr>
                <w:rFonts w:eastAsia="宋体" w:hint="eastAsia"/>
                <w:lang w:val="en-US" w:eastAsia="zh-CN"/>
              </w:rPr>
            </w:pPr>
            <w:r>
              <w:rPr>
                <w:rFonts w:hint="eastAsia"/>
                <w:lang w:val="en-US" w:eastAsia="zh-CN"/>
              </w:rPr>
              <w:t>采购部</w:t>
            </w:r>
          </w:p>
        </w:tc>
        <w:tc>
          <w:tcPr>
            <w:tcW w:w="225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r>
      <w:tr>
        <w:tblPrEx>
          <w:tblW w:w="8280" w:type="dxa"/>
          <w:jc w:val="center"/>
          <w:tblCellMar>
            <w:top w:w="0" w:type="dxa"/>
            <w:left w:w="10" w:type="dxa"/>
            <w:bottom w:w="0" w:type="dxa"/>
            <w:right w:w="10" w:type="dxa"/>
          </w:tblCellMar>
        </w:tblPrEx>
        <w:trPr>
          <w:trHeight w:val="0"/>
          <w:jc w:val="center"/>
        </w:trPr>
        <w:tc>
          <w:tcPr>
            <w:tcW w:w="376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《供方业绩评定表》</w:t>
            </w:r>
          </w:p>
        </w:tc>
        <w:tc>
          <w:tcPr>
            <w:tcW w:w="2257"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center"/>
            </w:pPr>
            <w:r>
              <w:t>运维部</w:t>
            </w:r>
          </w:p>
        </w:tc>
        <w:tc>
          <w:tcPr>
            <w:tcW w:w="225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bidi w:val="0"/>
              <w:snapToGrid w:val="0"/>
              <w:spacing w:line="240" w:lineRule="auto"/>
              <w:ind w:left="0" w:right="0" w:firstLine="0" w:leftChars="0" w:rightChars="0" w:firstLineChars="0"/>
              <w:jc w:val="left"/>
            </w:pPr>
            <w:r>
              <w:t>采购专员</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84AE4C4"/>
    <w:multiLevelType w:val="singleLevel"/>
    <w:tmpl w:val="884AE4C4"/>
    <w:lvl w:ilvl="0">
      <w:start w:val="1"/>
      <w:numFmt w:val="decimal"/>
      <w:lvlText w:val="%1."/>
      <w:lvlJc w:val="left"/>
      <w:pPr>
        <w:ind w:left="425" w:hanging="425"/>
      </w:pPr>
      <w:rPr>
        <w:rFonts w:hint="default"/>
      </w:rPr>
    </w:lvl>
  </w:abstractNum>
  <w:abstractNum w:abstractNumId="1">
    <w:nsid w:val="8A783D69"/>
    <w:multiLevelType w:val="singleLevel"/>
    <w:tmpl w:val="8A783D69"/>
    <w:lvl w:ilvl="0">
      <w:start w:val="1"/>
      <w:numFmt w:val="decimal"/>
      <w:suff w:val="nothing"/>
      <w:lvlText w:val="（%1）"/>
      <w:lvlJc w:val="left"/>
    </w:lvl>
  </w:abstractNum>
  <w:abstractNum w:abstractNumId="2">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3">
    <w:nsid w:val="991AD419"/>
    <w:multiLevelType w:val="singleLevel"/>
    <w:tmpl w:val="991AD419"/>
    <w:lvl w:ilvl="0">
      <w:start w:val="1"/>
      <w:numFmt w:val="decimal"/>
      <w:lvlText w:val="%1."/>
      <w:lvlJc w:val="left"/>
      <w:pPr>
        <w:ind w:left="425" w:hanging="425"/>
      </w:pPr>
      <w:rPr>
        <w:rFonts w:hint="default"/>
      </w:rPr>
    </w:lvl>
  </w:abstractNum>
  <w:abstractNum w:abstractNumId="4">
    <w:nsid w:val="B567F24F"/>
    <w:multiLevelType w:val="singleLevel"/>
    <w:tmpl w:val="B567F24F"/>
    <w:lvl w:ilvl="0">
      <w:start w:val="1"/>
      <w:numFmt w:val="decimal"/>
      <w:suff w:val="nothing"/>
      <w:lvlText w:val="（%1）"/>
      <w:lvlJc w:val="left"/>
    </w:lvl>
  </w:abstractNum>
  <w:abstractNum w:abstractNumId="5">
    <w:nsid w:val="C80D618F"/>
    <w:multiLevelType w:val="singleLevel"/>
    <w:tmpl w:val="C80D618F"/>
    <w:lvl w:ilvl="0">
      <w:start w:val="1"/>
      <w:numFmt w:val="decimal"/>
      <w:lvlText w:val="%1."/>
      <w:lvlJc w:val="left"/>
      <w:pPr>
        <w:ind w:left="425" w:hanging="425"/>
      </w:pPr>
      <w:rPr>
        <w:rFonts w:hint="default"/>
      </w:rPr>
    </w:lvl>
  </w:abstractNum>
  <w:abstractNum w:abstractNumId="6">
    <w:nsid w:val="F0D00619"/>
    <w:multiLevelType w:val="singleLevel"/>
    <w:tmpl w:val="F0D00619"/>
    <w:lvl w:ilvl="0">
      <w:start w:val="1"/>
      <w:numFmt w:val="decimal"/>
      <w:lvlText w:val="%1."/>
      <w:lvlJc w:val="left"/>
      <w:pPr>
        <w:ind w:left="425" w:hanging="425"/>
      </w:pPr>
      <w:rPr>
        <w:rFonts w:hint="default"/>
      </w:rPr>
    </w:lvl>
  </w:abstractNum>
  <w:abstractNum w:abstractNumId="7">
    <w:nsid w:val="0AEA96B1"/>
    <w:multiLevelType w:val="singleLevel"/>
    <w:tmpl w:val="0AEA96B1"/>
    <w:lvl w:ilvl="0">
      <w:start w:val="1"/>
      <w:numFmt w:val="decimal"/>
      <w:lvlText w:val="%1."/>
      <w:lvlJc w:val="left"/>
      <w:pPr>
        <w:ind w:left="425" w:hanging="425"/>
      </w:pPr>
      <w:rPr>
        <w:rFonts w:hint="default"/>
      </w:rPr>
    </w:lvl>
  </w:abstractNum>
  <w:abstractNum w:abstractNumId="8">
    <w:nsid w:val="1031DF0C"/>
    <w:multiLevelType w:val="singleLevel"/>
    <w:tmpl w:val="1031DF0C"/>
    <w:lvl w:ilvl="0">
      <w:start w:val="1"/>
      <w:numFmt w:val="decimal"/>
      <w:lvlText w:val="%1."/>
      <w:lvlJc w:val="left"/>
      <w:pPr>
        <w:ind w:left="425" w:hanging="425"/>
      </w:pPr>
      <w:rPr>
        <w:rFonts w:hint="default"/>
      </w:rPr>
    </w:lvl>
  </w:abstractNum>
  <w:abstractNum w:abstractNumId="9">
    <w:nsid w:val="19582157"/>
    <w:multiLevelType w:val="singleLevel"/>
    <w:tmpl w:val="19582157"/>
    <w:lvl w:ilvl="0">
      <w:start w:val="1"/>
      <w:numFmt w:val="decimal"/>
      <w:suff w:val="nothing"/>
      <w:lvlText w:val="（%1）"/>
      <w:lvlJc w:val="left"/>
    </w:lvl>
  </w:abstractNum>
  <w:abstractNum w:abstractNumId="10">
    <w:nsid w:val="4A1E7A2B"/>
    <w:multiLevelType w:val="singleLevel"/>
    <w:tmpl w:val="4A1E7A2B"/>
    <w:lvl w:ilvl="0">
      <w:start w:val="1"/>
      <w:numFmt w:val="decimal"/>
      <w:lvlText w:val="%1."/>
      <w:lvlJc w:val="left"/>
      <w:pPr>
        <w:ind w:left="425" w:hanging="425"/>
      </w:pPr>
      <w:rPr>
        <w:rFonts w:hint="default"/>
      </w:rPr>
    </w:lvl>
  </w:abstractNum>
  <w:abstractNum w:abstractNumId="11">
    <w:nsid w:val="5A03F51F"/>
    <w:multiLevelType w:val="singleLevel"/>
    <w:tmpl w:val="5A03F51F"/>
    <w:lvl w:ilvl="0">
      <w:start w:val="1"/>
      <w:numFmt w:val="decimal"/>
      <w:suff w:val="nothing"/>
      <w:lvlText w:val="（%1）"/>
      <w:lvlJc w:val="left"/>
    </w:lvl>
  </w:abstractNum>
  <w:abstractNum w:abstractNumId="12">
    <w:nsid w:val="7BE8B478"/>
    <w:multiLevelType w:val="singleLevel"/>
    <w:tmpl w:val="7BE8B478"/>
    <w:lvl w:ilvl="0">
      <w:start w:val="1"/>
      <w:numFmt w:val="decimal"/>
      <w:lvlText w:val="%1."/>
      <w:lvlJc w:val="left"/>
      <w:pPr>
        <w:ind w:left="425" w:hanging="425"/>
      </w:pPr>
      <w:rPr>
        <w:rFonts w:hint="default"/>
      </w:rPr>
    </w:lvl>
  </w:abstractNum>
  <w:num w:numId="1">
    <w:abstractNumId w:val="2"/>
  </w:num>
  <w:num w:numId="2">
    <w:abstractNumId w:val="8"/>
  </w:num>
  <w:num w:numId="3">
    <w:abstractNumId w:val="1"/>
  </w:num>
  <w:num w:numId="4">
    <w:abstractNumId w:val="4"/>
  </w:num>
  <w:num w:numId="5">
    <w:abstractNumId w:val="9"/>
  </w:num>
  <w:num w:numId="6">
    <w:abstractNumId w:val="11"/>
  </w:num>
  <w:num w:numId="7">
    <w:abstractNumId w:val="7"/>
  </w:num>
  <w:num w:numId="8">
    <w:abstractNumId w:val="12"/>
  </w:num>
  <w:num w:numId="9">
    <w:abstractNumId w:val="5"/>
  </w:num>
  <w:num w:numId="10">
    <w:abstractNumId w:val="10"/>
  </w:num>
  <w:num w:numId="11">
    <w:abstractNumId w:val="0"/>
  </w:num>
  <w:num w:numId="12">
    <w:abstractNumId w:val="3"/>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13</Pages>
  <Words>2629</Words>
  <Characters>2825</Characters>
  <Application>Microsoft Office Word</Application>
  <DocSecurity>0</DocSecurity>
  <Lines>0</Lines>
  <Paragraphs>0</Paragraphs>
  <ScaleCrop>false</ScaleCrop>
  <Company/>
  <LinksUpToDate>false</LinksUpToDate>
  <CharactersWithSpaces>3018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2026-04-07T23:12:06Z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