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2025年度总结报告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_Toc30704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_Toc30704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_Toc12167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项目实施情况总结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项目整体进展</w:t>
          </w:r>
          <w:r>
            <w:tab/>
          </w:r>
          <w:r>
            <w:fldChar w:fldCharType="begin"/>
          </w:r>
          <w:r>
            <w:instrText xml:space="preserve"> PAGEREF _Toc26980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各阶段工作回顾</w:t>
          </w:r>
          <w:r>
            <w:tab/>
          </w:r>
          <w:r>
            <w:fldChar w:fldCharType="begin"/>
          </w:r>
          <w:r>
            <w:instrText xml:space="preserve"> PAGEREF _Toc12340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运维服务执行情况</w:t>
          </w:r>
          <w:r>
            <w:tab/>
          </w:r>
          <w:r>
            <w:fldChar w:fldCharType="begin"/>
          </w:r>
          <w:r>
            <w:instrText xml:space="preserve"> PAGEREF _Toc22683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日常运维执行情况</w:t>
          </w:r>
          <w:r>
            <w:tab/>
          </w:r>
          <w:r>
            <w:fldChar w:fldCharType="begin"/>
          </w:r>
          <w:r>
            <w:instrText xml:space="preserve"> PAGEREF _Toc21971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月度运维工作执行情况</w:t>
          </w:r>
          <w:r>
            <w:tab/>
          </w:r>
          <w:r>
            <w:fldChar w:fldCharType="begin"/>
          </w:r>
          <w:r>
            <w:instrText xml:space="preserve"> PAGEREF _Toc29716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季度运维工作执行情况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服务台运行情况</w:t>
          </w:r>
          <w:r>
            <w:tab/>
          </w:r>
          <w:r>
            <w:fldChar w:fldCharType="begin"/>
          </w:r>
          <w:r>
            <w:instrText xml:space="preserve"> PAGEREF _Toc3799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质量目标达成情况</w:t>
          </w:r>
          <w:r>
            <w:tab/>
          </w:r>
          <w:r>
            <w:fldChar w:fldCharType="begin"/>
          </w:r>
          <w:r>
            <w:instrText xml:space="preserve"> PAGEREF _Toc15982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可用性目标达成情况</w:t>
          </w:r>
          <w:r>
            <w:tab/>
          </w:r>
          <w:r>
            <w:fldChar w:fldCharType="begin"/>
          </w:r>
          <w:r>
            <w:instrText xml:space="preserve"> PAGEREF _Toc32656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服务质量目标达成情况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服务报告提交情况</w:t>
          </w:r>
          <w:r>
            <w:tab/>
          </w:r>
          <w:r>
            <w:fldChar w:fldCharType="begin"/>
          </w:r>
          <w:r>
            <w:instrText xml:space="preserve"> PAGEREF _Toc14691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存在问题与改进措施</w:t>
          </w:r>
          <w:r>
            <w:tab/>
          </w:r>
          <w:r>
            <w:fldChar w:fldCharType="begin"/>
          </w:r>
          <w:r>
            <w:instrText xml:space="preserve"> PAGEREF _Toc17500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存在的主要问题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改进措施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下阶段工作计划</w:t>
          </w:r>
          <w:r>
            <w:tab/>
          </w:r>
          <w:r>
            <w:fldChar w:fldCharType="begin"/>
          </w:r>
          <w:r>
            <w:instrText xml:space="preserve"> PAGEREF _Toc30132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下阶段工作重点</w:t>
          </w:r>
          <w:r>
            <w:tab/>
          </w:r>
          <w:r>
            <w:fldChar w:fldCharType="begin"/>
          </w:r>
          <w:r>
            <w:instrText xml:space="preserve"> PAGEREF _Toc5005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下阶段工作安排</w:t>
          </w:r>
          <w:r>
            <w:tab/>
          </w:r>
          <w:r>
            <w:fldChar w:fldCharType="begin"/>
          </w:r>
          <w:r>
            <w:instrText xml:space="preserve"> PAGEREF _Toc15766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</w:t>
          </w:r>
          <w:r>
            <w:tab/>
          </w:r>
          <w:r>
            <w:fldChar w:fldCharType="begin"/>
          </w:r>
          <w:r>
            <w:instrText xml:space="preserve"> PAGEREF _Toc558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r>
        <w:tab/>
      </w:r>
      <w:r>
        <w:fldChar w:fldCharType="begin"/>
      </w:r>
      <w:r>
        <w:instrText xml:space="preserve"> PAGEREF _Toc21327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_Toc3843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r>
        <w:tab/>
      </w:r>
      <w:r>
        <w:fldChar w:fldCharType="begin"/>
      </w:r>
      <w:r>
        <w:instrText xml:space="preserve"> PAGEREF _Toc3843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r>
        <w:tab/>
      </w:r>
      <w:r>
        <w:fldChar w:fldCharType="begin"/>
      </w:r>
      <w:r>
        <w:instrText xml:space="preserve"> PAGEREF _Toc717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_Toc5529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r>
        <w:tab/>
      </w:r>
      <w:r>
        <w:fldChar w:fldCharType="begin"/>
      </w:r>
      <w:r>
        <w:instrText xml:space="preserve"> PAGEREF _Toc5529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r>
        <w:tab/>
      </w:r>
      <w:r>
        <w:fldChar w:fldCharType="begin"/>
      </w:r>
      <w:r>
        <w:instrText xml:space="preserve"> PAGEREF _Toc24477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r>
        <w:tab/>
      </w:r>
      <w:r>
        <w:fldChar w:fldCharType="begin"/>
      </w:r>
      <w:r>
        <w:instrText xml:space="preserve"> PAGEREF _Toc32761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_Toc13319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_Toc13319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2026年度运维计划表</w:t>
      </w:r>
      <w:r>
        <w:tab/>
      </w:r>
      <w:r>
        <w:fldChar w:fldCharType="begin"/>
      </w:r>
      <w:r>
        <w:instrText xml:space="preserve"> PAGEREF _Toc5697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30704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bidi w:val="0"/>
        <w:rPr>
          <w:rFonts w:hint="default"/>
          <w:lang w:val="en-US" w:eastAsia="zh-CN"/>
        </w:rPr>
      </w:pPr>
      <w:bookmarkStart w:id="2" w:name="_Toc2927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221"/>
      <w:bookmarkStart w:id="4" w:name="_Toc16208"/>
      <w:bookmarkStart w:id="5" w:name="_Toc1925"/>
      <w:bookmarkStart w:id="6" w:name="_Toc30342"/>
      <w:r>
        <w:rPr>
          <w:rFonts w:hint="eastAsia"/>
          <w:lang w:val="en-US" w:eastAsia="zh-CN"/>
        </w:rPr>
        <w:t xml:space="preserve"> 项目基本信息表</w:t>
      </w:r>
      <w:bookmarkEnd w:id="3"/>
      <w:bookmarkEnd w:id="4"/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610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1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企业门店ERP统一管理系统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合同生效日 至 2025年12月31日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阶段性总结报告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报告审核人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</w:tr>
    </w:tbl>
    <w:p>
      <w:pPr>
        <w:pStyle w:val="Heading2"/>
        <w:bidi w:val="0"/>
        <w:rPr>
          <w:rFonts w:hint="default"/>
          <w:lang w:val="en-US" w:eastAsia="zh-CN"/>
        </w:rPr>
      </w:pPr>
      <w:bookmarkStart w:id="7" w:name="_Toc12167"/>
      <w:r>
        <w:rPr>
          <w:rFonts w:hint="default"/>
          <w:lang w:val="en-US" w:eastAsia="zh-CN"/>
        </w:rPr>
        <w:t>报告目的</w:t>
      </w:r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企业门店ERP统一管理系统》项目自合同生效以来至2025年12月31日的实施与运维情况，回顾项目各阶段工作完成情况，评估服务质量目标达成情况，分析存在的问题，提出改进措施，并为下一阶段工作提供指导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7582"/>
      <w:r>
        <w:rPr>
          <w:rFonts w:hint="default"/>
          <w:lang w:val="en-US" w:eastAsia="zh-CN"/>
        </w:rPr>
        <w:t>项目实施情况总结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980"/>
      <w:r>
        <w:rPr>
          <w:rFonts w:hint="default"/>
          <w:lang w:val="en-US" w:eastAsia="zh-CN"/>
        </w:rPr>
        <w:t>项目整体进展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自合同生效以来，项目按照《年度实施与运维计划》有序推进，已完成项目启动、需求确认、系统部署、系统培训、试运行五个阶段工作，系统已于合同生效后第14周正式投入运行，目前处于正式运维阶段。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132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453"/>
        <w:gridCol w:w="1926"/>
        <w:gridCol w:w="1571"/>
        <w:gridCol w:w="13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4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19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实际完成时间</w:t>
            </w:r>
          </w:p>
        </w:tc>
        <w:tc>
          <w:tcPr>
            <w:tcW w:w="15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按时提交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已完成3次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12340"/>
      <w:r>
        <w:rPr>
          <w:rFonts w:hint="default"/>
          <w:lang w:val="en-US" w:eastAsia="zh-CN"/>
        </w:rPr>
        <w:t>各阶段工作回顾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项目启动阶段。完成了项目团队组建，召开了项目启动会，明确了项目目标、范围、计划和沟通机制。双方项目组建立了良好的协作关系，为后续工作顺利开展奠定了基础。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需求确认阶段。深入调研了甲方业务流程和管理需求，确认了ERP系统功能需求清单，完成了硬件环境检查，明确了数据迁移方案。需求确认书经双方确认，为系统建设提供了明确依据。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系统部署阶段。完成了服务器环境准备、网络连通性测试、ERP系统安装配置、数据库初始化、历史数据导入、前端设备调试和系统功能测试。系统部署报告显示，所有功能模块运行正常，满足业务需求。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系统培训阶段。编写了操作手册和培训材料，组织操作人员培训和管理员培训，参训人员覆盖率达到100%。培训效果评估显示，参训人员能够独立完成日常业务操作，培训效果良好。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试运行阶段。系统正式上线运行，经过4周试运行监控，系统运行稳定，用户反馈问题及时处理，试运行报告显示系统具备正式运维条件。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正式运维阶段。自系统验收后进入正式运维阶段，按计划开展日常运维、巡检监控、故障处理、服务报告等工作，系统运行平稳。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2683"/>
      <w:r>
        <w:rPr>
          <w:rFonts w:hint="default"/>
          <w:lang w:val="en-US" w:eastAsia="zh-CN"/>
        </w:rPr>
        <w:t>运维服务执行情况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1971"/>
      <w:r>
        <w:rPr>
          <w:rFonts w:hint="default"/>
          <w:lang w:val="en-US" w:eastAsia="zh-CN"/>
        </w:rPr>
        <w:t>日常运维执行情况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8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系统运行状态检查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服务器状态监控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网络连通性测试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数据备份执行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前端设备巡检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系统日志分析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服务台事件处理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9716"/>
      <w:r>
        <w:rPr>
          <w:rFonts w:hint="default"/>
          <w:lang w:val="en-US" w:eastAsia="zh-CN"/>
        </w:rPr>
        <w:t>月度运维工作执行情况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1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系统补丁更新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数据库健康检查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月度可用性统计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月度运维服务报告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全部提交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266"/>
      <w:r>
        <w:rPr>
          <w:rFonts w:hint="default"/>
          <w:lang w:val="en-US" w:eastAsia="zh-CN"/>
        </w:rPr>
        <w:t>季度运维工作执行情况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8" w:name="_Toc552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bookmarkEnd w:id="1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1713"/>
        <w:gridCol w:w="1713"/>
        <w:gridCol w:w="1437"/>
        <w:gridCol w:w="14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系统性能评估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容量分析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服务改进计划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硬件设备巡检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799"/>
      <w:r>
        <w:rPr>
          <w:rFonts w:hint="default"/>
          <w:lang w:val="en-US" w:eastAsia="zh-CN"/>
        </w:rPr>
        <w:t>服务台运行情况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0" w:name="_Toc1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bookmarkEnd w:id="2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94"/>
        <w:gridCol w:w="337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统计项</w:t>
            </w:r>
          </w:p>
        </w:tc>
        <w:tc>
          <w:tcPr>
            <w:tcW w:w="21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数量</w:t>
            </w:r>
          </w:p>
        </w:tc>
        <w:tc>
          <w:tcPr>
            <w:tcW w:w="33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受理事件总数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32件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全部为一般事件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全部按时解决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平均解决时间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35分钟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全部完成回访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92分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高于目标值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15982"/>
      <w:r>
        <w:rPr>
          <w:rFonts w:hint="default"/>
          <w:lang w:val="en-US" w:eastAsia="zh-CN"/>
        </w:rPr>
        <w:t>质量目标达成情况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2656"/>
      <w:r>
        <w:rPr>
          <w:rFonts w:hint="default"/>
          <w:lang w:val="en-US" w:eastAsia="zh-CN"/>
        </w:rPr>
        <w:t>可用性目标达成情况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447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bookmarkEnd w:id="2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62"/>
        <w:gridCol w:w="1762"/>
        <w:gridCol w:w="1516"/>
        <w:gridCol w:w="22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服务类型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实际可用性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ERP系统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前端设备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中断事件统计：本报告期内，计划内中断共计3次，总时长60分钟，均在客户确认的维护窗口内完成；计划外中断0次，全年无计划外服务中断。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998"/>
      <w:r>
        <w:rPr>
          <w:rFonts w:hint="default"/>
          <w:lang w:val="en-US" w:eastAsia="zh-CN"/>
        </w:rPr>
        <w:t>服务质量目标达成情况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76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1927"/>
        <w:gridCol w:w="1899"/>
        <w:gridCol w:w="190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7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9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8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实际达成</w:t>
            </w:r>
          </w:p>
        </w:tc>
        <w:tc>
          <w:tcPr>
            <w:tcW w:w="19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故障响应时间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≤2小时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培训覆盖率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6.2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重大服务中断事件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14691"/>
      <w:r>
        <w:rPr>
          <w:rFonts w:hint="default"/>
          <w:lang w:val="en-US" w:eastAsia="zh-CN"/>
        </w:rPr>
        <w:t>服务报告提交情况</w:t>
      </w:r>
      <w:bookmarkEnd w:id="2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本报告期内，按时提交各类服务报告共计2</w:t>
      </w:r>
      <w:r>
        <w:rPr>
          <w:rFonts w:hint="eastAsia"/>
          <w:lang w:val="en-US" w:eastAsia="zh-CN"/>
        </w:rPr>
        <w:t>3</w:t>
      </w:r>
      <w:bookmarkStart w:id="27" w:name="_GoBack"/>
      <w:bookmarkEnd w:id="27"/>
      <w:r>
        <w:rPr>
          <w:rFonts w:hint="default"/>
          <w:lang w:val="en-US" w:eastAsia="zh-CN"/>
        </w:rPr>
        <w:t>份，包括：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月度运维服务报告：12份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季度运维服务报告：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年度</w:t>
      </w:r>
      <w:r>
        <w:rPr>
          <w:rFonts w:hint="default"/>
          <w:lang w:val="en-US" w:eastAsia="zh-CN"/>
        </w:rPr>
        <w:t>满意度调查报告：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季度性能评估报告：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年度可用性报告：1份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年度服务总结报告：1份（本报告）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所有报告均在规定时间内提交，报告内容完整、数据准确，获得甲方认可。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7500"/>
      <w:r>
        <w:rPr>
          <w:rFonts w:hint="default"/>
          <w:lang w:val="en-US" w:eastAsia="zh-CN"/>
        </w:rPr>
        <w:t>存在问题与改进措施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130"/>
      <w:r>
        <w:rPr>
          <w:rFonts w:hint="default"/>
          <w:lang w:val="en-US" w:eastAsia="zh-CN"/>
        </w:rPr>
        <w:t>存在的主要问题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问题一：前端设备老化问题。部分门店的前端设备（收银机、扫码枪）使用年限较长，故障率有所上升。本年度共发生前端设备故障2次，虽然通过备件及时更换解决了问题，但设备老化趋势值得关注。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问题二：用户操作熟练度差异。部分操作人员对系统的熟练程度存在差异，个别用户偶尔出现操作失误，影响业务处理效率。虽然已提供操作手册和现场指导，但仍有提升空间。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问题三：网络稳定性偶有波动。本年度发生网络波动2次，均通过重启设备解决，未造成服务中断，但网络稳定性需持续关注。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6208"/>
      <w:r>
        <w:rPr>
          <w:rFonts w:hint="default"/>
          <w:lang w:val="en-US" w:eastAsia="zh-CN"/>
        </w:rPr>
        <w:t>改进措施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1331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3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78"/>
        <w:gridCol w:w="3780"/>
        <w:gridCol w:w="1220"/>
        <w:gridCol w:w="146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前端设备老化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评估设备更新需求，建议甲方制定设备更换计划；增加备件储备，缩短故障响应时间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用户操作熟练度差异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组织进阶操作培训，针对常见问题开展专项辅导；优化操作手册，增加常见问题解答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网络稳定性波动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加强网络监控，建立网络性能基线；建议配置备用网络线路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2" w:name="_Toc30132"/>
      <w:r>
        <w:rPr>
          <w:rFonts w:hint="default"/>
          <w:lang w:val="en-US" w:eastAsia="zh-CN"/>
        </w:rPr>
        <w:t>下阶段工作计划</w:t>
      </w:r>
      <w:bookmarkEnd w:id="32"/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5005"/>
      <w:r>
        <w:rPr>
          <w:rFonts w:hint="default"/>
          <w:lang w:val="en-US" w:eastAsia="zh-CN"/>
        </w:rPr>
        <w:t>下阶段工作重点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持续运维保障：继续执行日常运维、巡检监控、故障处理等工作，确保系统稳定运行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设备更新支持：配合甲方评估设备更新需求，提供技术支持和方案建议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用户能力提升：组织进阶培训，提升用户操作熟练度和问题处理能力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网络优化：加强网络监控，优化网络配置，提升网络稳定性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服务改进：根据满意度调查结果，持续优化服务质量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5766"/>
      <w:r>
        <w:rPr>
          <w:rFonts w:hint="default"/>
          <w:lang w:val="en-US" w:eastAsia="zh-CN"/>
        </w:rPr>
        <w:t>下阶段工作安排</w:t>
      </w:r>
      <w:bookmarkEnd w:id="3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7"/>
      <w:r>
        <w:rPr>
          <w:rFonts w:hint="eastAsia"/>
          <w:lang w:val="en-US" w:eastAsia="zh-CN"/>
        </w:rPr>
        <w:t xml:space="preserve"> 2026年度运维计划表</w:t>
      </w:r>
      <w:bookmarkEnd w:id="3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1854"/>
        <w:gridCol w:w="1710"/>
        <w:gridCol w:w="286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工作内容</w:t>
            </w:r>
          </w:p>
        </w:tc>
        <w:tc>
          <w:tcPr>
            <w:tcW w:w="18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预期成果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日常运维保障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系统可用性≥99.5%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设备更新评估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《设备更新建议报告》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进阶操作培训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培训完成，熟练度提升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网络优化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季度满意度调查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项目经理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《满意度调查报告》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6" w:name="_Toc558"/>
      <w:r>
        <w:rPr>
          <w:rFonts w:hint="default"/>
          <w:lang w:val="en-US" w:eastAsia="zh-CN"/>
        </w:rPr>
        <w:t>总结</w:t>
      </w:r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自合同生效以来至2025年12月31日，《企业门店ERP统一管理系统》项目按照计划有序推进，已完成项目启动、需求确认、系统部署、系统培训、试运行五个阶段工作，系统正式投入运行并进入运维阶段。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实施成果：所有里程碑节点按期完成，系统功能完整实现合同约定需求，培训覆盖率达到100%，参训人员能够独立完成业务操作，系统运行稳定。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运维成果：全年可用性达到100%，优于合同约定的99.5%目标；计划外中断0次，重大服务中断事件0次；客户满意度92分，高于90分目标；所有服务报告按时提交，数据准确完整。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存在问题：前端设备老化、用户操作熟练度差异、网络稳定性偶有波动等问题已识别并制定改进措施。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下阶段工作：将持续做好运维保障工作，推进设备更新评估、进阶培训、网络优化等改进措施，不断提升服务质量，确保系统持续稳定运行，满足甲方业务需求。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2B24BE3"/>
    <w:multiLevelType w:val="singleLevel"/>
    <w:tmpl w:val="32B24B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3368</Words>
  <Characters>3766</Characters>
  <Application>Microsoft Office Word</Application>
  <DocSecurity>0</DocSecurity>
  <Lines>0</Lines>
  <Paragraphs>0</Paragraphs>
  <ScaleCrop>false</ScaleCrop>
  <Company/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