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2025年国电电力湖南新能源系统运维项目</w:t>
      </w:r>
      <w:r>
        <w:rPr>
          <w:rFonts w:hint="eastAsia"/>
          <w:lang w:val="en-US" w:eastAsia="zh-CN"/>
        </w:rPr>
        <w:br/>
      </w:r>
      <w:r>
        <w:rPr>
          <w:rFonts w:hint="eastAsia"/>
          <w:lang w:val="en-US" w:eastAsia="zh-CN"/>
        </w:rPr>
        <w:t>服务可用性和连续性管理计划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HFSJ-ITSS-0612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_Toc23969 </w:instrText>
          </w:r>
          <w:r>
            <w:fldChar w:fldCharType="separate"/>
          </w:r>
          <w:r>
            <w:rPr>
              <w:rFonts w:hint="default"/>
              <w:lang w:val="en-US" w:eastAsia="zh-CN"/>
            </w:rPr>
            <w:t>1. 目的</w:t>
          </w:r>
          <w:r>
            <w:tab/>
          </w:r>
          <w:r>
            <w:fldChar w:fldCharType="begin"/>
          </w:r>
          <w:r>
            <w:instrText xml:space="preserve"> PAGEREF _Toc23969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_Toc4005 </w:instrText>
          </w:r>
          <w:r>
            <w:fldChar w:fldCharType="separate"/>
          </w:r>
          <w:r>
            <w:rPr>
              <w:rFonts w:hint="default"/>
              <w:lang w:val="en-US" w:eastAsia="zh-CN"/>
            </w:rPr>
            <w:t>2. 适用范围</w:t>
          </w:r>
          <w:r>
            <w:tab/>
          </w:r>
          <w:r>
            <w:fldChar w:fldCharType="begin"/>
          </w:r>
          <w:r>
            <w:instrText xml:space="preserve"> PAGEREF _Toc4005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_Toc23714 </w:instrText>
          </w:r>
          <w:r>
            <w:fldChar w:fldCharType="separate"/>
          </w:r>
          <w:r>
            <w:rPr>
              <w:rFonts w:hint="default"/>
              <w:lang w:val="en-US" w:eastAsia="zh-CN"/>
            </w:rPr>
            <w:t>3. 可用性目标</w:t>
          </w:r>
          <w:r>
            <w:tab/>
          </w:r>
          <w:r>
            <w:fldChar w:fldCharType="begin"/>
          </w:r>
          <w:r>
            <w:instrText xml:space="preserve"> PAGEREF _Toc23714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_Toc7745 </w:instrText>
          </w:r>
          <w:r>
            <w:fldChar w:fldCharType="separate"/>
          </w:r>
          <w:r>
            <w:rPr>
              <w:rFonts w:hint="default"/>
              <w:lang w:val="en-US" w:eastAsia="zh-CN"/>
            </w:rPr>
            <w:t>4. 关键服务识别与恢复目标</w:t>
          </w:r>
          <w:r>
            <w:tab/>
          </w:r>
          <w:r>
            <w:fldChar w:fldCharType="begin"/>
          </w:r>
          <w:r>
            <w:instrText xml:space="preserve"> PAGEREF _Toc7745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_Toc10897 </w:instrText>
          </w:r>
          <w:r>
            <w:fldChar w:fldCharType="separate"/>
          </w:r>
          <w:r>
            <w:rPr>
              <w:rFonts w:hint="default"/>
              <w:lang w:val="en-US" w:eastAsia="zh-CN"/>
            </w:rPr>
            <w:t>5. 风险评估</w:t>
          </w:r>
          <w:r>
            <w:tab/>
          </w:r>
          <w:r>
            <w:fldChar w:fldCharType="begin"/>
          </w:r>
          <w:r>
            <w:instrText xml:space="preserve"> PAGEREF _Toc10897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_Toc29000 </w:instrText>
          </w:r>
          <w:r>
            <w:fldChar w:fldCharType="separate"/>
          </w:r>
          <w:r>
            <w:rPr>
              <w:rFonts w:hint="default"/>
              <w:lang w:val="en-US" w:eastAsia="zh-CN"/>
            </w:rPr>
            <w:t>5.1. 风险识别</w:t>
          </w:r>
          <w:r>
            <w:tab/>
          </w:r>
          <w:r>
            <w:fldChar w:fldCharType="begin"/>
          </w:r>
          <w:r>
            <w:instrText xml:space="preserve"> PAGEREF _Toc29000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_Toc31905 </w:instrText>
          </w:r>
          <w:r>
            <w:fldChar w:fldCharType="separate"/>
          </w:r>
          <w:r>
            <w:rPr>
              <w:rFonts w:hint="default"/>
              <w:lang w:val="en-US" w:eastAsia="zh-CN"/>
            </w:rPr>
            <w:t>5.2. 风险应对措施</w:t>
          </w:r>
          <w:r>
            <w:tab/>
          </w:r>
          <w:r>
            <w:fldChar w:fldCharType="begin"/>
          </w:r>
          <w:r>
            <w:instrText xml:space="preserve"> PAGEREF _Toc31905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_Toc5322 </w:instrText>
          </w:r>
          <w:r>
            <w:fldChar w:fldCharType="separate"/>
          </w:r>
          <w:r>
            <w:rPr>
              <w:rFonts w:hint="default"/>
              <w:lang w:val="en-US" w:eastAsia="zh-CN"/>
            </w:rPr>
            <w:t>6. 可用性监控与预警</w:t>
          </w:r>
          <w:r>
            <w:tab/>
          </w:r>
          <w:r>
            <w:fldChar w:fldCharType="begin"/>
          </w:r>
          <w:r>
            <w:instrText xml:space="preserve"> PAGEREF _Toc5322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_Toc21408 </w:instrText>
          </w:r>
          <w:r>
            <w:fldChar w:fldCharType="separate"/>
          </w:r>
          <w:r>
            <w:rPr>
              <w:rFonts w:hint="default"/>
              <w:lang w:val="en-US" w:eastAsia="zh-CN"/>
            </w:rPr>
            <w:t>6.1. 监控指标</w:t>
          </w:r>
          <w:r>
            <w:tab/>
          </w:r>
          <w:r>
            <w:fldChar w:fldCharType="begin"/>
          </w:r>
          <w:r>
            <w:instrText xml:space="preserve"> PAGEREF _Toc21408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_Toc8024 </w:instrText>
          </w:r>
          <w:r>
            <w:fldChar w:fldCharType="separate"/>
          </w:r>
          <w:r>
            <w:rPr>
              <w:rFonts w:hint="default"/>
              <w:lang w:val="en-US" w:eastAsia="zh-CN"/>
            </w:rPr>
            <w:t>6.2. 告警分级</w:t>
          </w:r>
          <w:r>
            <w:tab/>
          </w:r>
          <w:r>
            <w:fldChar w:fldCharType="begin"/>
          </w:r>
          <w:r>
            <w:instrText xml:space="preserve"> PAGEREF _Toc8024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_Toc2289 </w:instrText>
          </w:r>
          <w:r>
            <w:fldChar w:fldCharType="separate"/>
          </w:r>
          <w:r>
            <w:rPr>
              <w:rFonts w:hint="default"/>
              <w:lang w:val="en-US" w:eastAsia="zh-CN"/>
            </w:rPr>
            <w:t>7. 连续性保障措施</w:t>
          </w:r>
          <w:r>
            <w:tab/>
          </w:r>
          <w:r>
            <w:fldChar w:fldCharType="begin"/>
          </w:r>
          <w:r>
            <w:instrText xml:space="preserve"> PAGEREF _Toc2289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_Toc30103 </w:instrText>
          </w:r>
          <w:r>
            <w:fldChar w:fldCharType="separate"/>
          </w:r>
          <w:r>
            <w:rPr>
              <w:rFonts w:hint="default"/>
              <w:lang w:val="en-US" w:eastAsia="zh-CN"/>
            </w:rPr>
            <w:t>7.1. 数据备份策略</w:t>
          </w:r>
          <w:r>
            <w:tab/>
          </w:r>
          <w:r>
            <w:fldChar w:fldCharType="begin"/>
          </w:r>
          <w:r>
            <w:instrText xml:space="preserve"> PAGEREF _Toc30103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_Toc17477 </w:instrText>
          </w:r>
          <w:r>
            <w:fldChar w:fldCharType="separate"/>
          </w:r>
          <w:r>
            <w:rPr>
              <w:rFonts w:hint="default"/>
              <w:lang w:val="en-US" w:eastAsia="zh-CN"/>
            </w:rPr>
            <w:t>7.2. 冗余配置</w:t>
          </w:r>
          <w:r>
            <w:tab/>
          </w:r>
          <w:r>
            <w:fldChar w:fldCharType="begin"/>
          </w:r>
          <w:r>
            <w:instrText xml:space="preserve"> PAGEREF _Toc17477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_Toc10120 </w:instrText>
          </w:r>
          <w:r>
            <w:fldChar w:fldCharType="separate"/>
          </w:r>
          <w:r>
            <w:rPr>
              <w:rFonts w:hint="default"/>
              <w:lang w:val="en-US" w:eastAsia="zh-CN"/>
            </w:rPr>
            <w:t>8. 可用性分析与改进</w:t>
          </w:r>
          <w:r>
            <w:tab/>
          </w:r>
          <w:r>
            <w:fldChar w:fldCharType="begin"/>
          </w:r>
          <w:r>
            <w:instrText xml:space="preserve"> PAGEREF _Toc10120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_Toc10315 </w:instrText>
          </w:r>
          <w:r>
            <w:fldChar w:fldCharType="separate"/>
          </w:r>
          <w:r>
            <w:rPr>
              <w:rFonts w:hint="default"/>
              <w:lang w:val="en-US" w:eastAsia="zh-CN"/>
            </w:rPr>
            <w:t>8.1. 分析周期</w:t>
          </w:r>
          <w:r>
            <w:tab/>
          </w:r>
          <w:r>
            <w:fldChar w:fldCharType="begin"/>
          </w:r>
          <w:r>
            <w:instrText xml:space="preserve"> PAGEREF _Toc10315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_Toc7432 </w:instrText>
          </w:r>
          <w:r>
            <w:fldChar w:fldCharType="separate"/>
          </w:r>
          <w:r>
            <w:rPr>
              <w:rFonts w:hint="default"/>
              <w:lang w:val="en-US" w:eastAsia="zh-CN"/>
            </w:rPr>
            <w:t>8.2. 改进机制</w:t>
          </w:r>
          <w:r>
            <w:tab/>
          </w:r>
          <w:r>
            <w:fldChar w:fldCharType="begin"/>
          </w:r>
          <w:r>
            <w:instrText xml:space="preserve"> PAGEREF _Toc7432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_Toc13744 </w:instrText>
          </w:r>
          <w:r>
            <w:fldChar w:fldCharType="separate"/>
          </w:r>
          <w:r>
            <w:rPr>
              <w:rFonts w:hint="default"/>
              <w:lang w:val="en-US" w:eastAsia="zh-CN"/>
            </w:rPr>
            <w:t>9. 应急响应</w:t>
          </w:r>
          <w:r>
            <w:tab/>
          </w:r>
          <w:r>
            <w:fldChar w:fldCharType="begin"/>
          </w:r>
          <w:r>
            <w:instrText xml:space="preserve"> PAGEREF _Toc13744 \h </w:instrText>
          </w:r>
          <w:r>
            <w:fldChar w:fldCharType="separate"/>
          </w:r>
          <w:r>
            <w:t>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_Toc9129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服务可用性和管理型管理活动表</w:t>
      </w:r>
      <w:r>
        <w:tab/>
      </w:r>
      <w:r>
        <w:fldChar w:fldCharType="begin"/>
      </w:r>
      <w:r>
        <w:instrText xml:space="preserve"> PAGEREF _Toc9129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_Toc16968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服务可用性目标表</w:t>
      </w:r>
      <w:r>
        <w:tab/>
      </w:r>
      <w:r>
        <w:fldChar w:fldCharType="begin"/>
      </w:r>
      <w:r>
        <w:instrText xml:space="preserve"> PAGEREF _Toc16968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_Toc30342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关键服务恢复目标表</w:t>
      </w:r>
      <w:r>
        <w:tab/>
      </w:r>
      <w:r>
        <w:fldChar w:fldCharType="begin"/>
      </w:r>
      <w:r>
        <w:instrText xml:space="preserve"> PAGEREF _Toc30342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_Toc28388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风险识别表</w:t>
      </w:r>
      <w:r>
        <w:tab/>
      </w:r>
      <w:r>
        <w:fldChar w:fldCharType="begin"/>
      </w:r>
      <w:r>
        <w:instrText xml:space="preserve"> PAGEREF _Toc28388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_Toc15970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风险应对措施表</w:t>
      </w:r>
      <w:r>
        <w:tab/>
      </w:r>
      <w:r>
        <w:fldChar w:fldCharType="begin"/>
      </w:r>
      <w:r>
        <w:instrText xml:space="preserve"> PAGEREF _Toc15970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_Toc9243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监控指标表</w:t>
      </w:r>
      <w:r>
        <w:tab/>
      </w:r>
      <w:r>
        <w:fldChar w:fldCharType="begin"/>
      </w:r>
      <w:r>
        <w:instrText xml:space="preserve"> PAGEREF _Toc9243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_Toc11437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告警分级表</w:t>
      </w:r>
      <w:r>
        <w:tab/>
      </w:r>
      <w:r>
        <w:fldChar w:fldCharType="begin"/>
      </w:r>
      <w:r>
        <w:instrText xml:space="preserve"> PAGEREF _Toc11437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_Toc25599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数据备份策略表</w:t>
      </w:r>
      <w:r>
        <w:tab/>
      </w:r>
      <w:r>
        <w:fldChar w:fldCharType="begin"/>
      </w:r>
      <w:r>
        <w:instrText xml:space="preserve"> PAGEREF _Toc25599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_Toc16934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eastAsia"/>
          <w:lang w:val="en-US" w:eastAsia="zh-CN"/>
        </w:rPr>
        <w:t xml:space="preserve"> 冗余配置表</w:t>
      </w:r>
      <w:r>
        <w:tab/>
      </w:r>
      <w:r>
        <w:fldChar w:fldCharType="begin"/>
      </w:r>
      <w:r>
        <w:instrText xml:space="preserve"> PAGEREF _Toc16934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_Toc5236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分析周期表</w:t>
      </w:r>
      <w:r>
        <w:tab/>
      </w:r>
      <w:r>
        <w:fldChar w:fldCharType="begin"/>
      </w:r>
      <w:r>
        <w:instrText xml:space="preserve"> PAGEREF _Toc5236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r>
        <w:rPr>
          <w:rFonts w:hint="default"/>
          <w:lang w:val="en-US" w:eastAsia="zh-CN"/>
        </w:rPr>
        <w:br w:type="page"/>
      </w:r>
    </w:p>
    <w:p>
      <w:pPr>
        <w:pStyle w:val="1"/>
        <w:bidi w:val="0"/>
        <w:rPr>
          <w:rFonts w:hint="default"/>
          <w:lang w:val="en-US" w:eastAsia="zh-CN"/>
        </w:rPr>
      </w:pPr>
      <w:bookmarkStart w:id="1" w:name="_Toc23969"/>
      <w:r>
        <w:rPr>
          <w:rFonts w:hint="default"/>
          <w:lang w:val="en-US" w:eastAsia="zh-CN"/>
        </w:rPr>
        <w:t>目的</w:t>
      </w:r>
      <w:bookmarkEnd w:id="1"/>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为保障《2025年国电电力湖南新能源系统运维项目》项目在服务期内稳定运行，确保服务可用性满足服务级别协议（SLA）要求，在发生服务中断时能够按计划恢复服务，特制定本计划。</w:t>
      </w:r>
    </w:p>
    <w:p>
      <w:pPr>
        <w:pStyle w:val="1"/>
        <w:bidi w:val="0"/>
        <w:rPr>
          <w:rFonts w:hint="default"/>
          <w:lang w:val="en-US" w:eastAsia="zh-CN"/>
        </w:rPr>
      </w:pPr>
      <w:bookmarkStart w:id="2" w:name="_Toc4005"/>
      <w:r>
        <w:rPr>
          <w:rFonts w:hint="default"/>
          <w:lang w:val="en-US" w:eastAsia="zh-CN"/>
        </w:rPr>
        <w:t>适用范围</w:t>
      </w:r>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本计划适用于本项目运维服务全过程中与可用性和连续性相关的管理活动，</w:t>
      </w:r>
      <w:r>
        <w:rPr>
          <w:rFonts w:hint="eastAsia"/>
          <w:lang w:val="en-US" w:eastAsia="zh-CN"/>
        </w:rPr>
        <w:t>主要管理活动如表2-1所示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 w:name="_Toc9129"/>
      <w:r>
        <w:rPr>
          <w:rFonts w:hint="eastAsia"/>
          <w:lang w:val="en-US" w:eastAsia="zh-CN"/>
        </w:rPr>
        <w:t xml:space="preserve"> 服务可用性和连续性管理范围表</w:t>
      </w:r>
      <w:bookmarkEnd w:id="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370"/>
        <w:gridCol w:w="612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组件类型</w:t>
            </w:r>
          </w:p>
        </w:tc>
        <w:tc>
          <w:tcPr>
            <w:tcW w:w="612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具体内容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软件系统</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2025年国电电力湖南新能源系统运维项目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新能源系统运行服务器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路由器、交换机等网络设备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612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服务器、工作站、监控设备</w:t>
            </w:r>
          </w:p>
        </w:tc>
      </w:tr>
      <w:tr>
        <w:tblPrEx>
          <w:tblW w:w="8495" w:type="dxa"/>
          <w:jc w:val="center"/>
          <w:shd w:val="clear" w:color="auto" w:fill="auto"/>
          <w:tblCellMar>
            <w:top w:w="15" w:type="dxa"/>
            <w:left w:w="15" w:type="dxa"/>
            <w:bottom w:w="15" w:type="dxa"/>
            <w:right w:w="15" w:type="dxa"/>
          </w:tblCellMar>
        </w:tblPrEx>
        <w:trPr>
          <w:trHeight w:val="0"/>
          <w:jc w:val="center"/>
        </w:trPr>
        <w:tc>
          <w:tcPr>
            <w:tcW w:w="237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终端设备</w:t>
            </w:r>
          </w:p>
        </w:tc>
        <w:tc>
          <w:tcPr>
            <w:tcW w:w="612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终端电脑</w:t>
            </w:r>
          </w:p>
        </w:tc>
      </w:tr>
    </w:tbl>
    <w:p>
      <w:pPr>
        <w:pStyle w:val="1"/>
        <w:bidi w:val="0"/>
        <w:rPr>
          <w:rFonts w:hint="default"/>
          <w:lang w:val="en-US" w:eastAsia="zh-CN"/>
        </w:rPr>
      </w:pPr>
      <w:bookmarkStart w:id="4" w:name="_Toc23714"/>
      <w:r>
        <w:rPr>
          <w:rFonts w:hint="default"/>
          <w:lang w:val="en-US" w:eastAsia="zh-CN"/>
        </w:rPr>
        <w:t>可用性目标</w:t>
      </w:r>
      <w:bookmarkEnd w:id="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根据合同约定，本项目可用性目标</w:t>
      </w:r>
      <w:r>
        <w:rPr>
          <w:rFonts w:hint="eastAsia"/>
          <w:lang w:val="en-US" w:eastAsia="zh-CN"/>
        </w:rPr>
        <w:t>如表3-1所示</w:t>
      </w:r>
      <w:r>
        <w:rPr>
          <w:rFonts w:hint="default"/>
          <w:lang w:val="en-US" w:eastAsia="zh-CN"/>
        </w:rPr>
        <w:t>：</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968"/>
      <w:r>
        <w:rPr>
          <w:rFonts w:hint="eastAsia"/>
          <w:lang w:val="en-US" w:eastAsia="zh-CN"/>
        </w:rPr>
        <w:t xml:space="preserve"> 服务可用性目标表</w:t>
      </w:r>
      <w:bookmarkEnd w:id="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45"/>
        <w:gridCol w:w="1754"/>
        <w:gridCol w:w="1582"/>
        <w:gridCol w:w="391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可用性目标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服务时间</w:t>
            </w:r>
          </w:p>
        </w:tc>
        <w:tc>
          <w:tcPr>
            <w:tcW w:w="391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全年计划停机时间不超过43.8小时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含硬件故障恢复时间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≥99.0%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含网络中断恢复时间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4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175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≥98.0%</w:t>
            </w:r>
          </w:p>
        </w:tc>
        <w:tc>
          <w:tcPr>
            <w:tcW w:w="158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7×24小时</w:t>
            </w:r>
          </w:p>
        </w:tc>
        <w:tc>
          <w:tcPr>
            <w:tcW w:w="391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含设备故障维修时间</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可用性计算公式：</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 = （约定服务时间 - 不可用时间）/ 约定服务时间 × 100%</w:t>
      </w:r>
    </w:p>
    <w:p>
      <w:pPr>
        <w:pStyle w:val="1"/>
        <w:bidi w:val="0"/>
        <w:rPr>
          <w:rFonts w:hint="default"/>
          <w:lang w:val="en-US" w:eastAsia="zh-CN"/>
        </w:rPr>
      </w:pPr>
      <w:bookmarkStart w:id="6" w:name="_Toc7745"/>
      <w:r>
        <w:rPr>
          <w:rFonts w:hint="default"/>
          <w:lang w:val="en-US" w:eastAsia="zh-CN"/>
        </w:rPr>
        <w:t>关键服务识别与恢复目标</w:t>
      </w:r>
      <w:bookmarkEnd w:id="6"/>
    </w:p>
    <w:p>
      <w:pPr>
        <w:pStyle w:val="a2"/>
        <w:rPr>
          <w:rFonts w:hint="eastAsia"/>
          <w:lang w:val="en-US" w:eastAsia="zh-CN"/>
        </w:rPr>
      </w:pPr>
      <w:r>
        <w:rPr>
          <w:rFonts w:hint="eastAsia"/>
          <w:lang w:val="en-US" w:eastAsia="zh-CN"/>
        </w:rPr>
        <w:t>关键服务恢复目标如表4-1所示。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30342"/>
      <w:r>
        <w:rPr>
          <w:rFonts w:hint="eastAsia"/>
          <w:lang w:val="en-US" w:eastAsia="zh-CN"/>
        </w:rPr>
        <w:t xml:space="preserve"> 关键服务恢复目标表</w:t>
      </w:r>
      <w:bookmarkEnd w:id="7"/>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47"/>
        <w:gridCol w:w="1156"/>
        <w:gridCol w:w="3420"/>
        <w:gridCol w:w="1132"/>
        <w:gridCol w:w="114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服务名称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关键等级</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影响分析</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RTO目标</w:t>
            </w:r>
          </w:p>
        </w:tc>
        <w:tc>
          <w:tcPr>
            <w:tcW w:w="114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RPO目标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新能源系统核心服务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业务完全中断，无法进行数据监控管理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1小时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数据无法访问，影响所有业务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服务器运行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系统无法运行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网络连通性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场站无法连接数据中心</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数据采集服务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无法采集数据，影响监控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监控显示服务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一般</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小票无法打印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w:t>
            </w:r>
          </w:p>
        </w:tc>
        <w:tc>
          <w:tcPr>
            <w:tcW w:w="114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4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数据接口服务</w:t>
            </w:r>
          </w:p>
        </w:tc>
        <w:tc>
          <w:tcPr>
            <w:tcW w:w="115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一般</w:t>
            </w:r>
          </w:p>
        </w:tc>
        <w:tc>
          <w:tcPr>
            <w:tcW w:w="34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扫码效率降低</w:t>
            </w:r>
          </w:p>
        </w:tc>
        <w:tc>
          <w:tcPr>
            <w:tcW w:w="113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8小时</w:t>
            </w:r>
          </w:p>
        </w:tc>
        <w:tc>
          <w:tcPr>
            <w:tcW w:w="114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不适用</w:t>
            </w:r>
          </w:p>
        </w:tc>
      </w:tr>
    </w:tbl>
    <w:p>
      <w:pPr>
        <w:keepNext w:val="0"/>
        <w:keepLines w:val="0"/>
        <w:widowControl/>
        <w:suppressLineNumbers w:val="0"/>
        <w:jc w:val="left"/>
      </w:pPr>
    </w:p>
    <w:p>
      <w:pPr>
        <w:pStyle w:val="1"/>
        <w:bidi w:val="0"/>
        <w:rPr>
          <w:rFonts w:hint="default"/>
          <w:lang w:val="en-US" w:eastAsia="zh-CN"/>
        </w:rPr>
      </w:pPr>
      <w:bookmarkStart w:id="8" w:name="_Toc10897"/>
      <w:r>
        <w:rPr>
          <w:rFonts w:hint="default"/>
          <w:lang w:val="en-US" w:eastAsia="zh-CN"/>
        </w:rPr>
        <w:t>风险评估</w:t>
      </w:r>
      <w:bookmarkEnd w:id="8"/>
    </w:p>
    <w:p>
      <w:pPr>
        <w:pStyle w:val="2"/>
        <w:bidi w:val="0"/>
        <w:rPr>
          <w:rFonts w:hint="default"/>
          <w:lang w:val="en-US" w:eastAsia="zh-CN"/>
        </w:rPr>
      </w:pPr>
      <w:bookmarkStart w:id="9" w:name="_Toc29000"/>
      <w:r>
        <w:rPr>
          <w:rFonts w:hint="default"/>
          <w:lang w:val="en-US" w:eastAsia="zh-CN"/>
        </w:rPr>
        <w:t>风险识别</w:t>
      </w:r>
      <w:bookmarkEnd w:id="9"/>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0" w:name="_Toc28388"/>
      <w:r>
        <w:rPr>
          <w:rFonts w:hint="eastAsia"/>
          <w:lang w:val="en-US" w:eastAsia="zh-CN"/>
        </w:rPr>
        <w:t xml:space="preserve"> 风险识别表</w:t>
      </w:r>
      <w:bookmarkEnd w:id="10"/>
    </w:p>
    <w:tbl>
      <w:tblPr>
        <w:tblStyle w:val="TableNormal"/>
        <w:tblW w:w="8493"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20"/>
        <w:gridCol w:w="2379"/>
        <w:gridCol w:w="1598"/>
        <w:gridCol w:w="1598"/>
        <w:gridCol w:w="1598"/>
      </w:tblGrid>
      <w:tr>
        <w:tblPrEx>
          <w:tblW w:w="8493"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风险类别</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风险描述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发生概率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影响程度</w:t>
            </w:r>
          </w:p>
        </w:tc>
        <w:tc>
          <w:tcPr>
            <w:tcW w:w="159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风险等级</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服务器硬件故障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网络中断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数据库损坏</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软件Bug</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环境风险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机房断电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安全风险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病毒攻击</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w:t>
            </w:r>
          </w:p>
        </w:tc>
        <w:tc>
          <w:tcPr>
            <w:tcW w:w="159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中风险</w:t>
            </w:r>
          </w:p>
        </w:tc>
      </w:tr>
      <w:tr>
        <w:tblPrEx>
          <w:tblW w:w="8493" w:type="dxa"/>
          <w:jc w:val="center"/>
          <w:shd w:val="clear" w:color="auto" w:fill="auto"/>
          <w:tblCellMar>
            <w:top w:w="15" w:type="dxa"/>
            <w:left w:w="15" w:type="dxa"/>
            <w:bottom w:w="15" w:type="dxa"/>
            <w:right w:w="15" w:type="dxa"/>
          </w:tblCellMar>
        </w:tblPrEx>
        <w:trPr>
          <w:trHeight w:val="0"/>
          <w:jc w:val="center"/>
        </w:trPr>
        <w:tc>
          <w:tcPr>
            <w:tcW w:w="132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人员风险</w:t>
            </w:r>
          </w:p>
        </w:tc>
        <w:tc>
          <w:tcPr>
            <w:tcW w:w="237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操作失误</w:t>
            </w:r>
          </w:p>
        </w:tc>
        <w:tc>
          <w:tcPr>
            <w:tcW w:w="15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中</w:t>
            </w:r>
          </w:p>
        </w:tc>
        <w:tc>
          <w:tcPr>
            <w:tcW w:w="15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w:t>
            </w:r>
          </w:p>
        </w:tc>
        <w:tc>
          <w:tcPr>
            <w:tcW w:w="159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低风险</w:t>
            </w:r>
          </w:p>
        </w:tc>
      </w:tr>
    </w:tbl>
    <w:p>
      <w:pPr>
        <w:pStyle w:val="2"/>
        <w:bidi w:val="0"/>
        <w:rPr>
          <w:rFonts w:hint="default"/>
          <w:lang w:val="en-US" w:eastAsia="zh-CN"/>
        </w:rPr>
      </w:pPr>
      <w:bookmarkStart w:id="11" w:name="_Toc31905"/>
      <w:r>
        <w:rPr>
          <w:rFonts w:hint="default"/>
          <w:lang w:val="en-US" w:eastAsia="zh-CN"/>
        </w:rPr>
        <w:t>风险应对措施</w:t>
      </w:r>
      <w:bookmarkEnd w:id="11"/>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2" w:name="_Toc15970"/>
      <w:r>
        <w:rPr>
          <w:rFonts w:hint="eastAsia"/>
          <w:lang w:val="en-US" w:eastAsia="zh-CN"/>
        </w:rPr>
        <w:t xml:space="preserve"> 风险应对措施表</w:t>
      </w:r>
      <w:bookmarkEnd w:id="12"/>
    </w:p>
    <w:p>
      <w:pPr>
        <w:pStyle w:val="a2"/>
        <w:rPr>
          <w:rFonts w:hint="default"/>
          <w:lang w:val="en-US" w:eastAsia="zh-CN"/>
        </w:rPr>
      </w:pP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38"/>
        <w:gridCol w:w="4818"/>
        <w:gridCol w:w="18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应对措施</w:t>
            </w:r>
          </w:p>
        </w:tc>
        <w:tc>
          <w:tcPr>
            <w:tcW w:w="18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服务器硬件故障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每日检查服务器运行状态；备有备用服务器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网络中断</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每日检查网络连通性；配置备用网络线路</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数据库损坏</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每日自动备份数据库；每周验证备份可用性</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现场设备故障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每月巡检设备状态；备有备用设备</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w:t>
            </w:r>
          </w:p>
        </w:tc>
      </w:tr>
      <w:tr>
        <w:tblPrEx>
          <w:tblW w:w="8495"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软件Bug</w:t>
            </w:r>
          </w:p>
        </w:tc>
        <w:tc>
          <w:tcPr>
            <w:tcW w:w="481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每日检查系统日志；问题升级至研发部</w:t>
            </w:r>
          </w:p>
        </w:tc>
        <w:tc>
          <w:tcPr>
            <w:tcW w:w="18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软件运维工程师</w:t>
            </w:r>
          </w:p>
        </w:tc>
      </w:tr>
    </w:tbl>
    <w:p>
      <w:pPr>
        <w:pStyle w:val="1"/>
        <w:bidi w:val="0"/>
        <w:rPr>
          <w:rFonts w:hint="default"/>
          <w:lang w:val="en-US" w:eastAsia="zh-CN"/>
        </w:rPr>
      </w:pPr>
      <w:bookmarkStart w:id="13" w:name="_Toc5322"/>
      <w:r>
        <w:rPr>
          <w:rFonts w:hint="default"/>
          <w:lang w:val="en-US" w:eastAsia="zh-CN"/>
        </w:rPr>
        <w:t>可用性监控与预警</w:t>
      </w:r>
      <w:bookmarkEnd w:id="13"/>
    </w:p>
    <w:p>
      <w:pPr>
        <w:pStyle w:val="2"/>
        <w:bidi w:val="0"/>
        <w:rPr>
          <w:rFonts w:hint="default"/>
          <w:lang w:val="en-US" w:eastAsia="zh-CN"/>
        </w:rPr>
      </w:pPr>
      <w:bookmarkStart w:id="14" w:name="_Toc21408"/>
      <w:r>
        <w:rPr>
          <w:rFonts w:hint="default"/>
          <w:lang w:val="en-US" w:eastAsia="zh-CN"/>
        </w:rPr>
        <w:t>监控指标</w:t>
      </w:r>
      <w:bookmarkEnd w:id="14"/>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5" w:name="_Toc9243"/>
      <w:r>
        <w:rPr>
          <w:rFonts w:hint="eastAsia"/>
          <w:lang w:val="en-US" w:eastAsia="zh-CN"/>
        </w:rPr>
        <w:t xml:space="preserve"> 监控指标表</w:t>
      </w:r>
      <w:bookmarkEnd w:id="1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59"/>
        <w:gridCol w:w="1773"/>
        <w:gridCol w:w="2417"/>
        <w:gridCol w:w="1523"/>
        <w:gridCol w:w="152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监控对象</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监控指标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预警阈值</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监控方式</w:t>
            </w:r>
          </w:p>
        </w:tc>
        <w:tc>
          <w:tcPr>
            <w:tcW w:w="15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监控频率</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CPU使用率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内存使用率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磁盘使用率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连通性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不通</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服务状态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不可用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连接数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&gt;80%最大连接数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自动监控</w:t>
            </w:r>
          </w:p>
        </w:tc>
        <w:tc>
          <w:tcPr>
            <w:tcW w:w="15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每5分钟</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5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177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在线状态</w:t>
            </w:r>
          </w:p>
        </w:tc>
        <w:tc>
          <w:tcPr>
            <w:tcW w:w="241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离线</w:t>
            </w:r>
          </w:p>
        </w:tc>
        <w:tc>
          <w:tcPr>
            <w:tcW w:w="152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人工巡检</w:t>
            </w:r>
          </w:p>
        </w:tc>
        <w:tc>
          <w:tcPr>
            <w:tcW w:w="15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每月一次</w:t>
            </w:r>
          </w:p>
        </w:tc>
      </w:tr>
    </w:tbl>
    <w:p>
      <w:pPr>
        <w:pStyle w:val="a2"/>
        <w:jc w:val="center"/>
        <w:rPr>
          <w:rFonts w:hint="default"/>
          <w:lang w:val="en-US" w:eastAsia="zh-CN"/>
        </w:rPr>
      </w:pPr>
    </w:p>
    <w:p>
      <w:pPr>
        <w:pStyle w:val="2"/>
        <w:bidi w:val="0"/>
        <w:rPr>
          <w:rFonts w:hint="default"/>
          <w:lang w:val="en-US" w:eastAsia="zh-CN"/>
        </w:rPr>
      </w:pPr>
      <w:bookmarkStart w:id="16" w:name="_Toc8024"/>
      <w:r>
        <w:rPr>
          <w:rFonts w:hint="default"/>
          <w:lang w:val="en-US" w:eastAsia="zh-CN"/>
        </w:rPr>
        <w:t>告警分级</w:t>
      </w:r>
      <w:bookmarkEnd w:id="16"/>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7" w:name="_Toc11437"/>
      <w:r>
        <w:rPr>
          <w:rFonts w:hint="eastAsia"/>
          <w:lang w:val="en-US" w:eastAsia="zh-CN"/>
        </w:rPr>
        <w:t xml:space="preserve"> 告警分级表</w:t>
      </w:r>
      <w:bookmarkEnd w:id="1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2"/>
        <w:gridCol w:w="2363"/>
        <w:gridCol w:w="2378"/>
        <w:gridCol w:w="279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2"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告警级别</w:t>
            </w:r>
          </w:p>
        </w:tc>
        <w:tc>
          <w:tcPr>
            <w:tcW w:w="2363"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c>
          <w:tcPr>
            <w:tcW w:w="237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响应要求</w:t>
            </w:r>
          </w:p>
        </w:tc>
        <w:tc>
          <w:tcPr>
            <w:tcW w:w="279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通知对象</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一级告警</w:t>
            </w:r>
          </w:p>
        </w:tc>
        <w:tc>
          <w:tcPr>
            <w:tcW w:w="236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服务中断，影响业务</w:t>
            </w:r>
          </w:p>
        </w:tc>
        <w:tc>
          <w:tcPr>
            <w:tcW w:w="237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立即响应，15分钟内处理</w:t>
            </w:r>
          </w:p>
        </w:tc>
        <w:tc>
          <w:tcPr>
            <w:tcW w:w="27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二级告警</w:t>
            </w:r>
          </w:p>
        </w:tc>
        <w:tc>
          <w:tcPr>
            <w:tcW w:w="2363"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性能下降，影响用户体验</w:t>
            </w:r>
          </w:p>
        </w:tc>
        <w:tc>
          <w:tcPr>
            <w:tcW w:w="237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30分钟内响应</w:t>
            </w:r>
          </w:p>
        </w:tc>
        <w:tc>
          <w:tcPr>
            <w:tcW w:w="279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运维项目经理、硬件/软件工程师</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三级告警</w:t>
            </w:r>
          </w:p>
        </w:tc>
        <w:tc>
          <w:tcPr>
            <w:tcW w:w="236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预警信息，需关注</w:t>
            </w:r>
          </w:p>
        </w:tc>
        <w:tc>
          <w:tcPr>
            <w:tcW w:w="237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2小时内响应</w:t>
            </w:r>
          </w:p>
        </w:tc>
        <w:tc>
          <w:tcPr>
            <w:tcW w:w="279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硬件/软件工程师</w:t>
            </w:r>
          </w:p>
        </w:tc>
      </w:tr>
    </w:tbl>
    <w:p>
      <w:pPr>
        <w:pStyle w:val="a2"/>
        <w:jc w:val="center"/>
        <w:rPr>
          <w:rFonts w:hint="eastAsia"/>
          <w:lang w:val="en-US" w:eastAsia="zh-CN"/>
        </w:rPr>
      </w:pPr>
    </w:p>
    <w:p>
      <w:pPr>
        <w:pStyle w:val="a2"/>
        <w:rPr>
          <w:rFonts w:hint="default"/>
          <w:lang w:val="en-US" w:eastAsia="zh-CN"/>
        </w:rPr>
      </w:pPr>
    </w:p>
    <w:p>
      <w:pPr>
        <w:pStyle w:val="1"/>
        <w:bidi w:val="0"/>
        <w:rPr>
          <w:rFonts w:hint="default"/>
          <w:lang w:val="en-US" w:eastAsia="zh-CN"/>
        </w:rPr>
      </w:pPr>
      <w:bookmarkStart w:id="18" w:name="_Toc2289"/>
      <w:r>
        <w:rPr>
          <w:rFonts w:hint="default"/>
          <w:lang w:val="en-US" w:eastAsia="zh-CN"/>
        </w:rPr>
        <w:t>连续性保障措施</w:t>
      </w:r>
      <w:bookmarkEnd w:id="18"/>
    </w:p>
    <w:p>
      <w:pPr>
        <w:pStyle w:val="2"/>
        <w:bidi w:val="0"/>
        <w:rPr>
          <w:rFonts w:hint="default"/>
          <w:lang w:val="en-US" w:eastAsia="zh-CN"/>
        </w:rPr>
      </w:pPr>
      <w:bookmarkStart w:id="19" w:name="_Toc30103"/>
      <w:r>
        <w:rPr>
          <w:rFonts w:hint="default"/>
          <w:lang w:val="en-US" w:eastAsia="zh-CN"/>
        </w:rPr>
        <w:t>数据备份策略</w:t>
      </w:r>
      <w:bookmarkEnd w:id="19"/>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25599"/>
      <w:r>
        <w:rPr>
          <w:rFonts w:hint="eastAsia"/>
          <w:lang w:val="en-US" w:eastAsia="zh-CN"/>
        </w:rPr>
        <w:t xml:space="preserve"> 数据备份策略表</w:t>
      </w:r>
      <w:bookmarkEnd w:id="20"/>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49"/>
        <w:gridCol w:w="1566"/>
        <w:gridCol w:w="1345"/>
        <w:gridCol w:w="1345"/>
        <w:gridCol w:w="1345"/>
        <w:gridCol w:w="134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备份对象</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备份内容</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备份频率</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保留周期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备份方式</w:t>
            </w:r>
          </w:p>
        </w:tc>
        <w:tc>
          <w:tcPr>
            <w:tcW w:w="134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备份位置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新能源系统数据库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全量数据库</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本地+云端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系统配置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配置文件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每次变更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手动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本地+云端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日志文件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系统日志</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90天</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w:t>
            </w:r>
          </w:p>
        </w:tc>
        <w:tc>
          <w:tcPr>
            <w:tcW w:w="134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w:t>
            </w:r>
          </w:p>
        </w:tc>
      </w:tr>
      <w:tr>
        <w:tblPrEx>
          <w:tblW w:w="8495" w:type="dxa"/>
          <w:jc w:val="center"/>
          <w:shd w:val="clear" w:color="auto" w:fill="auto"/>
          <w:tblCellMar>
            <w:top w:w="15" w:type="dxa"/>
            <w:left w:w="15" w:type="dxa"/>
            <w:bottom w:w="15" w:type="dxa"/>
            <w:right w:w="15" w:type="dxa"/>
          </w:tblCellMar>
        </w:tblPrEx>
        <w:trPr>
          <w:trHeight w:val="0"/>
          <w:jc w:val="center"/>
        </w:trPr>
        <w:tc>
          <w:tcPr>
            <w:tcW w:w="154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现场设备配置</w:t>
            </w:r>
          </w:p>
        </w:tc>
        <w:tc>
          <w:tcPr>
            <w:tcW w:w="156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设备配置</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每次变更</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c>
          <w:tcPr>
            <w:tcW w:w="13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手动</w:t>
            </w:r>
          </w:p>
        </w:tc>
        <w:tc>
          <w:tcPr>
            <w:tcW w:w="134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w:t>
            </w:r>
          </w:p>
        </w:tc>
      </w:tr>
    </w:tbl>
    <w:p>
      <w:pPr>
        <w:pStyle w:val="2"/>
        <w:bidi w:val="0"/>
        <w:rPr>
          <w:rFonts w:hint="default"/>
          <w:lang w:val="en-US" w:eastAsia="zh-CN"/>
        </w:rPr>
      </w:pPr>
      <w:bookmarkStart w:id="21" w:name="_Toc17477"/>
      <w:r>
        <w:rPr>
          <w:rFonts w:hint="default"/>
          <w:lang w:val="en-US" w:eastAsia="zh-CN"/>
        </w:rPr>
        <w:t>冗余配置</w:t>
      </w:r>
      <w:bookmarkEnd w:id="21"/>
    </w:p>
    <w:p>
      <w:pPr>
        <w:pStyle w:val="a2"/>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2" w:name="_Toc16934"/>
      <w:r>
        <w:rPr>
          <w:rFonts w:hint="eastAsia"/>
          <w:lang w:val="en-US" w:eastAsia="zh-CN"/>
        </w:rPr>
        <w:t xml:space="preserve"> 冗余配置表</w:t>
      </w:r>
      <w:bookmarkEnd w:id="2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38"/>
        <w:gridCol w:w="2306"/>
        <w:gridCol w:w="4551"/>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组件</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冗余方式</w:t>
            </w:r>
          </w:p>
        </w:tc>
        <w:tc>
          <w:tcPr>
            <w:tcW w:w="4551"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备用服务器</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关键故障时切换使用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备用线路</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主线路中断时启用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现场设备</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备件库</w:t>
            </w:r>
          </w:p>
        </w:tc>
        <w:tc>
          <w:tcPr>
            <w:tcW w:w="4551"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服务器、工作站、监控设备备件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3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w:t>
            </w:r>
          </w:p>
        </w:tc>
        <w:tc>
          <w:tcPr>
            <w:tcW w:w="230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异地备份</w:t>
            </w:r>
          </w:p>
        </w:tc>
        <w:tc>
          <w:tcPr>
            <w:tcW w:w="4551"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本地数据损坏时可恢复</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pPr>
        <w:pStyle w:val="1"/>
        <w:bidi w:val="0"/>
        <w:rPr>
          <w:rFonts w:hint="default"/>
          <w:lang w:val="en-US" w:eastAsia="zh-CN"/>
        </w:rPr>
      </w:pPr>
      <w:bookmarkStart w:id="23" w:name="_Toc10120"/>
      <w:r>
        <w:rPr>
          <w:rFonts w:hint="default"/>
          <w:lang w:val="en-US" w:eastAsia="zh-CN"/>
        </w:rPr>
        <w:t>可用性分析与改进</w:t>
      </w:r>
      <w:bookmarkEnd w:id="23"/>
    </w:p>
    <w:p>
      <w:pPr>
        <w:pStyle w:val="2"/>
        <w:bidi w:val="0"/>
        <w:rPr>
          <w:rFonts w:hint="default"/>
          <w:lang w:val="en-US" w:eastAsia="zh-CN"/>
        </w:rPr>
      </w:pPr>
      <w:bookmarkStart w:id="24" w:name="_Toc10315"/>
      <w:r>
        <w:rPr>
          <w:rFonts w:hint="default"/>
          <w:lang w:val="en-US" w:eastAsia="zh-CN"/>
        </w:rPr>
        <w:t>分析周期</w:t>
      </w:r>
      <w:bookmarkEnd w:id="24"/>
    </w:p>
    <w:p>
      <w:pPr>
        <w:pStyle w:val="a2"/>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5236"/>
      <w:r>
        <w:rPr>
          <w:rFonts w:hint="eastAsia"/>
          <w:lang w:val="en-US" w:eastAsia="zh-CN"/>
        </w:rPr>
        <w:t xml:space="preserve"> 分析周期表</w:t>
      </w:r>
      <w:bookmarkEnd w:id="2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73"/>
        <w:gridCol w:w="1290"/>
        <w:gridCol w:w="2898"/>
        <w:gridCol w:w="303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分析类型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c>
          <w:tcPr>
            <w:tcW w:w="303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硬件/软件运维工程师</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月度分析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可用性分析报告（月度）</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每季度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30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可用性分析报告（季度）</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7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年度分析</w:t>
            </w:r>
          </w:p>
        </w:tc>
        <w:tc>
          <w:tcPr>
            <w:tcW w:w="129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每年</w:t>
            </w:r>
          </w:p>
        </w:tc>
        <w:tc>
          <w:tcPr>
            <w:tcW w:w="28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303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可用性评估报告</w:t>
            </w:r>
          </w:p>
        </w:tc>
      </w:tr>
    </w:tbl>
    <w:p>
      <w:pPr>
        <w:pStyle w:val="a2"/>
        <w:jc w:val="center"/>
        <w:rPr>
          <w:rFonts w:hint="default"/>
          <w:lang w:val="en-US" w:eastAsia="zh-CN"/>
        </w:rPr>
      </w:pPr>
    </w:p>
    <w:p>
      <w:pPr>
        <w:pStyle w:val="2"/>
        <w:bidi w:val="0"/>
        <w:rPr>
          <w:rFonts w:hint="default"/>
          <w:lang w:val="en-US" w:eastAsia="zh-CN"/>
        </w:rPr>
      </w:pPr>
      <w:bookmarkStart w:id="26" w:name="_Toc7432"/>
      <w:r>
        <w:rPr>
          <w:rFonts w:hint="default"/>
          <w:lang w:val="en-US" w:eastAsia="zh-CN"/>
        </w:rPr>
        <w:t>改进机制</w:t>
      </w:r>
      <w:bookmarkEnd w:id="2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当可用性低于目标值时，由运维部经理组织分析根本原因</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制定改进措施，明确责任人和完成时限</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改进措施纳入《服务改进计划》跟踪落实</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改进效果在后续监控中验证</w:t>
      </w:r>
    </w:p>
    <w:p>
      <w:pPr>
        <w:pStyle w:val="1"/>
        <w:bidi w:val="0"/>
        <w:rPr>
          <w:rFonts w:hint="default"/>
          <w:lang w:val="en-US" w:eastAsia="zh-CN"/>
        </w:rPr>
      </w:pPr>
      <w:bookmarkStart w:id="27" w:name="_Toc13744"/>
      <w:r>
        <w:rPr>
          <w:rFonts w:hint="default"/>
          <w:lang w:val="en-US" w:eastAsia="zh-CN"/>
        </w:rPr>
        <w:t>应急响应</w:t>
      </w:r>
      <w:bookmarkEnd w:id="27"/>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本项目应急响应的具体内容（包括应急组织、应急预案、应急演练、应急处置流程等）遵循公司《运维服务应急管理制度》</w:t>
      </w:r>
      <w:bookmarkStart w:id="28" w:name="_GoBack"/>
      <w:bookmarkEnd w:id="28"/>
      <w:r>
        <w:rPr>
          <w:rFonts w:hint="default"/>
          <w:lang w:val="en-US" w:eastAsia="zh-CN"/>
        </w:rPr>
        <w:t>的相关规定执行。</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theme" Target="theme/theme1.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45</TotalTime>
  <Pages>8</Pages>
  <Words>1210</Words>
  <Characters>1392</Characters>
  <Application>Microsoft Office Word</Application>
  <DocSecurity>0</DocSecurity>
  <Lines>0</Lines>
  <Paragraphs>0</Paragraphs>
  <ScaleCrop>false</ScaleCrop>
  <Company/>
  <LinksUpToDate>false</LinksUpToDate>
  <CharactersWithSpaces>1517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2026-04-07T22:01:32Z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