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2025年国电电力湖南新能源系统运维项目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一季度服务可用性和连续性管理报告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HFSJ-ITSS-0613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2025.04.03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2025.04.03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2025.04.03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2025.04.03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2025.04.03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_Toc20806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报告概述</w:t>
          </w:r>
          <w:r>
            <w:tab/>
          </w:r>
          <w:r>
            <w:fldChar w:fldCharType="begin"/>
          </w:r>
          <w:r>
            <w:instrText xml:space="preserve"> PAGEREF _Toc20806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_Toc29861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报告基本信息</w:t>
          </w:r>
          <w:r>
            <w:tab/>
          </w:r>
          <w:r>
            <w:fldChar w:fldCharType="begin"/>
          </w:r>
          <w:r>
            <w:instrText xml:space="preserve"> PAGEREF _Toc29861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_Toc31107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t>报告目的</w:t>
          </w:r>
          <w:r>
            <w:tab/>
          </w:r>
          <w:r>
            <w:fldChar w:fldCharType="begin"/>
          </w:r>
          <w:r>
            <w:instrText xml:space="preserve"> PAGEREF _Toc31107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_Toc228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可用性达成情况</w:t>
          </w:r>
          <w:r>
            <w:tab/>
          </w:r>
          <w:r>
            <w:fldChar w:fldCharType="begin"/>
          </w:r>
          <w:r>
            <w:instrText xml:space="preserve"> PAGEREF _Toc228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_Toc16381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服务可用性统计</w:t>
          </w:r>
          <w:r>
            <w:tab/>
          </w:r>
          <w:r>
            <w:fldChar w:fldCharType="begin"/>
          </w:r>
          <w:r>
            <w:instrText xml:space="preserve"> PAGEREF _Toc16381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_Toc32111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服务中断事件汇总</w:t>
          </w:r>
          <w:r>
            <w:tab/>
          </w:r>
          <w:r>
            <w:fldChar w:fldCharType="begin"/>
          </w:r>
          <w:r>
            <w:instrText xml:space="preserve"> PAGEREF _Toc32111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_Toc9620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2.2.1. </w:t>
          </w:r>
          <w:r>
            <w:rPr>
              <w:rFonts w:hint="eastAsia"/>
              <w:lang w:val="en-US" w:eastAsia="zh-CN"/>
            </w:rPr>
            <w:t>计划内中断</w:t>
          </w:r>
          <w:r>
            <w:tab/>
          </w:r>
          <w:r>
            <w:fldChar w:fldCharType="begin"/>
          </w:r>
          <w:r>
            <w:instrText xml:space="preserve"> PAGEREF _Toc9620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_Toc22950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2.2.2. </w:t>
          </w:r>
          <w:r>
            <w:rPr>
              <w:rFonts w:hint="eastAsia"/>
              <w:lang w:val="en-US" w:eastAsia="zh-CN"/>
            </w:rPr>
            <w:t>中断汇总</w:t>
          </w:r>
          <w:r>
            <w:tab/>
          </w:r>
          <w:r>
            <w:fldChar w:fldCharType="begin"/>
          </w:r>
          <w:r>
            <w:instrText xml:space="preserve"> PAGEREF _Toc22950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_Toc3617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关键服务恢复目标达成情况</w:t>
          </w:r>
          <w:r>
            <w:tab/>
          </w:r>
          <w:r>
            <w:fldChar w:fldCharType="begin"/>
          </w:r>
          <w:r>
            <w:instrText xml:space="preserve"> PAGEREF _Toc3617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_Toc15374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风险评估与应对执行情况</w:t>
          </w:r>
          <w:r>
            <w:tab/>
          </w:r>
          <w:r>
            <w:fldChar w:fldCharType="begin"/>
          </w:r>
          <w:r>
            <w:instrText xml:space="preserve"> PAGEREF _Toc15374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_Toc22492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风险监控情况</w:t>
          </w:r>
          <w:r>
            <w:tab/>
          </w:r>
          <w:r>
            <w:fldChar w:fldCharType="begin"/>
          </w:r>
          <w:r>
            <w:instrText xml:space="preserve"> PAGEREF _Toc22492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_Toc15521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新增风险识别</w:t>
          </w:r>
          <w:r>
            <w:tab/>
          </w:r>
          <w:r>
            <w:fldChar w:fldCharType="begin"/>
          </w:r>
          <w:r>
            <w:instrText xml:space="preserve"> PAGEREF _Toc15521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_Toc10996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可用性监控与预警情况</w:t>
          </w:r>
          <w:r>
            <w:tab/>
          </w:r>
          <w:r>
            <w:fldChar w:fldCharType="begin"/>
          </w:r>
          <w:r>
            <w:instrText xml:space="preserve"> PAGEREF _Toc10996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_Toc31366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监控覆盖率</w:t>
          </w:r>
          <w:r>
            <w:tab/>
          </w:r>
          <w:r>
            <w:fldChar w:fldCharType="begin"/>
          </w:r>
          <w:r>
            <w:instrText xml:space="preserve"> PAGEREF _Toc31366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_Toc10974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告警统计</w:t>
          </w:r>
          <w:r>
            <w:tab/>
          </w:r>
          <w:r>
            <w:fldChar w:fldCharType="begin"/>
          </w:r>
          <w:r>
            <w:instrText xml:space="preserve"> PAGEREF _Toc10974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_Toc12450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连续性保障措施执行情况</w:t>
          </w:r>
          <w:r>
            <w:tab/>
          </w:r>
          <w:r>
            <w:fldChar w:fldCharType="begin"/>
          </w:r>
          <w:r>
            <w:instrText xml:space="preserve"> PAGEREF _Toc12450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_Toc16164 </w:instrText>
          </w:r>
          <w:r>
            <w:fldChar w:fldCharType="separate"/>
          </w:r>
          <w:r>
            <w:rPr>
              <w:rFonts w:hint="default"/>
            </w:rPr>
            <w:t xml:space="preserve">6.1. </w:t>
          </w:r>
          <w:r>
            <w:t>数据备份执行情况</w:t>
          </w:r>
          <w:r>
            <w:tab/>
          </w:r>
          <w:r>
            <w:fldChar w:fldCharType="begin"/>
          </w:r>
          <w:r>
            <w:instrText xml:space="preserve"> PAGEREF _Toc16164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_Toc18339 </w:instrText>
          </w:r>
          <w:r>
            <w:fldChar w:fldCharType="separate"/>
          </w:r>
          <w:r>
            <w:rPr>
              <w:rFonts w:hint="default"/>
            </w:rPr>
            <w:t xml:space="preserve">6.2. </w:t>
          </w:r>
          <w:r>
            <w:t>冗余配置使用情况</w:t>
          </w:r>
          <w:r>
            <w:tab/>
          </w:r>
          <w:r>
            <w:fldChar w:fldCharType="begin"/>
          </w:r>
          <w:r>
            <w:instrText xml:space="preserve"> PAGEREF _Toc18339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_Toc6084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可用性分析与改进情况</w:t>
          </w:r>
          <w:r>
            <w:tab/>
          </w:r>
          <w:r>
            <w:fldChar w:fldCharType="begin"/>
          </w:r>
          <w:r>
            <w:instrText xml:space="preserve"> PAGEREF _Toc6084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_Toc6517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可用性趋势分析</w:t>
          </w:r>
          <w:r>
            <w:tab/>
          </w:r>
          <w:r>
            <w:fldChar w:fldCharType="begin"/>
          </w:r>
          <w:r>
            <w:instrText xml:space="preserve"> PAGEREF _Toc6517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_Toc29015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改进措施落实情况</w:t>
          </w:r>
          <w:r>
            <w:tab/>
          </w:r>
          <w:r>
            <w:fldChar w:fldCharType="begin"/>
          </w:r>
          <w:r>
            <w:instrText xml:space="preserve"> PAGEREF _Toc29015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_Toc16500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服务可用性达成情况表</w:t>
      </w:r>
      <w:r>
        <w:tab/>
      </w:r>
      <w:r>
        <w:fldChar w:fldCharType="begin"/>
      </w:r>
      <w:r>
        <w:instrText xml:space="preserve"> PAGEREF _Toc16500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_Toc15068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计划内</w:t>
      </w:r>
      <w:r>
        <w:t>中断统计表</w:t>
      </w:r>
      <w:r>
        <w:tab/>
      </w:r>
      <w:r>
        <w:fldChar w:fldCharType="begin"/>
      </w:r>
      <w:r>
        <w:instrText xml:space="preserve"> PAGEREF _Toc15068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_Toc1337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中断汇总</w:t>
      </w:r>
      <w:r>
        <w:t>表</w:t>
      </w:r>
      <w:r>
        <w:tab/>
      </w:r>
      <w:r>
        <w:fldChar w:fldCharType="begin"/>
      </w:r>
      <w:r>
        <w:instrText xml:space="preserve"> PAGEREF _Toc1337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_Toc1369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关键服务恢复目标达成表</w:t>
      </w:r>
      <w:r>
        <w:tab/>
      </w:r>
      <w:r>
        <w:fldChar w:fldCharType="begin"/>
      </w:r>
      <w:r>
        <w:instrText xml:space="preserve"> PAGEREF _Toc1369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_Toc1160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风险监控情况表</w:t>
      </w:r>
      <w:r>
        <w:tab/>
      </w:r>
      <w:r>
        <w:fldChar w:fldCharType="begin"/>
      </w:r>
      <w:r>
        <w:instrText xml:space="preserve"> PAGEREF _Toc1160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_Toc5154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t>新增风险识别表</w:t>
      </w:r>
      <w:r>
        <w:tab/>
      </w:r>
      <w:r>
        <w:fldChar w:fldCharType="begin"/>
      </w:r>
      <w:r>
        <w:instrText xml:space="preserve"> PAGEREF _Toc5154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_Toc23490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监控覆盖率统计表</w:t>
      </w:r>
      <w:r>
        <w:tab/>
      </w:r>
      <w:r>
        <w:fldChar w:fldCharType="begin"/>
      </w:r>
      <w:r>
        <w:instrText xml:space="preserve"> PAGEREF _Toc23490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_Toc17871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t>告警统计表</w:t>
      </w:r>
      <w:r>
        <w:tab/>
      </w:r>
      <w:r>
        <w:fldChar w:fldCharType="begin"/>
      </w:r>
      <w:r>
        <w:instrText xml:space="preserve"> PAGEREF _Toc17871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_Toc25966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数据备份执行统计表</w:t>
      </w:r>
      <w:r>
        <w:tab/>
      </w:r>
      <w:r>
        <w:fldChar w:fldCharType="begin"/>
      </w:r>
      <w:r>
        <w:instrText xml:space="preserve"> PAGEREF _Toc25966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_Toc2349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t>冗余配置使用统计表</w:t>
      </w:r>
      <w:r>
        <w:tab/>
      </w:r>
      <w:r>
        <w:fldChar w:fldCharType="begin"/>
      </w:r>
      <w:r>
        <w:instrText xml:space="preserve"> PAGEREF _Toc2349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_Toc18405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可用性趋势分析表</w:t>
      </w:r>
      <w:r>
        <w:tab/>
      </w:r>
      <w:r>
        <w:fldChar w:fldCharType="begin"/>
      </w:r>
      <w:r>
        <w:instrText xml:space="preserve"> PAGEREF _Toc18405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_Toc404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t>改进措施跟踪表</w:t>
      </w:r>
      <w:r>
        <w:tab/>
      </w:r>
      <w:r>
        <w:fldChar w:fldCharType="begin"/>
      </w:r>
      <w:r>
        <w:instrText xml:space="preserve"> PAGEREF _Toc404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fldChar w:fldCharType="end"/>
      </w: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1" w:name="heading_2"/>
      <w:bookmarkStart w:id="2" w:name="_Toc20806"/>
      <w:r>
        <w:t>报告概述</w:t>
      </w:r>
      <w:bookmarkEnd w:id="1"/>
      <w:bookmarkEnd w:id="2"/>
    </w:p>
    <w:p>
      <w:pPr>
        <w:pStyle w:val="2"/>
        <w:bidi w:val="0"/>
      </w:pPr>
      <w:bookmarkStart w:id="3" w:name="heading_3"/>
      <w:bookmarkStart w:id="4" w:name="_Toc29861"/>
      <w:r>
        <w:t>报告基本信息</w:t>
      </w:r>
      <w:bookmarkEnd w:id="3"/>
      <w:bookmarkEnd w:id="4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850"/>
        <w:gridCol w:w="6430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85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</w:pPr>
            <w:r>
              <w:t>项目</w:t>
            </w:r>
          </w:p>
        </w:tc>
        <w:tc>
          <w:tcPr>
            <w:tcW w:w="643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</w:pPr>
            <w:r>
              <w:t>内容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85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项目名称</w:t>
            </w:r>
          </w:p>
        </w:tc>
        <w:tc>
          <w:tcPr>
            <w:tcW w:w="64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</w:pPr>
            <w:r>
              <w:t>2025年国电电力湖南新能源系统运维项目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85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报告周期</w:t>
            </w:r>
          </w:p>
        </w:tc>
        <w:tc>
          <w:tcPr>
            <w:tcW w:w="64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</w:pPr>
            <w:r>
              <w:t>2025年1月1日 - 2025年</w:t>
            </w:r>
            <w:r>
              <w:rPr>
                <w:rFonts w:hint="eastAsia"/>
                <w:lang w:val="en-US" w:eastAsia="zh-CN"/>
              </w:rPr>
              <w:t>3</w:t>
            </w:r>
            <w:r>
              <w:t>月</w:t>
            </w:r>
            <w:r>
              <w:rPr>
                <w:rFonts w:hint="eastAsia"/>
                <w:lang w:val="en-US" w:eastAsia="zh-CN"/>
              </w:rPr>
              <w:t>31</w:t>
            </w:r>
            <w:r>
              <w:t>日（第一季度）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85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报告类型</w:t>
            </w:r>
          </w:p>
        </w:tc>
        <w:tc>
          <w:tcPr>
            <w:tcW w:w="64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</w:pPr>
            <w:r>
              <w:t>季度可用性管理报告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85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报告责任人</w:t>
            </w:r>
          </w:p>
        </w:tc>
        <w:tc>
          <w:tcPr>
            <w:tcW w:w="64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</w:pPr>
            <w:r>
              <w:t>运维项目经理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8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报告审核人</w:t>
            </w:r>
          </w:p>
        </w:tc>
        <w:tc>
          <w:tcPr>
            <w:tcW w:w="64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</w:pPr>
            <w:r>
              <w:t>运维部经理</w:t>
            </w:r>
          </w:p>
        </w:tc>
      </w:tr>
    </w:tbl>
    <w:p>
      <w:pPr>
        <w:pStyle w:val="2"/>
        <w:bidi w:val="0"/>
      </w:pPr>
      <w:bookmarkStart w:id="5" w:name="heading_4"/>
      <w:bookmarkStart w:id="6" w:name="_Toc31107"/>
      <w:r>
        <w:t>报告目的</w:t>
      </w:r>
      <w:bookmarkEnd w:id="5"/>
      <w:bookmarkEnd w:id="6"/>
    </w:p>
    <w:p>
      <w:pPr>
        <w:pStyle w:val="a2"/>
        <w:bidi w:val="0"/>
      </w:pPr>
      <w:r>
        <w:t>本报告旨在总结《2025年国电电力湖南新能源系统运维项目》项目在本报告周期内的服务可用性和连续性管理情况，评估可用性目标达成情况，分析服务中断事件，提出改进措施，确保服务持续满足SLA要求。</w:t>
      </w:r>
    </w:p>
    <w:p>
      <w:pPr>
        <w:pStyle w:val="1"/>
        <w:bidi w:val="0"/>
      </w:pPr>
      <w:bookmarkStart w:id="7" w:name="heading_5"/>
      <w:bookmarkStart w:id="8" w:name="_Toc228"/>
      <w:r>
        <w:t>可用性达成情况</w:t>
      </w:r>
      <w:bookmarkEnd w:id="7"/>
      <w:bookmarkEnd w:id="8"/>
    </w:p>
    <w:p>
      <w:pPr>
        <w:pStyle w:val="2"/>
        <w:bidi w:val="0"/>
      </w:pPr>
      <w:bookmarkStart w:id="9" w:name="heading_6"/>
      <w:bookmarkStart w:id="10" w:name="_Toc16381"/>
      <w:r>
        <w:t>服务可用性统计</w:t>
      </w:r>
      <w:bookmarkEnd w:id="9"/>
      <w:bookmarkEnd w:id="10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1" w:name="_Toc16500"/>
      <w:r>
        <w:rPr>
          <w:rFonts w:hint="eastAsia"/>
          <w:lang w:val="en-US" w:eastAsia="zh-CN"/>
        </w:rPr>
        <w:t xml:space="preserve"> </w:t>
      </w:r>
      <w:r>
        <w:t>服务可用性达成</w:t>
      </w:r>
      <w:r>
        <w:rPr>
          <w:rFonts w:hint="eastAsia"/>
          <w:lang w:val="en-US" w:eastAsia="zh-CN"/>
        </w:rPr>
        <w:tab/>
      </w:r>
      <w:r>
        <w:t>情况表</w:t>
      </w:r>
      <w:bookmarkEnd w:id="11"/>
    </w:p>
    <w:tbl>
      <w:tblPr>
        <w:tblStyle w:val="TableNormal"/>
        <w:tblW w:w="926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13"/>
        <w:gridCol w:w="1344"/>
        <w:gridCol w:w="1344"/>
        <w:gridCol w:w="1103"/>
        <w:gridCol w:w="1343"/>
        <w:gridCol w:w="3020"/>
      </w:tblGrid>
      <w:tr>
        <w:tblPrEx>
          <w:tblW w:w="9267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1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服务类型</w:t>
            </w:r>
          </w:p>
        </w:tc>
        <w:tc>
          <w:tcPr>
            <w:tcW w:w="134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可用性目标</w:t>
            </w:r>
          </w:p>
        </w:tc>
        <w:tc>
          <w:tcPr>
            <w:tcW w:w="134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实际可用性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是否达标</w:t>
            </w:r>
          </w:p>
        </w:tc>
        <w:tc>
          <w:tcPr>
            <w:tcW w:w="134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不可用时间</w:t>
            </w:r>
          </w:p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（分钟）</w:t>
            </w:r>
          </w:p>
        </w:tc>
        <w:tc>
          <w:tcPr>
            <w:tcW w:w="302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>
        <w:tblPrEx>
          <w:tblW w:w="9267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新能源系统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≥99.5%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达标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计划内维护1次（20分钟）</w:t>
            </w:r>
          </w:p>
        </w:tc>
      </w:tr>
      <w:tr>
        <w:tblPrEx>
          <w:tblW w:w="9267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≥99.5%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达标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系统重启2次（43分钟）</w:t>
            </w:r>
          </w:p>
        </w:tc>
      </w:tr>
      <w:tr>
        <w:tblPrEx>
          <w:tblW w:w="9267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网络设备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≥99.0%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达标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网络波动2次（63分钟），</w:t>
            </w:r>
            <w:r>
              <w:rPr>
                <w:rFonts w:hint="eastAsia"/>
                <w:lang w:val="en-US" w:eastAsia="zh-CN"/>
              </w:rPr>
              <w:t>计划内</w:t>
            </w:r>
            <w:r>
              <w:t>设备重启1次</w:t>
            </w:r>
          </w:p>
        </w:tc>
      </w:tr>
      <w:tr>
        <w:tblPrEx>
          <w:tblW w:w="9267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1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现场设备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≥98.0%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达标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工作站、数据采集器无故障</w:t>
            </w:r>
          </w:p>
        </w:tc>
      </w:tr>
    </w:tbl>
    <w:p>
      <w:pPr>
        <w:pStyle w:val="a4"/>
        <w:bidi w:val="0"/>
      </w:pPr>
      <w:r>
        <w:t>可用性计算公式：可用性 = （约定服务时间 - 不可用时间）/ 约定服务时间 × 100%</w:t>
      </w:r>
    </w:p>
    <w:p>
      <w:pPr>
        <w:pStyle w:val="2"/>
        <w:bidi w:val="0"/>
      </w:pPr>
      <w:bookmarkStart w:id="12" w:name="heading_7"/>
      <w:bookmarkStart w:id="13" w:name="_Toc32111"/>
      <w:r>
        <w:t>服务中断事件汇总</w:t>
      </w:r>
      <w:bookmarkEnd w:id="12"/>
      <w:bookmarkEnd w:id="13"/>
    </w:p>
    <w:p>
      <w:pPr>
        <w:pStyle w:val="3"/>
        <w:bidi w:val="0"/>
        <w:rPr>
          <w:rFonts w:hint="eastAsia"/>
          <w:lang w:val="en-US" w:eastAsia="zh-CN"/>
        </w:rPr>
      </w:pPr>
      <w:bookmarkStart w:id="14" w:name="_Toc9620"/>
      <w:r>
        <w:rPr>
          <w:rFonts w:hint="eastAsia"/>
          <w:lang w:val="en-US" w:eastAsia="zh-CN"/>
        </w:rPr>
        <w:t>计划内中断</w:t>
      </w:r>
      <w:bookmarkEnd w:id="14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5" w:name="_Toc15068"/>
      <w:r>
        <w:rPr>
          <w:rFonts w:hint="eastAsia"/>
          <w:lang w:val="en-US" w:eastAsia="zh-CN"/>
        </w:rPr>
        <w:t xml:space="preserve"> 计划内</w:t>
      </w:r>
      <w:r>
        <w:t>中断统计表</w:t>
      </w:r>
      <w:bookmarkEnd w:id="15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9"/>
        <w:gridCol w:w="1142"/>
        <w:gridCol w:w="1081"/>
        <w:gridCol w:w="1066"/>
        <w:gridCol w:w="1439"/>
        <w:gridCol w:w="1382"/>
        <w:gridCol w:w="1621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54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14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中断日期</w:t>
            </w:r>
          </w:p>
        </w:tc>
        <w:tc>
          <w:tcPr>
            <w:tcW w:w="108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中断服务</w:t>
            </w:r>
          </w:p>
        </w:tc>
        <w:tc>
          <w:tcPr>
            <w:tcW w:w="106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中断时长</w:t>
            </w:r>
          </w:p>
        </w:tc>
        <w:tc>
          <w:tcPr>
            <w:tcW w:w="143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中断原因</w:t>
            </w:r>
          </w:p>
        </w:tc>
        <w:tc>
          <w:tcPr>
            <w:tcW w:w="138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是否提前通知</w:t>
            </w:r>
          </w:p>
        </w:tc>
        <w:tc>
          <w:tcPr>
            <w:tcW w:w="162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是否经客户确认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2025.1.8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新能源系统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20分钟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系统补丁更新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2025.2.10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服务器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25分钟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操作系统升级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2025.3.15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网络设备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15分钟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固件升级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4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合计</w:t>
            </w:r>
          </w:p>
        </w:tc>
        <w:tc>
          <w:tcPr>
            <w:tcW w:w="7731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60分钟</w:t>
            </w:r>
          </w:p>
        </w:tc>
      </w:tr>
    </w:tbl>
    <w:p>
      <w:pPr>
        <w:pStyle w:val="a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计划内中断说明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所有计划内中断均提前24小时通知客户，经客户确认后执行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中断时间安排在业务低谷期（如夜间或周末）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计划内中断时长计入可用性计算，但不作为SLA考核的扣分项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6" w:name="_Toc22950"/>
      <w:r>
        <w:rPr>
          <w:rFonts w:hint="eastAsia"/>
          <w:lang w:val="en-US" w:eastAsia="zh-CN"/>
        </w:rPr>
        <w:t>中断汇总</w:t>
      </w:r>
      <w:bookmarkEnd w:id="16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17" w:name="_Toc1337"/>
      <w:r>
        <w:rPr>
          <w:rFonts w:hint="eastAsia"/>
          <w:lang w:val="en-US" w:eastAsia="zh-CN"/>
        </w:rPr>
        <w:t xml:space="preserve"> 中断汇总</w:t>
      </w:r>
      <w:r>
        <w:t>表</w:t>
      </w:r>
      <w:bookmarkEnd w:id="17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7"/>
        <w:gridCol w:w="1422"/>
        <w:gridCol w:w="2598"/>
        <w:gridCol w:w="2833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2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中断类型</w:t>
            </w:r>
          </w:p>
        </w:tc>
        <w:tc>
          <w:tcPr>
            <w:tcW w:w="142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发生次数</w:t>
            </w:r>
          </w:p>
        </w:tc>
        <w:tc>
          <w:tcPr>
            <w:tcW w:w="259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总中断时长（分钟）</w:t>
            </w:r>
          </w:p>
        </w:tc>
        <w:tc>
          <w:tcPr>
            <w:tcW w:w="283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平均中断时长（分钟）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bookmarkStart w:id="18" w:name="_GoBack" w:colFirst="3" w:colLast="3"/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计划内中断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3次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60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计划外中断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0次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2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合计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3次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60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</w:tr>
    </w:tbl>
    <w:p>
      <w:pPr>
        <w:pStyle w:val="a4"/>
        <w:bidi w:val="0"/>
        <w:jc w:val="center"/>
      </w:pPr>
      <w:bookmarkEnd w:id="18"/>
    </w:p>
    <w:p>
      <w:pPr>
        <w:rPr>
          <w:rFonts w:hint="default"/>
          <w:lang w:val="en-US" w:eastAsia="zh-CN"/>
        </w:rPr>
      </w:pPr>
    </w:p>
    <w:p>
      <w:pPr>
        <w:pStyle w:val="1"/>
        <w:bidi w:val="0"/>
      </w:pPr>
      <w:bookmarkStart w:id="19" w:name="heading_8"/>
      <w:bookmarkStart w:id="20" w:name="_Toc3617"/>
      <w:r>
        <w:t>关键服务恢复目标达成情况</w:t>
      </w:r>
      <w:bookmarkEnd w:id="19"/>
      <w:bookmarkEnd w:id="20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1" w:name="_Toc1369"/>
      <w:r>
        <w:rPr>
          <w:rFonts w:hint="eastAsia"/>
          <w:lang w:val="en-US" w:eastAsia="zh-CN"/>
        </w:rPr>
        <w:t xml:space="preserve"> </w:t>
      </w:r>
      <w:r>
        <w:t>关键服务恢复目标达成表</w:t>
      </w:r>
      <w:bookmarkEnd w:id="21"/>
    </w:p>
    <w:tbl>
      <w:tblPr>
        <w:tblStyle w:val="TableNormal"/>
        <w:tblW w:w="946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340"/>
        <w:gridCol w:w="1128"/>
        <w:gridCol w:w="1585"/>
        <w:gridCol w:w="1141"/>
        <w:gridCol w:w="1585"/>
        <w:gridCol w:w="1103"/>
        <w:gridCol w:w="1580"/>
      </w:tblGrid>
      <w:tr>
        <w:tblPrEx>
          <w:tblW w:w="946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34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服务名称</w:t>
            </w:r>
          </w:p>
        </w:tc>
        <w:tc>
          <w:tcPr>
            <w:tcW w:w="112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RTO目标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实际恢复时间</w:t>
            </w:r>
          </w:p>
        </w:tc>
        <w:tc>
          <w:tcPr>
            <w:tcW w:w="114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RPO目标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实际数据丢失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是否达标</w:t>
            </w:r>
          </w:p>
        </w:tc>
        <w:tc>
          <w:tcPr>
            <w:tcW w:w="158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>
        <w:tblPrEx>
          <w:tblW w:w="946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新能源系统核心服务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4小时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45分钟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1小时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0分钟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达标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响应及时</w:t>
            </w:r>
          </w:p>
        </w:tc>
      </w:tr>
      <w:tr>
        <w:tblPrEx>
          <w:tblW w:w="946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数据库服务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2小时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35分钟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15分钟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0分钟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达标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备份有效</w:t>
            </w:r>
          </w:p>
        </w:tc>
      </w:tr>
      <w:tr>
        <w:tblPrEx>
          <w:tblW w:w="946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服务器运行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4小时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35分钟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达标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硬件更换及时</w:t>
            </w:r>
          </w:p>
        </w:tc>
      </w:tr>
      <w:tr>
        <w:tblPrEx>
          <w:tblW w:w="946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网络连通性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2小时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33分钟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达标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备用线路未启用</w:t>
            </w:r>
          </w:p>
        </w:tc>
      </w:tr>
      <w:tr>
        <w:tblPrEx>
          <w:tblW w:w="946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数据采集服务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4小时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48分钟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达标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备件更换</w:t>
            </w:r>
          </w:p>
        </w:tc>
      </w:tr>
      <w:tr>
        <w:tblPrEx>
          <w:tblW w:w="946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监控显示服务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8小时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未发生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达标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无故障</w:t>
            </w:r>
          </w:p>
        </w:tc>
      </w:tr>
      <w:tr>
        <w:tblPrEx>
          <w:tblW w:w="946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数据接口服务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8小时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30分钟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达标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备件更换</w:t>
            </w:r>
          </w:p>
        </w:tc>
      </w:tr>
    </w:tbl>
    <w:p>
      <w:pPr>
        <w:pStyle w:val="1"/>
        <w:bidi w:val="0"/>
      </w:pPr>
      <w:bookmarkStart w:id="22" w:name="heading_9"/>
      <w:bookmarkStart w:id="23" w:name="_Toc15374"/>
      <w:r>
        <w:t>风险评估与应对执行情况</w:t>
      </w:r>
      <w:bookmarkEnd w:id="22"/>
      <w:bookmarkEnd w:id="23"/>
    </w:p>
    <w:p>
      <w:pPr>
        <w:pStyle w:val="2"/>
        <w:bidi w:val="0"/>
      </w:pPr>
      <w:bookmarkStart w:id="24" w:name="heading_10"/>
      <w:bookmarkStart w:id="25" w:name="_Toc22492"/>
      <w:r>
        <w:t>风险监控情况</w:t>
      </w:r>
      <w:bookmarkEnd w:id="24"/>
      <w:bookmarkEnd w:id="25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6" w:name="_Toc1160"/>
      <w:r>
        <w:rPr>
          <w:rFonts w:hint="eastAsia"/>
          <w:lang w:val="en-US" w:eastAsia="zh-CN"/>
        </w:rPr>
        <w:t xml:space="preserve"> </w:t>
      </w:r>
      <w:r>
        <w:t>风险监控情况表</w:t>
      </w:r>
      <w:bookmarkEnd w:id="26"/>
    </w:p>
    <w:tbl>
      <w:tblPr>
        <w:tblStyle w:val="TableNormal"/>
        <w:tblW w:w="853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80"/>
        <w:gridCol w:w="1103"/>
        <w:gridCol w:w="1103"/>
        <w:gridCol w:w="1103"/>
        <w:gridCol w:w="2540"/>
        <w:gridCol w:w="1103"/>
      </w:tblGrid>
      <w:tr>
        <w:tblPrEx>
          <w:tblW w:w="853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58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风险描述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风险等级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监控状态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发生次数</w:t>
            </w:r>
          </w:p>
        </w:tc>
        <w:tc>
          <w:tcPr>
            <w:tcW w:w="254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应对措施执行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效果评估</w:t>
            </w:r>
          </w:p>
        </w:tc>
      </w:tr>
      <w:tr>
        <w:tblPrEx>
          <w:tblW w:w="853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服务器硬件故障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高风险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已监控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1次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每日巡检，备用服务器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有效</w:t>
            </w:r>
          </w:p>
        </w:tc>
      </w:tr>
      <w:tr>
        <w:tblPrEx>
          <w:tblW w:w="853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网络中断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高风险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已监控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2次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每日检查连通性，备用线路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备用线路未启用</w:t>
            </w:r>
          </w:p>
        </w:tc>
      </w:tr>
      <w:tr>
        <w:tblPrEx>
          <w:tblW w:w="853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数据库损坏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高风险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已监控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每日自动备份，每周验证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备份有效</w:t>
            </w:r>
          </w:p>
        </w:tc>
      </w:tr>
      <w:tr>
        <w:tblPrEx>
          <w:tblW w:w="853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软件Bug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中风险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已监控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2次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每日检查日志，升级至研发部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有效</w:t>
            </w:r>
          </w:p>
        </w:tc>
      </w:tr>
      <w:tr>
        <w:tblPrEx>
          <w:tblW w:w="853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现场设备故障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中风险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已监控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2次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每月巡检，备用设备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有效</w:t>
            </w:r>
          </w:p>
        </w:tc>
      </w:tr>
      <w:tr>
        <w:tblPrEx>
          <w:tblW w:w="853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机房断电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中风险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已监控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UPS配置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未发生</w:t>
            </w:r>
          </w:p>
        </w:tc>
      </w:tr>
      <w:tr>
        <w:tblPrEx>
          <w:tblW w:w="853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病毒攻击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中风险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已监控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防病毒软件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未发生</w:t>
            </w:r>
          </w:p>
        </w:tc>
      </w:tr>
      <w:tr>
        <w:tblPrEx>
          <w:tblW w:w="853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操作失误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低风险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已监控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1次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操作培训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有效</w:t>
            </w:r>
          </w:p>
        </w:tc>
      </w:tr>
    </w:tbl>
    <w:p>
      <w:pPr>
        <w:pStyle w:val="2"/>
        <w:bidi w:val="0"/>
      </w:pPr>
      <w:bookmarkStart w:id="27" w:name="heading_11"/>
      <w:bookmarkStart w:id="28" w:name="_Toc15521"/>
      <w:r>
        <w:t>新增风险识别</w:t>
      </w:r>
      <w:bookmarkEnd w:id="27"/>
      <w:bookmarkEnd w:id="28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9" w:name="_Toc5154"/>
      <w:r>
        <w:rPr>
          <w:rFonts w:hint="eastAsia"/>
          <w:lang w:val="en-US" w:eastAsia="zh-CN"/>
        </w:rPr>
        <w:t xml:space="preserve"> </w:t>
      </w:r>
      <w:r>
        <w:t>新增风险识别表</w:t>
      </w:r>
      <w:bookmarkEnd w:id="29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815"/>
        <w:gridCol w:w="1200"/>
        <w:gridCol w:w="2457"/>
        <w:gridCol w:w="1370"/>
        <w:gridCol w:w="168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81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风险描述</w:t>
            </w:r>
          </w:p>
        </w:tc>
        <w:tc>
          <w:tcPr>
            <w:tcW w:w="120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风险等级</w:t>
            </w:r>
          </w:p>
        </w:tc>
        <w:tc>
          <w:tcPr>
            <w:tcW w:w="245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应对措施</w:t>
            </w:r>
          </w:p>
        </w:tc>
        <w:tc>
          <w:tcPr>
            <w:tcW w:w="137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68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业务高峰期系统响应慢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中风险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监控性能指标，优化数据库查询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软件运维工程师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2025年4月30日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1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老旧设备故障率上升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中风险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备件储备，建议设备更新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硬件运维工程师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2025年5月31日</w:t>
            </w:r>
          </w:p>
        </w:tc>
      </w:tr>
    </w:tbl>
    <w:p>
      <w:pPr>
        <w:pStyle w:val="1"/>
        <w:bidi w:val="0"/>
      </w:pPr>
      <w:bookmarkStart w:id="30" w:name="heading_12"/>
      <w:bookmarkStart w:id="31" w:name="_Toc10996"/>
      <w:r>
        <w:t>可用性监控与预警情况</w:t>
      </w:r>
      <w:bookmarkEnd w:id="30"/>
      <w:bookmarkEnd w:id="31"/>
    </w:p>
    <w:p>
      <w:pPr>
        <w:pStyle w:val="2"/>
        <w:bidi w:val="0"/>
      </w:pPr>
      <w:bookmarkStart w:id="32" w:name="heading_13"/>
      <w:bookmarkStart w:id="33" w:name="_Toc31366"/>
      <w:r>
        <w:t>监控覆盖率</w:t>
      </w:r>
      <w:bookmarkEnd w:id="32"/>
      <w:bookmarkEnd w:id="33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4" w:name="_Toc23490"/>
      <w:r>
        <w:rPr>
          <w:rFonts w:hint="eastAsia"/>
          <w:lang w:val="en-US" w:eastAsia="zh-CN"/>
        </w:rPr>
        <w:t xml:space="preserve"> </w:t>
      </w:r>
      <w:r>
        <w:t>监控覆盖率统计表</w:t>
      </w:r>
      <w:bookmarkEnd w:id="3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229"/>
        <w:gridCol w:w="1454"/>
        <w:gridCol w:w="1454"/>
        <w:gridCol w:w="968"/>
        <w:gridCol w:w="341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3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监控对象</w:t>
            </w:r>
          </w:p>
        </w:tc>
        <w:tc>
          <w:tcPr>
            <w:tcW w:w="145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计划监控项</w:t>
            </w:r>
          </w:p>
        </w:tc>
        <w:tc>
          <w:tcPr>
            <w:tcW w:w="145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实际监控项</w:t>
            </w:r>
          </w:p>
        </w:tc>
        <w:tc>
          <w:tcPr>
            <w:tcW w:w="96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覆盖率</w:t>
            </w:r>
          </w:p>
        </w:tc>
        <w:tc>
          <w:tcPr>
            <w:tcW w:w="341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4项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4项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CPU、内存、磁盘、服务状态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网络设备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1项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1项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连通性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新能源系统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1项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1项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服务可用性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数据库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1项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1项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连接数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3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现场设备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1项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1项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人工巡检</w:t>
            </w:r>
          </w:p>
        </w:tc>
      </w:tr>
    </w:tbl>
    <w:p>
      <w:pPr>
        <w:pStyle w:val="2"/>
        <w:bidi w:val="0"/>
      </w:pPr>
      <w:bookmarkStart w:id="35" w:name="heading_14"/>
      <w:bookmarkStart w:id="36" w:name="_Toc10974"/>
      <w:r>
        <w:t>告警统计</w:t>
      </w:r>
      <w:bookmarkEnd w:id="35"/>
      <w:bookmarkEnd w:id="36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7" w:name="_Toc17871"/>
      <w:r>
        <w:rPr>
          <w:rFonts w:hint="eastAsia"/>
          <w:lang w:val="en-US" w:eastAsia="zh-CN"/>
        </w:rPr>
        <w:t xml:space="preserve"> </w:t>
      </w:r>
      <w:r>
        <w:t>告警统计表</w:t>
      </w:r>
      <w:bookmarkEnd w:id="37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291"/>
        <w:gridCol w:w="3101"/>
        <w:gridCol w:w="1291"/>
        <w:gridCol w:w="1808"/>
        <w:gridCol w:w="103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9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告警级别</w:t>
            </w:r>
          </w:p>
        </w:tc>
        <w:tc>
          <w:tcPr>
            <w:tcW w:w="310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定义</w:t>
            </w:r>
          </w:p>
        </w:tc>
        <w:tc>
          <w:tcPr>
            <w:tcW w:w="129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发生次数</w:t>
            </w:r>
          </w:p>
        </w:tc>
        <w:tc>
          <w:tcPr>
            <w:tcW w:w="180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平均响应时间</w:t>
            </w:r>
          </w:p>
        </w:tc>
        <w:tc>
          <w:tcPr>
            <w:tcW w:w="103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达标率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一级告警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服务中断，影响业务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5次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8分钟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二级告警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性能下降，影响用户体验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8次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22分钟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9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三级告警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预警信息，需关注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15次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45分钟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</w:tr>
    </w:tbl>
    <w:p>
      <w:pPr>
        <w:pStyle w:val="1"/>
        <w:bidi w:val="0"/>
      </w:pPr>
      <w:bookmarkStart w:id="38" w:name="heading_15"/>
      <w:bookmarkStart w:id="39" w:name="_Toc12450"/>
      <w:r>
        <w:t>连续性保障措施执行情况</w:t>
      </w:r>
      <w:bookmarkEnd w:id="38"/>
      <w:bookmarkEnd w:id="39"/>
    </w:p>
    <w:p>
      <w:pPr>
        <w:pStyle w:val="2"/>
        <w:bidi w:val="0"/>
      </w:pPr>
      <w:bookmarkStart w:id="40" w:name="heading_16"/>
      <w:bookmarkStart w:id="41" w:name="_Toc16164"/>
      <w:r>
        <w:t>数据备份执行情况</w:t>
      </w:r>
      <w:bookmarkEnd w:id="40"/>
      <w:bookmarkEnd w:id="41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2" w:name="_Toc25966"/>
      <w:r>
        <w:rPr>
          <w:rFonts w:hint="eastAsia"/>
          <w:lang w:val="en-US" w:eastAsia="zh-CN"/>
        </w:rPr>
        <w:t xml:space="preserve"> </w:t>
      </w:r>
      <w:r>
        <w:t>数据备份执行统计表</w:t>
      </w:r>
      <w:bookmarkEnd w:id="42"/>
    </w:p>
    <w:tbl>
      <w:tblPr>
        <w:tblStyle w:val="TableNormal"/>
        <w:tblW w:w="854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69"/>
        <w:gridCol w:w="1571"/>
        <w:gridCol w:w="1571"/>
        <w:gridCol w:w="921"/>
        <w:gridCol w:w="1571"/>
        <w:gridCol w:w="1338"/>
      </w:tblGrid>
      <w:tr>
        <w:tblPrEx>
          <w:tblW w:w="8541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58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备份对象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计划备份次数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成功备份次数</w:t>
            </w:r>
          </w:p>
        </w:tc>
        <w:tc>
          <w:tcPr>
            <w:tcW w:w="86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成功率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恢复验证次数</w:t>
            </w:r>
          </w:p>
        </w:tc>
        <w:tc>
          <w:tcPr>
            <w:tcW w:w="134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恢复成功率</w:t>
            </w:r>
          </w:p>
        </w:tc>
      </w:tr>
      <w:tr>
        <w:tblPrEx>
          <w:tblW w:w="8541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新能源系统数据库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90次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89次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98.9%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3次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</w:tr>
      <w:tr>
        <w:tblPrEx>
          <w:tblW w:w="8541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系统配置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3次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3次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100%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</w:tr>
      <w:tr>
        <w:tblPrEx>
          <w:tblW w:w="8541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日志文件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12次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12次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100%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</w:tr>
      <w:tr>
        <w:tblPrEx>
          <w:tblW w:w="8541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现场设备配置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2次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2次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100%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</w:tr>
    </w:tbl>
    <w:p>
      <w:pPr>
        <w:pStyle w:val="a4"/>
        <w:bidi w:val="0"/>
      </w:pPr>
      <w:r>
        <w:t>备份问题记录：2025年2月18日数据库备份失败1次，原因为磁盘空间不足，已清理空间后恢复正常。</w:t>
      </w:r>
    </w:p>
    <w:p>
      <w:pPr>
        <w:pStyle w:val="2"/>
        <w:bidi w:val="0"/>
      </w:pPr>
      <w:bookmarkStart w:id="43" w:name="heading_17"/>
      <w:bookmarkStart w:id="44" w:name="_Toc18339"/>
      <w:r>
        <w:t>冗余配置使用情况</w:t>
      </w:r>
      <w:bookmarkEnd w:id="43"/>
      <w:bookmarkEnd w:id="44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45" w:name="_Toc2349"/>
      <w:r>
        <w:rPr>
          <w:rFonts w:hint="eastAsia"/>
          <w:lang w:val="en-US" w:eastAsia="zh-CN"/>
        </w:rPr>
        <w:t xml:space="preserve"> </w:t>
      </w:r>
      <w:r>
        <w:t>冗余配置使用统计表</w:t>
      </w:r>
      <w:bookmarkEnd w:id="4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89"/>
        <w:gridCol w:w="1429"/>
        <w:gridCol w:w="1189"/>
        <w:gridCol w:w="1189"/>
        <w:gridCol w:w="2817"/>
        <w:gridCol w:w="70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8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组件</w:t>
            </w:r>
          </w:p>
        </w:tc>
        <w:tc>
          <w:tcPr>
            <w:tcW w:w="142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冗余方式</w:t>
            </w:r>
          </w:p>
        </w:tc>
        <w:tc>
          <w:tcPr>
            <w:tcW w:w="118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启用次数</w:t>
            </w:r>
          </w:p>
        </w:tc>
        <w:tc>
          <w:tcPr>
            <w:tcW w:w="118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启用时长</w:t>
            </w:r>
          </w:p>
        </w:tc>
        <w:tc>
          <w:tcPr>
            <w:tcW w:w="281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启用原因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效果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8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备用服务器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0次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0分钟</w:t>
            </w:r>
          </w:p>
        </w:tc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未启用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-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8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备用线路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0次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0分钟</w:t>
            </w:r>
          </w:p>
        </w:tc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未启用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-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8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现场设备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备件库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2次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48分钟</w:t>
            </w:r>
          </w:p>
        </w:tc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工作站故障、数据采集器故障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有效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8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异地备份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0次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0分钟</w:t>
            </w:r>
          </w:p>
        </w:tc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未启用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-</w:t>
            </w:r>
          </w:p>
        </w:tc>
      </w:tr>
    </w:tbl>
    <w:p>
      <w:pPr>
        <w:pStyle w:val="1"/>
        <w:bidi w:val="0"/>
      </w:pPr>
      <w:bookmarkStart w:id="46" w:name="heading_18"/>
      <w:bookmarkStart w:id="47" w:name="_Toc6084"/>
      <w:r>
        <w:t>可用性分析与改进情况</w:t>
      </w:r>
      <w:bookmarkEnd w:id="46"/>
      <w:bookmarkEnd w:id="47"/>
    </w:p>
    <w:p>
      <w:pPr>
        <w:pStyle w:val="2"/>
        <w:bidi w:val="0"/>
      </w:pPr>
      <w:bookmarkStart w:id="48" w:name="heading_19"/>
      <w:bookmarkStart w:id="49" w:name="_Toc6517"/>
      <w:r>
        <w:t>可用性趋势分析</w:t>
      </w:r>
      <w:bookmarkEnd w:id="48"/>
      <w:bookmarkEnd w:id="49"/>
    </w:p>
    <w:p>
      <w:pPr>
        <w:pStyle w:val="a4"/>
        <w:keepNext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0" w:name="_Toc18405"/>
      <w:r>
        <w:rPr>
          <w:rFonts w:hint="eastAsia"/>
          <w:lang w:val="en-US" w:eastAsia="zh-CN"/>
        </w:rPr>
        <w:t xml:space="preserve"> </w:t>
      </w:r>
      <w:r>
        <w:t>可用性趋势分析表</w:t>
      </w:r>
      <w:bookmarkEnd w:id="50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952"/>
        <w:gridCol w:w="1709"/>
        <w:gridCol w:w="1483"/>
        <w:gridCol w:w="1689"/>
        <w:gridCol w:w="168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5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月份</w:t>
            </w:r>
          </w:p>
        </w:tc>
        <w:tc>
          <w:tcPr>
            <w:tcW w:w="170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新能源系统</w:t>
            </w:r>
          </w:p>
        </w:tc>
        <w:tc>
          <w:tcPr>
            <w:tcW w:w="148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服务器</w:t>
            </w:r>
          </w:p>
        </w:tc>
        <w:tc>
          <w:tcPr>
            <w:tcW w:w="168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网络设备</w:t>
            </w:r>
          </w:p>
        </w:tc>
        <w:tc>
          <w:tcPr>
            <w:tcW w:w="168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现场设备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5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2025年1月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5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2025年2月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5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2025年3月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100</w:t>
            </w:r>
            <w:r>
              <w:t>%</w:t>
            </w:r>
          </w:p>
        </w:tc>
      </w:tr>
    </w:tbl>
    <w:p>
      <w:pPr>
        <w:pStyle w:val="a4"/>
        <w:bidi w:val="0"/>
        <w:jc w:val="left"/>
      </w:pPr>
      <w:r>
        <w:t>趋势分析结论：</w:t>
      </w:r>
    </w:p>
    <w:p>
      <w:pPr>
        <w:pStyle w:val="a4"/>
        <w:bidi w:val="0"/>
        <w:jc w:val="left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2025年第一季度可用性为100%</w:t>
      </w:r>
    </w:p>
    <w:p>
      <w:pPr>
        <w:pStyle w:val="2"/>
        <w:bidi w:val="0"/>
      </w:pPr>
      <w:bookmarkStart w:id="51" w:name="heading_20"/>
      <w:bookmarkStart w:id="52" w:name="_Toc29015"/>
      <w:r>
        <w:t>改进措施落实情况</w:t>
      </w:r>
      <w:bookmarkEnd w:id="51"/>
      <w:bookmarkEnd w:id="52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53" w:name="_Toc404"/>
      <w:r>
        <w:rPr>
          <w:rFonts w:hint="eastAsia"/>
          <w:lang w:val="en-US" w:eastAsia="zh-CN"/>
        </w:rPr>
        <w:t xml:space="preserve"> </w:t>
      </w:r>
      <w:r>
        <w:t>改进措施跟踪表</w:t>
      </w:r>
      <w:bookmarkEnd w:id="53"/>
    </w:p>
    <w:tbl>
      <w:tblPr>
        <w:tblStyle w:val="TableNormal"/>
        <w:tblW w:w="918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1868"/>
        <w:gridCol w:w="980"/>
        <w:gridCol w:w="1585"/>
        <w:gridCol w:w="1585"/>
        <w:gridCol w:w="1220"/>
        <w:gridCol w:w="1326"/>
      </w:tblGrid>
      <w:tr>
        <w:tblPrEx>
          <w:tblW w:w="918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改进措施</w:t>
            </w:r>
          </w:p>
        </w:tc>
        <w:tc>
          <w:tcPr>
            <w:tcW w:w="98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122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状态</w:t>
            </w:r>
          </w:p>
        </w:tc>
        <w:tc>
          <w:tcPr>
            <w:tcW w:w="132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效果验证</w:t>
            </w:r>
          </w:p>
        </w:tc>
      </w:tr>
      <w:tr>
        <w:tblPrEx>
          <w:tblW w:w="918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定期检查服务器磁盘空间，设置告警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软件运维工程师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2025.2.28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2025.2.25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已完成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备份成功率提升至100%</w:t>
            </w:r>
          </w:p>
        </w:tc>
      </w:tr>
      <w:tr>
        <w:tblPrEx>
          <w:tblW w:w="918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增加现场设备月度巡检频次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硬件运维工程师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2025.3.31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2025.3.28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已完成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theme" Target="theme/theme1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2297</Words>
  <Characters>2729</Characters>
  <Application>Microsoft Office Word</Application>
  <DocSecurity>0</DocSecurity>
  <Lines>0</Lines>
  <Paragraphs>0</Paragraphs>
  <ScaleCrop>false</ScaleCrop>
  <Company/>
  <LinksUpToDate>false</LinksUpToDate>
  <CharactersWithSpaces>3100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2026-04-09T19:27:08Z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